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E854AE" w14:textId="77777777" w:rsidR="007F6493" w:rsidRPr="00422CA2" w:rsidRDefault="007F6493" w:rsidP="00A05932">
      <w:pPr>
        <w:pStyle w:val="Sinespaciado"/>
        <w:rPr>
          <w:rFonts w:ascii="ITC Avant Garde" w:hAnsi="ITC Avant Garde"/>
          <w:lang w:val="es-MX"/>
        </w:rPr>
      </w:pPr>
      <w:bookmarkStart w:id="0" w:name="_GoBack"/>
      <w:bookmarkEnd w:id="0"/>
    </w:p>
    <w:p w14:paraId="40E854AF"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0"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1"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2"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3"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4"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5"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6"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7" w14:textId="77777777" w:rsidR="007F6493" w:rsidRPr="00422CA2" w:rsidRDefault="007F6493" w:rsidP="00743FBE">
      <w:pPr>
        <w:pStyle w:val="Arial14Bold"/>
        <w:spacing w:line="360" w:lineRule="auto"/>
        <w:contextualSpacing/>
        <w:rPr>
          <w:rFonts w:ascii="ITC Avant Garde" w:hAnsi="ITC Avant Garde"/>
          <w:sz w:val="22"/>
          <w:szCs w:val="22"/>
          <w:lang w:val="es-MX"/>
        </w:rPr>
      </w:pPr>
    </w:p>
    <w:p w14:paraId="40E854B8" w14:textId="77777777" w:rsidR="008161F6" w:rsidRPr="00422CA2" w:rsidRDefault="008161F6" w:rsidP="00743FBE">
      <w:pPr>
        <w:pStyle w:val="Arial14Bold"/>
        <w:spacing w:line="360" w:lineRule="auto"/>
        <w:contextualSpacing/>
        <w:rPr>
          <w:rFonts w:ascii="ITC Avant Garde" w:hAnsi="ITC Avant Garde"/>
          <w:sz w:val="36"/>
          <w:szCs w:val="22"/>
          <w:lang w:val="es-MX"/>
        </w:rPr>
      </w:pPr>
    </w:p>
    <w:p w14:paraId="40E854B9" w14:textId="77777777" w:rsidR="008126EE" w:rsidRPr="00422CA2" w:rsidRDefault="00011A1B" w:rsidP="00743FBE">
      <w:pPr>
        <w:spacing w:line="360" w:lineRule="auto"/>
        <w:contextualSpacing/>
        <w:jc w:val="center"/>
        <w:rPr>
          <w:rFonts w:ascii="ITC Avant Garde" w:hAnsi="ITC Avant Garde"/>
          <w:sz w:val="36"/>
          <w:szCs w:val="22"/>
        </w:rPr>
      </w:pPr>
      <w:r w:rsidRPr="00422CA2">
        <w:rPr>
          <w:rFonts w:ascii="ITC Avant Garde" w:hAnsi="ITC Avant Garde"/>
          <w:sz w:val="36"/>
          <w:szCs w:val="22"/>
        </w:rPr>
        <w:t>Oferta de Referencia para la Desagregación del Bucle Local</w:t>
      </w:r>
    </w:p>
    <w:p w14:paraId="40E854BA" w14:textId="77777777" w:rsidR="0001712E" w:rsidRPr="00422CA2" w:rsidRDefault="00011A1B" w:rsidP="00743FBE">
      <w:pPr>
        <w:spacing w:line="360" w:lineRule="auto"/>
        <w:contextualSpacing/>
        <w:jc w:val="center"/>
        <w:rPr>
          <w:rFonts w:ascii="ITC Avant Garde" w:hAnsi="ITC Avant Garde"/>
          <w:sz w:val="36"/>
          <w:szCs w:val="22"/>
        </w:rPr>
      </w:pPr>
      <w:r w:rsidRPr="00422CA2">
        <w:rPr>
          <w:rFonts w:ascii="ITC Avant Garde" w:hAnsi="ITC Avant Garde"/>
          <w:sz w:val="36"/>
          <w:szCs w:val="22"/>
        </w:rPr>
        <w:t>(OREDA-Telmex)</w:t>
      </w:r>
    </w:p>
    <w:p w14:paraId="40E854BB" w14:textId="77777777" w:rsidR="00FD1726" w:rsidRPr="00422CA2" w:rsidRDefault="00FD1726" w:rsidP="00743FBE">
      <w:pPr>
        <w:spacing w:line="360" w:lineRule="auto"/>
        <w:contextualSpacing/>
        <w:jc w:val="both"/>
        <w:rPr>
          <w:rFonts w:ascii="ITC Avant Garde" w:hAnsi="ITC Avant Garde"/>
          <w:sz w:val="36"/>
          <w:szCs w:val="22"/>
        </w:rPr>
      </w:pPr>
    </w:p>
    <w:p w14:paraId="40E854BC" w14:textId="5CF2157E" w:rsidR="00787BAC" w:rsidRPr="00422CA2" w:rsidRDefault="00787BAC" w:rsidP="00743FBE">
      <w:pPr>
        <w:spacing w:line="360" w:lineRule="auto"/>
        <w:contextualSpacing/>
        <w:jc w:val="both"/>
        <w:rPr>
          <w:rFonts w:ascii="ITC Avant Garde" w:hAnsi="ITC Avant Garde"/>
          <w:sz w:val="22"/>
          <w:szCs w:val="22"/>
        </w:rPr>
      </w:pPr>
    </w:p>
    <w:p w14:paraId="4E2F6A79" w14:textId="0C148CC9" w:rsidR="00787BAC" w:rsidRPr="00422CA2" w:rsidRDefault="00787BAC" w:rsidP="00787BAC">
      <w:pPr>
        <w:rPr>
          <w:rFonts w:ascii="ITC Avant Garde" w:hAnsi="ITC Avant Garde"/>
          <w:sz w:val="22"/>
          <w:szCs w:val="22"/>
        </w:rPr>
      </w:pPr>
    </w:p>
    <w:p w14:paraId="0B69B2EB" w14:textId="75428026" w:rsidR="00FD1726" w:rsidRPr="00422CA2" w:rsidRDefault="00787BAC" w:rsidP="00787BAC">
      <w:pPr>
        <w:tabs>
          <w:tab w:val="center" w:pos="4420"/>
        </w:tabs>
        <w:rPr>
          <w:rFonts w:ascii="ITC Avant Garde" w:hAnsi="ITC Avant Garde"/>
          <w:sz w:val="22"/>
          <w:szCs w:val="22"/>
        </w:rPr>
        <w:sectPr w:rsidR="00FD1726" w:rsidRPr="00422CA2" w:rsidSect="00C82861">
          <w:footerReference w:type="default" r:id="rId11"/>
          <w:pgSz w:w="12242" w:h="15842" w:code="1"/>
          <w:pgMar w:top="1985" w:right="1701" w:bottom="1417" w:left="1701" w:header="851" w:footer="1138" w:gutter="0"/>
          <w:cols w:space="720"/>
        </w:sectPr>
      </w:pPr>
      <w:r w:rsidRPr="00422CA2">
        <w:rPr>
          <w:rFonts w:ascii="ITC Avant Garde" w:hAnsi="ITC Avant Garde"/>
          <w:sz w:val="22"/>
          <w:szCs w:val="22"/>
        </w:rPr>
        <w:tab/>
      </w:r>
    </w:p>
    <w:p w14:paraId="40E854BD" w14:textId="77777777" w:rsidR="008126EE" w:rsidRPr="00422CA2" w:rsidRDefault="00011A1B" w:rsidP="00210768">
      <w:pPr>
        <w:pStyle w:val="Ttulo1"/>
      </w:pPr>
      <w:bookmarkStart w:id="1" w:name="_Toc434612303"/>
      <w:bookmarkStart w:id="2" w:name="_Toc434626638"/>
      <w:bookmarkStart w:id="3" w:name="_Toc434858815"/>
      <w:bookmarkStart w:id="4" w:name="_Toc434932567"/>
      <w:bookmarkStart w:id="5" w:name="_Toc434932721"/>
      <w:bookmarkStart w:id="6" w:name="_Toc434934629"/>
      <w:bookmarkStart w:id="7" w:name="_Toc435110209"/>
      <w:bookmarkStart w:id="8" w:name="_Toc436840859"/>
      <w:bookmarkStart w:id="9" w:name="_Toc436846296"/>
      <w:bookmarkStart w:id="10" w:name="_Toc436848246"/>
      <w:bookmarkStart w:id="11" w:name="_Toc436856494"/>
      <w:bookmarkStart w:id="12" w:name="_Toc436862640"/>
      <w:bookmarkStart w:id="13" w:name="_Toc436866290"/>
      <w:bookmarkStart w:id="14" w:name="_Toc436870869"/>
      <w:bookmarkStart w:id="15" w:name="_Toc436875861"/>
      <w:bookmarkStart w:id="16" w:name="_Toc437602049"/>
      <w:r w:rsidRPr="00422CA2">
        <w:lastRenderedPageBreak/>
        <w:t>Índice</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bookmarkStart w:id="17" w:name="OLE_LINK9"/>
    <w:bookmarkStart w:id="18" w:name="OLE_LINK6"/>
    <w:p w14:paraId="21E9DF60" w14:textId="77777777" w:rsidR="00C82861" w:rsidRDefault="00BA7EF4">
      <w:pPr>
        <w:pStyle w:val="TDC1"/>
        <w:rPr>
          <w:rFonts w:asciiTheme="minorHAnsi" w:eastAsiaTheme="minorEastAsia" w:hAnsiTheme="minorHAnsi" w:cstheme="minorBidi"/>
          <w:bCs w:val="0"/>
          <w:caps w:val="0"/>
          <w:sz w:val="22"/>
          <w:szCs w:val="22"/>
          <w:lang w:val="es-MX" w:eastAsia="es-MX"/>
        </w:rPr>
      </w:pPr>
      <w:r w:rsidRPr="00422CA2">
        <w:rPr>
          <w:lang w:val="es-MX"/>
        </w:rPr>
        <w:fldChar w:fldCharType="begin"/>
      </w:r>
      <w:r w:rsidR="00011A1B" w:rsidRPr="00422CA2">
        <w:rPr>
          <w:lang w:val="es-MX"/>
        </w:rPr>
        <w:instrText xml:space="preserve"> TOC \o "1-5" \h \z \u </w:instrText>
      </w:r>
      <w:r w:rsidRPr="00422CA2">
        <w:rPr>
          <w:lang w:val="es-MX"/>
        </w:rPr>
        <w:fldChar w:fldCharType="separate"/>
      </w:r>
      <w:hyperlink w:anchor="_Toc437602049" w:history="1">
        <w:r w:rsidR="00C82861" w:rsidRPr="00E24A17">
          <w:rPr>
            <w:rStyle w:val="Hipervnculo"/>
          </w:rPr>
          <w:t>Índice</w:t>
        </w:r>
        <w:r w:rsidR="00C82861">
          <w:rPr>
            <w:webHidden/>
          </w:rPr>
          <w:tab/>
        </w:r>
        <w:r w:rsidR="00C82861">
          <w:rPr>
            <w:webHidden/>
          </w:rPr>
          <w:fldChar w:fldCharType="begin"/>
        </w:r>
        <w:r w:rsidR="00C82861">
          <w:rPr>
            <w:webHidden/>
          </w:rPr>
          <w:instrText xml:space="preserve"> PAGEREF _Toc437602049 \h </w:instrText>
        </w:r>
        <w:r w:rsidR="00C82861">
          <w:rPr>
            <w:webHidden/>
          </w:rPr>
        </w:r>
        <w:r w:rsidR="00C82861">
          <w:rPr>
            <w:webHidden/>
          </w:rPr>
          <w:fldChar w:fldCharType="separate"/>
        </w:r>
        <w:r w:rsidR="00C82861">
          <w:rPr>
            <w:webHidden/>
          </w:rPr>
          <w:t>2</w:t>
        </w:r>
        <w:r w:rsidR="00C82861">
          <w:rPr>
            <w:webHidden/>
          </w:rPr>
          <w:fldChar w:fldCharType="end"/>
        </w:r>
      </w:hyperlink>
    </w:p>
    <w:p w14:paraId="242B30C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0" w:history="1">
        <w:r w:rsidR="00C82861" w:rsidRPr="00E24A17">
          <w:rPr>
            <w:rStyle w:val="Hipervnculo"/>
          </w:rPr>
          <w:t>Definiciones</w:t>
        </w:r>
        <w:r w:rsidR="00C82861">
          <w:rPr>
            <w:webHidden/>
          </w:rPr>
          <w:tab/>
        </w:r>
        <w:r w:rsidR="00C82861">
          <w:rPr>
            <w:webHidden/>
          </w:rPr>
          <w:fldChar w:fldCharType="begin"/>
        </w:r>
        <w:r w:rsidR="00C82861">
          <w:rPr>
            <w:webHidden/>
          </w:rPr>
          <w:instrText xml:space="preserve"> PAGEREF _Toc437602050 \h </w:instrText>
        </w:r>
        <w:r w:rsidR="00C82861">
          <w:rPr>
            <w:webHidden/>
          </w:rPr>
        </w:r>
        <w:r w:rsidR="00C82861">
          <w:rPr>
            <w:webHidden/>
          </w:rPr>
          <w:fldChar w:fldCharType="separate"/>
        </w:r>
        <w:r w:rsidR="00C82861">
          <w:rPr>
            <w:webHidden/>
          </w:rPr>
          <w:t>6</w:t>
        </w:r>
        <w:r w:rsidR="00C82861">
          <w:rPr>
            <w:webHidden/>
          </w:rPr>
          <w:fldChar w:fldCharType="end"/>
        </w:r>
      </w:hyperlink>
    </w:p>
    <w:p w14:paraId="27FC1AE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1" w:history="1">
        <w:r w:rsidR="00C82861" w:rsidRPr="00E24A17">
          <w:rPr>
            <w:rStyle w:val="Hipervnculo"/>
          </w:rPr>
          <w:t>Acrónimos</w:t>
        </w:r>
        <w:r w:rsidR="00C82861">
          <w:rPr>
            <w:webHidden/>
          </w:rPr>
          <w:tab/>
        </w:r>
        <w:r w:rsidR="00C82861">
          <w:rPr>
            <w:webHidden/>
          </w:rPr>
          <w:fldChar w:fldCharType="begin"/>
        </w:r>
        <w:r w:rsidR="00C82861">
          <w:rPr>
            <w:webHidden/>
          </w:rPr>
          <w:instrText xml:space="preserve"> PAGEREF _Toc437602051 \h </w:instrText>
        </w:r>
        <w:r w:rsidR="00C82861">
          <w:rPr>
            <w:webHidden/>
          </w:rPr>
        </w:r>
        <w:r w:rsidR="00C82861">
          <w:rPr>
            <w:webHidden/>
          </w:rPr>
          <w:fldChar w:fldCharType="separate"/>
        </w:r>
        <w:r w:rsidR="00C82861">
          <w:rPr>
            <w:webHidden/>
          </w:rPr>
          <w:t>13</w:t>
        </w:r>
        <w:r w:rsidR="00C82861">
          <w:rPr>
            <w:webHidden/>
          </w:rPr>
          <w:fldChar w:fldCharType="end"/>
        </w:r>
      </w:hyperlink>
    </w:p>
    <w:p w14:paraId="0DA05E5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2" w:history="1">
        <w:r w:rsidR="00C82861" w:rsidRPr="00E24A17">
          <w:rPr>
            <w:rStyle w:val="Hipervnculo"/>
          </w:rPr>
          <w:t>1. Introducción y Generales</w:t>
        </w:r>
        <w:r w:rsidR="00C82861">
          <w:rPr>
            <w:webHidden/>
          </w:rPr>
          <w:tab/>
        </w:r>
        <w:r w:rsidR="00C82861">
          <w:rPr>
            <w:webHidden/>
          </w:rPr>
          <w:fldChar w:fldCharType="begin"/>
        </w:r>
        <w:r w:rsidR="00C82861">
          <w:rPr>
            <w:webHidden/>
          </w:rPr>
          <w:instrText xml:space="preserve"> PAGEREF _Toc437602052 \h </w:instrText>
        </w:r>
        <w:r w:rsidR="00C82861">
          <w:rPr>
            <w:webHidden/>
          </w:rPr>
        </w:r>
        <w:r w:rsidR="00C82861">
          <w:rPr>
            <w:webHidden/>
          </w:rPr>
          <w:fldChar w:fldCharType="separate"/>
        </w:r>
        <w:r w:rsidR="00C82861">
          <w:rPr>
            <w:webHidden/>
          </w:rPr>
          <w:t>15</w:t>
        </w:r>
        <w:r w:rsidR="00C82861">
          <w:rPr>
            <w:webHidden/>
          </w:rPr>
          <w:fldChar w:fldCharType="end"/>
        </w:r>
      </w:hyperlink>
    </w:p>
    <w:p w14:paraId="5C4F19D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3" w:history="1">
        <w:r w:rsidR="00C82861" w:rsidRPr="00E24A17">
          <w:rPr>
            <w:rStyle w:val="Hipervnculo"/>
          </w:rPr>
          <w:t>1.1.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Prerrequisitos</w:t>
        </w:r>
        <w:r w:rsidR="00C82861">
          <w:rPr>
            <w:webHidden/>
          </w:rPr>
          <w:tab/>
        </w:r>
        <w:r w:rsidR="00C82861">
          <w:rPr>
            <w:webHidden/>
          </w:rPr>
          <w:fldChar w:fldCharType="begin"/>
        </w:r>
        <w:r w:rsidR="00C82861">
          <w:rPr>
            <w:webHidden/>
          </w:rPr>
          <w:instrText xml:space="preserve"> PAGEREF _Toc437602053 \h </w:instrText>
        </w:r>
        <w:r w:rsidR="00C82861">
          <w:rPr>
            <w:webHidden/>
          </w:rPr>
        </w:r>
        <w:r w:rsidR="00C82861">
          <w:rPr>
            <w:webHidden/>
          </w:rPr>
          <w:fldChar w:fldCharType="separate"/>
        </w:r>
        <w:r w:rsidR="00C82861">
          <w:rPr>
            <w:webHidden/>
          </w:rPr>
          <w:t>16</w:t>
        </w:r>
        <w:r w:rsidR="00C82861">
          <w:rPr>
            <w:webHidden/>
          </w:rPr>
          <w:fldChar w:fldCharType="end"/>
        </w:r>
      </w:hyperlink>
    </w:p>
    <w:p w14:paraId="619E89A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4" w:history="1">
        <w:r w:rsidR="00C82861" w:rsidRPr="00E24A17">
          <w:rPr>
            <w:rStyle w:val="Hipervnculo"/>
          </w:rPr>
          <w:t>1.2.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Pronóstico de servicio.</w:t>
        </w:r>
        <w:r w:rsidR="00C82861">
          <w:rPr>
            <w:webHidden/>
          </w:rPr>
          <w:tab/>
        </w:r>
        <w:r w:rsidR="00C82861">
          <w:rPr>
            <w:webHidden/>
          </w:rPr>
          <w:fldChar w:fldCharType="begin"/>
        </w:r>
        <w:r w:rsidR="00C82861">
          <w:rPr>
            <w:webHidden/>
          </w:rPr>
          <w:instrText xml:space="preserve"> PAGEREF _Toc437602054 \h </w:instrText>
        </w:r>
        <w:r w:rsidR="00C82861">
          <w:rPr>
            <w:webHidden/>
          </w:rPr>
        </w:r>
        <w:r w:rsidR="00C82861">
          <w:rPr>
            <w:webHidden/>
          </w:rPr>
          <w:fldChar w:fldCharType="separate"/>
        </w:r>
        <w:r w:rsidR="00C82861">
          <w:rPr>
            <w:webHidden/>
          </w:rPr>
          <w:t>17</w:t>
        </w:r>
        <w:r w:rsidR="00C82861">
          <w:rPr>
            <w:webHidden/>
          </w:rPr>
          <w:fldChar w:fldCharType="end"/>
        </w:r>
      </w:hyperlink>
    </w:p>
    <w:p w14:paraId="1A14530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5" w:history="1">
        <w:r w:rsidR="00C82861" w:rsidRPr="00E24A17">
          <w:rPr>
            <w:rStyle w:val="Hipervnculo"/>
          </w:rPr>
          <w:t>1.2.1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 de Pronóstico de servicio.</w:t>
        </w:r>
        <w:r w:rsidR="00C82861">
          <w:rPr>
            <w:webHidden/>
          </w:rPr>
          <w:tab/>
        </w:r>
        <w:r w:rsidR="00C82861">
          <w:rPr>
            <w:webHidden/>
          </w:rPr>
          <w:fldChar w:fldCharType="begin"/>
        </w:r>
        <w:r w:rsidR="00C82861">
          <w:rPr>
            <w:webHidden/>
          </w:rPr>
          <w:instrText xml:space="preserve"> PAGEREF _Toc437602055 \h </w:instrText>
        </w:r>
        <w:r w:rsidR="00C82861">
          <w:rPr>
            <w:webHidden/>
          </w:rPr>
        </w:r>
        <w:r w:rsidR="00C82861">
          <w:rPr>
            <w:webHidden/>
          </w:rPr>
          <w:fldChar w:fldCharType="separate"/>
        </w:r>
        <w:r w:rsidR="00C82861">
          <w:rPr>
            <w:webHidden/>
          </w:rPr>
          <w:t>19</w:t>
        </w:r>
        <w:r w:rsidR="00C82861">
          <w:rPr>
            <w:webHidden/>
          </w:rPr>
          <w:fldChar w:fldCharType="end"/>
        </w:r>
      </w:hyperlink>
    </w:p>
    <w:p w14:paraId="18C2926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6" w:history="1">
        <w:r w:rsidR="00C82861" w:rsidRPr="00E24A17">
          <w:rPr>
            <w:rStyle w:val="Hipervnculo"/>
          </w:rPr>
          <w:t>1.3.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Situación de la Acometida del usuario final.</w:t>
        </w:r>
        <w:r w:rsidR="00C82861">
          <w:rPr>
            <w:webHidden/>
          </w:rPr>
          <w:tab/>
        </w:r>
        <w:r w:rsidR="00C82861">
          <w:rPr>
            <w:webHidden/>
          </w:rPr>
          <w:fldChar w:fldCharType="begin"/>
        </w:r>
        <w:r w:rsidR="00C82861">
          <w:rPr>
            <w:webHidden/>
          </w:rPr>
          <w:instrText xml:space="preserve"> PAGEREF _Toc437602056 \h </w:instrText>
        </w:r>
        <w:r w:rsidR="00C82861">
          <w:rPr>
            <w:webHidden/>
          </w:rPr>
        </w:r>
        <w:r w:rsidR="00C82861">
          <w:rPr>
            <w:webHidden/>
          </w:rPr>
          <w:fldChar w:fldCharType="separate"/>
        </w:r>
        <w:r w:rsidR="00C82861">
          <w:rPr>
            <w:webHidden/>
          </w:rPr>
          <w:t>23</w:t>
        </w:r>
        <w:r w:rsidR="00C82861">
          <w:rPr>
            <w:webHidden/>
          </w:rPr>
          <w:fldChar w:fldCharType="end"/>
        </w:r>
      </w:hyperlink>
    </w:p>
    <w:p w14:paraId="7B7674B7"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7" w:history="1">
        <w:r w:rsidR="00C82861" w:rsidRPr="00E24A17">
          <w:rPr>
            <w:rStyle w:val="Hipervnculo"/>
          </w:rPr>
          <w:t>1.4.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Recursos de red asociados a los servicios</w:t>
        </w:r>
        <w:r w:rsidR="00C82861">
          <w:rPr>
            <w:webHidden/>
          </w:rPr>
          <w:tab/>
        </w:r>
        <w:r w:rsidR="00C82861">
          <w:rPr>
            <w:webHidden/>
          </w:rPr>
          <w:fldChar w:fldCharType="begin"/>
        </w:r>
        <w:r w:rsidR="00C82861">
          <w:rPr>
            <w:webHidden/>
          </w:rPr>
          <w:instrText xml:space="preserve"> PAGEREF _Toc437602057 \h </w:instrText>
        </w:r>
        <w:r w:rsidR="00C82861">
          <w:rPr>
            <w:webHidden/>
          </w:rPr>
        </w:r>
        <w:r w:rsidR="00C82861">
          <w:rPr>
            <w:webHidden/>
          </w:rPr>
          <w:fldChar w:fldCharType="separate"/>
        </w:r>
        <w:r w:rsidR="00C82861">
          <w:rPr>
            <w:webHidden/>
          </w:rPr>
          <w:t>24</w:t>
        </w:r>
        <w:r w:rsidR="00C82861">
          <w:rPr>
            <w:webHidden/>
          </w:rPr>
          <w:fldChar w:fldCharType="end"/>
        </w:r>
      </w:hyperlink>
    </w:p>
    <w:p w14:paraId="0A689CC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8" w:history="1">
        <w:r w:rsidR="00C82861" w:rsidRPr="00E24A17">
          <w:rPr>
            <w:rStyle w:val="Hipervnculo"/>
          </w:rPr>
          <w:t>1.5.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verificación de la voluntad del suscriptor</w:t>
        </w:r>
        <w:r w:rsidR="00C82861">
          <w:rPr>
            <w:webHidden/>
          </w:rPr>
          <w:tab/>
        </w:r>
        <w:r w:rsidR="00C82861">
          <w:rPr>
            <w:webHidden/>
          </w:rPr>
          <w:fldChar w:fldCharType="begin"/>
        </w:r>
        <w:r w:rsidR="00C82861">
          <w:rPr>
            <w:webHidden/>
          </w:rPr>
          <w:instrText xml:space="preserve"> PAGEREF _Toc437602058 \h </w:instrText>
        </w:r>
        <w:r w:rsidR="00C82861">
          <w:rPr>
            <w:webHidden/>
          </w:rPr>
        </w:r>
        <w:r w:rsidR="00C82861">
          <w:rPr>
            <w:webHidden/>
          </w:rPr>
          <w:fldChar w:fldCharType="separate"/>
        </w:r>
        <w:r w:rsidR="00C82861">
          <w:rPr>
            <w:webHidden/>
          </w:rPr>
          <w:t>28</w:t>
        </w:r>
        <w:r w:rsidR="00C82861">
          <w:rPr>
            <w:webHidden/>
          </w:rPr>
          <w:fldChar w:fldCharType="end"/>
        </w:r>
      </w:hyperlink>
    </w:p>
    <w:p w14:paraId="6A52266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59" w:history="1">
        <w:r w:rsidR="00C82861" w:rsidRPr="00E24A17">
          <w:rPr>
            <w:rStyle w:val="Hipervnculo"/>
          </w:rPr>
          <w:t>1.6.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calificación del bucle de cobre.</w:t>
        </w:r>
        <w:r w:rsidR="00C82861">
          <w:rPr>
            <w:webHidden/>
          </w:rPr>
          <w:tab/>
        </w:r>
        <w:r w:rsidR="00C82861">
          <w:rPr>
            <w:webHidden/>
          </w:rPr>
          <w:fldChar w:fldCharType="begin"/>
        </w:r>
        <w:r w:rsidR="00C82861">
          <w:rPr>
            <w:webHidden/>
          </w:rPr>
          <w:instrText xml:space="preserve"> PAGEREF _Toc437602059 \h </w:instrText>
        </w:r>
        <w:r w:rsidR="00C82861">
          <w:rPr>
            <w:webHidden/>
          </w:rPr>
        </w:r>
        <w:r w:rsidR="00C82861">
          <w:rPr>
            <w:webHidden/>
          </w:rPr>
          <w:fldChar w:fldCharType="separate"/>
        </w:r>
        <w:r w:rsidR="00C82861">
          <w:rPr>
            <w:webHidden/>
          </w:rPr>
          <w:t>33</w:t>
        </w:r>
        <w:r w:rsidR="00C82861">
          <w:rPr>
            <w:webHidden/>
          </w:rPr>
          <w:fldChar w:fldCharType="end"/>
        </w:r>
      </w:hyperlink>
    </w:p>
    <w:p w14:paraId="6C98F1A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0" w:history="1">
        <w:r w:rsidR="00C82861" w:rsidRPr="00E24A17">
          <w:rPr>
            <w:rStyle w:val="Hipervnculo"/>
          </w:rPr>
          <w:t>1.7.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Condiciones generales para la prestación de los servicios.</w:t>
        </w:r>
        <w:r w:rsidR="00C82861">
          <w:rPr>
            <w:webHidden/>
          </w:rPr>
          <w:tab/>
        </w:r>
        <w:r w:rsidR="00C82861">
          <w:rPr>
            <w:webHidden/>
          </w:rPr>
          <w:fldChar w:fldCharType="begin"/>
        </w:r>
        <w:r w:rsidR="00C82861">
          <w:rPr>
            <w:webHidden/>
          </w:rPr>
          <w:instrText xml:space="preserve"> PAGEREF _Toc437602060 \h </w:instrText>
        </w:r>
        <w:r w:rsidR="00C82861">
          <w:rPr>
            <w:webHidden/>
          </w:rPr>
        </w:r>
        <w:r w:rsidR="00C82861">
          <w:rPr>
            <w:webHidden/>
          </w:rPr>
          <w:fldChar w:fldCharType="separate"/>
        </w:r>
        <w:r w:rsidR="00C82861">
          <w:rPr>
            <w:webHidden/>
          </w:rPr>
          <w:t>36</w:t>
        </w:r>
        <w:r w:rsidR="00C82861">
          <w:rPr>
            <w:webHidden/>
          </w:rPr>
          <w:fldChar w:fldCharType="end"/>
        </w:r>
      </w:hyperlink>
    </w:p>
    <w:p w14:paraId="427C37A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1" w:history="1">
        <w:r w:rsidR="00C82861" w:rsidRPr="00E24A17">
          <w:rPr>
            <w:rStyle w:val="Hipervnculo"/>
          </w:rPr>
          <w:t>2. Inicio de la prestación de los servicios.</w:t>
        </w:r>
        <w:r w:rsidR="00C82861">
          <w:rPr>
            <w:webHidden/>
          </w:rPr>
          <w:tab/>
        </w:r>
        <w:r w:rsidR="00C82861">
          <w:rPr>
            <w:webHidden/>
          </w:rPr>
          <w:fldChar w:fldCharType="begin"/>
        </w:r>
        <w:r w:rsidR="00C82861">
          <w:rPr>
            <w:webHidden/>
          </w:rPr>
          <w:instrText xml:space="preserve"> PAGEREF _Toc437602061 \h </w:instrText>
        </w:r>
        <w:r w:rsidR="00C82861">
          <w:rPr>
            <w:webHidden/>
          </w:rPr>
        </w:r>
        <w:r w:rsidR="00C82861">
          <w:rPr>
            <w:webHidden/>
          </w:rPr>
          <w:fldChar w:fldCharType="separate"/>
        </w:r>
        <w:r w:rsidR="00C82861">
          <w:rPr>
            <w:webHidden/>
          </w:rPr>
          <w:t>38</w:t>
        </w:r>
        <w:r w:rsidR="00C82861">
          <w:rPr>
            <w:webHidden/>
          </w:rPr>
          <w:fldChar w:fldCharType="end"/>
        </w:r>
      </w:hyperlink>
    </w:p>
    <w:p w14:paraId="3270490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2" w:history="1">
        <w:r w:rsidR="00C82861" w:rsidRPr="00E24A17">
          <w:rPr>
            <w:rStyle w:val="Hipervnculo"/>
          </w:rPr>
          <w:t>2.1.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Pruebas de Primera Aplicación</w:t>
        </w:r>
        <w:r w:rsidR="00C82861">
          <w:rPr>
            <w:webHidden/>
          </w:rPr>
          <w:tab/>
        </w:r>
        <w:r w:rsidR="00C82861">
          <w:rPr>
            <w:webHidden/>
          </w:rPr>
          <w:fldChar w:fldCharType="begin"/>
        </w:r>
        <w:r w:rsidR="00C82861">
          <w:rPr>
            <w:webHidden/>
          </w:rPr>
          <w:instrText xml:space="preserve"> PAGEREF _Toc437602062 \h </w:instrText>
        </w:r>
        <w:r w:rsidR="00C82861">
          <w:rPr>
            <w:webHidden/>
          </w:rPr>
        </w:r>
        <w:r w:rsidR="00C82861">
          <w:rPr>
            <w:webHidden/>
          </w:rPr>
          <w:fldChar w:fldCharType="separate"/>
        </w:r>
        <w:r w:rsidR="00C82861">
          <w:rPr>
            <w:webHidden/>
          </w:rPr>
          <w:t>39</w:t>
        </w:r>
        <w:r w:rsidR="00C82861">
          <w:rPr>
            <w:webHidden/>
          </w:rPr>
          <w:fldChar w:fldCharType="end"/>
        </w:r>
      </w:hyperlink>
    </w:p>
    <w:p w14:paraId="18AF5ED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3" w:history="1">
        <w:r w:rsidR="00C82861" w:rsidRPr="00E24A17">
          <w:rPr>
            <w:rStyle w:val="Hipervnculo"/>
          </w:rPr>
          <w:t>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Información relacionada con los servicios</w:t>
        </w:r>
        <w:r w:rsidR="00C82861">
          <w:rPr>
            <w:webHidden/>
          </w:rPr>
          <w:tab/>
        </w:r>
        <w:r w:rsidR="00C82861">
          <w:rPr>
            <w:webHidden/>
          </w:rPr>
          <w:fldChar w:fldCharType="begin"/>
        </w:r>
        <w:r w:rsidR="00C82861">
          <w:rPr>
            <w:webHidden/>
          </w:rPr>
          <w:instrText xml:space="preserve"> PAGEREF _Toc437602063 \h </w:instrText>
        </w:r>
        <w:r w:rsidR="00C82861">
          <w:rPr>
            <w:webHidden/>
          </w:rPr>
        </w:r>
        <w:r w:rsidR="00C82861">
          <w:rPr>
            <w:webHidden/>
          </w:rPr>
          <w:fldChar w:fldCharType="separate"/>
        </w:r>
        <w:r w:rsidR="00C82861">
          <w:rPr>
            <w:webHidden/>
          </w:rPr>
          <w:t>39</w:t>
        </w:r>
        <w:r w:rsidR="00C82861">
          <w:rPr>
            <w:webHidden/>
          </w:rPr>
          <w:fldChar w:fldCharType="end"/>
        </w:r>
      </w:hyperlink>
    </w:p>
    <w:p w14:paraId="1AD59C1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4" w:history="1">
        <w:r w:rsidR="00C82861" w:rsidRPr="00E24A17">
          <w:rPr>
            <w:rStyle w:val="Hipervnculo"/>
          </w:rPr>
          <w:t>3.1.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Descripción de las bases de datos, documentos e información a la que se tiene acceso</w:t>
        </w:r>
        <w:r w:rsidR="00C82861">
          <w:rPr>
            <w:webHidden/>
          </w:rPr>
          <w:tab/>
        </w:r>
        <w:r w:rsidR="00C82861">
          <w:rPr>
            <w:webHidden/>
          </w:rPr>
          <w:fldChar w:fldCharType="begin"/>
        </w:r>
        <w:r w:rsidR="00C82861">
          <w:rPr>
            <w:webHidden/>
          </w:rPr>
          <w:instrText xml:space="preserve"> PAGEREF _Toc437602064 \h </w:instrText>
        </w:r>
        <w:r w:rsidR="00C82861">
          <w:rPr>
            <w:webHidden/>
          </w:rPr>
        </w:r>
        <w:r w:rsidR="00C82861">
          <w:rPr>
            <w:webHidden/>
          </w:rPr>
          <w:fldChar w:fldCharType="separate"/>
        </w:r>
        <w:r w:rsidR="00C82861">
          <w:rPr>
            <w:webHidden/>
          </w:rPr>
          <w:t>41</w:t>
        </w:r>
        <w:r w:rsidR="00C82861">
          <w:rPr>
            <w:webHidden/>
          </w:rPr>
          <w:fldChar w:fldCharType="end"/>
        </w:r>
      </w:hyperlink>
    </w:p>
    <w:p w14:paraId="0FD21D9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5" w:history="1">
        <w:r w:rsidR="00C82861" w:rsidRPr="00E24A17">
          <w:rPr>
            <w:rStyle w:val="Hipervnculo"/>
          </w:rPr>
          <w:t>3.2.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acceso a la información contenida en el sitio de Internet</w:t>
        </w:r>
        <w:r w:rsidR="00C82861">
          <w:rPr>
            <w:webHidden/>
          </w:rPr>
          <w:tab/>
        </w:r>
        <w:r w:rsidR="00C82861">
          <w:rPr>
            <w:webHidden/>
          </w:rPr>
          <w:fldChar w:fldCharType="begin"/>
        </w:r>
        <w:r w:rsidR="00C82861">
          <w:rPr>
            <w:webHidden/>
          </w:rPr>
          <w:instrText xml:space="preserve"> PAGEREF _Toc437602065 \h </w:instrText>
        </w:r>
        <w:r w:rsidR="00C82861">
          <w:rPr>
            <w:webHidden/>
          </w:rPr>
        </w:r>
        <w:r w:rsidR="00C82861">
          <w:rPr>
            <w:webHidden/>
          </w:rPr>
          <w:fldChar w:fldCharType="separate"/>
        </w:r>
        <w:r w:rsidR="00C82861">
          <w:rPr>
            <w:webHidden/>
          </w:rPr>
          <w:t>46</w:t>
        </w:r>
        <w:r w:rsidR="00C82861">
          <w:rPr>
            <w:webHidden/>
          </w:rPr>
          <w:fldChar w:fldCharType="end"/>
        </w:r>
      </w:hyperlink>
    </w:p>
    <w:p w14:paraId="0AC5C74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6" w:history="1">
        <w:r w:rsidR="00C82861" w:rsidRPr="00E24A17">
          <w:rPr>
            <w:rStyle w:val="Hipervnculo"/>
          </w:rPr>
          <w:t>3.2.1.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Guía de Acceso y uso del sitio de Internet</w:t>
        </w:r>
        <w:r w:rsidR="00C82861">
          <w:rPr>
            <w:webHidden/>
          </w:rPr>
          <w:tab/>
        </w:r>
        <w:r w:rsidR="00C82861">
          <w:rPr>
            <w:webHidden/>
          </w:rPr>
          <w:fldChar w:fldCharType="begin"/>
        </w:r>
        <w:r w:rsidR="00C82861">
          <w:rPr>
            <w:webHidden/>
          </w:rPr>
          <w:instrText xml:space="preserve"> PAGEREF _Toc437602066 \h </w:instrText>
        </w:r>
        <w:r w:rsidR="00C82861">
          <w:rPr>
            <w:webHidden/>
          </w:rPr>
        </w:r>
        <w:r w:rsidR="00C82861">
          <w:rPr>
            <w:webHidden/>
          </w:rPr>
          <w:fldChar w:fldCharType="separate"/>
        </w:r>
        <w:r w:rsidR="00C82861">
          <w:rPr>
            <w:webHidden/>
          </w:rPr>
          <w:t>46</w:t>
        </w:r>
        <w:r w:rsidR="00C82861">
          <w:rPr>
            <w:webHidden/>
          </w:rPr>
          <w:fldChar w:fldCharType="end"/>
        </w:r>
      </w:hyperlink>
    </w:p>
    <w:p w14:paraId="607BBD9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7" w:history="1">
        <w:r w:rsidR="00C82861" w:rsidRPr="00E24A17">
          <w:rPr>
            <w:rStyle w:val="Hipervnculo"/>
          </w:rPr>
          <w:t>3.3.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acceso a la información contenida en el SEG o Sistema de Captura</w:t>
        </w:r>
        <w:r w:rsidR="00C82861">
          <w:rPr>
            <w:webHidden/>
          </w:rPr>
          <w:tab/>
        </w:r>
        <w:r w:rsidR="00C82861">
          <w:rPr>
            <w:webHidden/>
          </w:rPr>
          <w:fldChar w:fldCharType="begin"/>
        </w:r>
        <w:r w:rsidR="00C82861">
          <w:rPr>
            <w:webHidden/>
          </w:rPr>
          <w:instrText xml:space="preserve"> PAGEREF _Toc437602067 \h </w:instrText>
        </w:r>
        <w:r w:rsidR="00C82861">
          <w:rPr>
            <w:webHidden/>
          </w:rPr>
        </w:r>
        <w:r w:rsidR="00C82861">
          <w:rPr>
            <w:webHidden/>
          </w:rPr>
          <w:fldChar w:fldCharType="separate"/>
        </w:r>
        <w:r w:rsidR="00C82861">
          <w:rPr>
            <w:webHidden/>
          </w:rPr>
          <w:t>49</w:t>
        </w:r>
        <w:r w:rsidR="00C82861">
          <w:rPr>
            <w:webHidden/>
          </w:rPr>
          <w:fldChar w:fldCharType="end"/>
        </w:r>
      </w:hyperlink>
    </w:p>
    <w:p w14:paraId="062479C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8" w:history="1">
        <w:r w:rsidR="00C82861" w:rsidRPr="00E24A17">
          <w:rPr>
            <w:rStyle w:val="Hipervnculo"/>
          </w:rPr>
          <w:t>3.4.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acceso a la información de forma presencial</w:t>
        </w:r>
        <w:r w:rsidR="00C82861">
          <w:rPr>
            <w:webHidden/>
          </w:rPr>
          <w:tab/>
        </w:r>
        <w:r w:rsidR="00C82861">
          <w:rPr>
            <w:webHidden/>
          </w:rPr>
          <w:fldChar w:fldCharType="begin"/>
        </w:r>
        <w:r w:rsidR="00C82861">
          <w:rPr>
            <w:webHidden/>
          </w:rPr>
          <w:instrText xml:space="preserve"> PAGEREF _Toc437602068 \h </w:instrText>
        </w:r>
        <w:r w:rsidR="00C82861">
          <w:rPr>
            <w:webHidden/>
          </w:rPr>
        </w:r>
        <w:r w:rsidR="00C82861">
          <w:rPr>
            <w:webHidden/>
          </w:rPr>
          <w:fldChar w:fldCharType="separate"/>
        </w:r>
        <w:r w:rsidR="00C82861">
          <w:rPr>
            <w:webHidden/>
          </w:rPr>
          <w:t>50</w:t>
        </w:r>
        <w:r w:rsidR="00C82861">
          <w:rPr>
            <w:webHidden/>
          </w:rPr>
          <w:fldChar w:fldCharType="end"/>
        </w:r>
      </w:hyperlink>
    </w:p>
    <w:p w14:paraId="405FDAA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69" w:history="1">
        <w:r w:rsidR="00C82861" w:rsidRPr="00E24A17">
          <w:rPr>
            <w:rStyle w:val="Hipervnculo"/>
          </w:rPr>
          <w:t>3.5.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acceso a la información a través del medio alterno</w:t>
        </w:r>
        <w:r w:rsidR="00C82861">
          <w:rPr>
            <w:webHidden/>
          </w:rPr>
          <w:tab/>
        </w:r>
        <w:r w:rsidR="00C82861">
          <w:rPr>
            <w:webHidden/>
          </w:rPr>
          <w:fldChar w:fldCharType="begin"/>
        </w:r>
        <w:r w:rsidR="00C82861">
          <w:rPr>
            <w:webHidden/>
          </w:rPr>
          <w:instrText xml:space="preserve"> PAGEREF _Toc437602069 \h </w:instrText>
        </w:r>
        <w:r w:rsidR="00C82861">
          <w:rPr>
            <w:webHidden/>
          </w:rPr>
        </w:r>
        <w:r w:rsidR="00C82861">
          <w:rPr>
            <w:webHidden/>
          </w:rPr>
          <w:fldChar w:fldCharType="separate"/>
        </w:r>
        <w:r w:rsidR="00C82861">
          <w:rPr>
            <w:webHidden/>
          </w:rPr>
          <w:t>50</w:t>
        </w:r>
        <w:r w:rsidR="00C82861">
          <w:rPr>
            <w:webHidden/>
          </w:rPr>
          <w:fldChar w:fldCharType="end"/>
        </w:r>
      </w:hyperlink>
    </w:p>
    <w:p w14:paraId="3853DD9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0" w:history="1">
        <w:r w:rsidR="00C82861" w:rsidRPr="00E24A17">
          <w:rPr>
            <w:rStyle w:val="Hipervnculo"/>
          </w:rPr>
          <w:t>4. Servicio de Reventa de Línea</w:t>
        </w:r>
        <w:r w:rsidR="00C82861">
          <w:rPr>
            <w:webHidden/>
          </w:rPr>
          <w:tab/>
        </w:r>
        <w:r w:rsidR="00C82861">
          <w:rPr>
            <w:webHidden/>
          </w:rPr>
          <w:fldChar w:fldCharType="begin"/>
        </w:r>
        <w:r w:rsidR="00C82861">
          <w:rPr>
            <w:webHidden/>
          </w:rPr>
          <w:instrText xml:space="preserve"> PAGEREF _Toc437602070 \h </w:instrText>
        </w:r>
        <w:r w:rsidR="00C82861">
          <w:rPr>
            <w:webHidden/>
          </w:rPr>
        </w:r>
        <w:r w:rsidR="00C82861">
          <w:rPr>
            <w:webHidden/>
          </w:rPr>
          <w:fldChar w:fldCharType="separate"/>
        </w:r>
        <w:r w:rsidR="00C82861">
          <w:rPr>
            <w:webHidden/>
          </w:rPr>
          <w:t>51</w:t>
        </w:r>
        <w:r w:rsidR="00C82861">
          <w:rPr>
            <w:webHidden/>
          </w:rPr>
          <w:fldChar w:fldCharType="end"/>
        </w:r>
      </w:hyperlink>
    </w:p>
    <w:p w14:paraId="0469723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1" w:history="1">
        <w:r w:rsidR="00C82861" w:rsidRPr="00E24A17">
          <w:rPr>
            <w:rStyle w:val="Hipervnculo"/>
          </w:rPr>
          <w:t>4.1.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Reventa de Línea Telefónica</w:t>
        </w:r>
        <w:r w:rsidR="00C82861">
          <w:rPr>
            <w:webHidden/>
          </w:rPr>
          <w:tab/>
        </w:r>
        <w:r w:rsidR="00C82861">
          <w:rPr>
            <w:webHidden/>
          </w:rPr>
          <w:fldChar w:fldCharType="begin"/>
        </w:r>
        <w:r w:rsidR="00C82861">
          <w:rPr>
            <w:webHidden/>
          </w:rPr>
          <w:instrText xml:space="preserve"> PAGEREF _Toc437602071 \h </w:instrText>
        </w:r>
        <w:r w:rsidR="00C82861">
          <w:rPr>
            <w:webHidden/>
          </w:rPr>
        </w:r>
        <w:r w:rsidR="00C82861">
          <w:rPr>
            <w:webHidden/>
          </w:rPr>
          <w:fldChar w:fldCharType="separate"/>
        </w:r>
        <w:r w:rsidR="00C82861">
          <w:rPr>
            <w:webHidden/>
          </w:rPr>
          <w:t>51</w:t>
        </w:r>
        <w:r w:rsidR="00C82861">
          <w:rPr>
            <w:webHidden/>
          </w:rPr>
          <w:fldChar w:fldCharType="end"/>
        </w:r>
      </w:hyperlink>
    </w:p>
    <w:p w14:paraId="5C4F082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2" w:history="1">
        <w:r w:rsidR="00C82861" w:rsidRPr="00E24A17">
          <w:rPr>
            <w:rStyle w:val="Hipervnculo"/>
          </w:rPr>
          <w:t>4.2 Servicio de Reventa de Infinitum y Servicios de Reventa de Paquetes Infinitum</w:t>
        </w:r>
        <w:r w:rsidR="00C82861">
          <w:rPr>
            <w:webHidden/>
          </w:rPr>
          <w:tab/>
        </w:r>
        <w:r w:rsidR="00C82861">
          <w:rPr>
            <w:webHidden/>
          </w:rPr>
          <w:fldChar w:fldCharType="begin"/>
        </w:r>
        <w:r w:rsidR="00C82861">
          <w:rPr>
            <w:webHidden/>
          </w:rPr>
          <w:instrText xml:space="preserve"> PAGEREF _Toc437602072 \h </w:instrText>
        </w:r>
        <w:r w:rsidR="00C82861">
          <w:rPr>
            <w:webHidden/>
          </w:rPr>
        </w:r>
        <w:r w:rsidR="00C82861">
          <w:rPr>
            <w:webHidden/>
          </w:rPr>
          <w:fldChar w:fldCharType="separate"/>
        </w:r>
        <w:r w:rsidR="00C82861">
          <w:rPr>
            <w:webHidden/>
          </w:rPr>
          <w:t>54</w:t>
        </w:r>
        <w:r w:rsidR="00C82861">
          <w:rPr>
            <w:webHidden/>
          </w:rPr>
          <w:fldChar w:fldCharType="end"/>
        </w:r>
      </w:hyperlink>
    </w:p>
    <w:p w14:paraId="5EF7F8F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3" w:history="1">
        <w:r w:rsidR="00C82861" w:rsidRPr="00E24A17">
          <w:rPr>
            <w:rStyle w:val="Hipervnculo"/>
          </w:rPr>
          <w:t>4.2.1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Reventa de Infinitum</w:t>
        </w:r>
        <w:r w:rsidR="00C82861">
          <w:rPr>
            <w:webHidden/>
          </w:rPr>
          <w:tab/>
        </w:r>
        <w:r w:rsidR="00C82861">
          <w:rPr>
            <w:webHidden/>
          </w:rPr>
          <w:fldChar w:fldCharType="begin"/>
        </w:r>
        <w:r w:rsidR="00C82861">
          <w:rPr>
            <w:webHidden/>
          </w:rPr>
          <w:instrText xml:space="preserve"> PAGEREF _Toc437602073 \h </w:instrText>
        </w:r>
        <w:r w:rsidR="00C82861">
          <w:rPr>
            <w:webHidden/>
          </w:rPr>
        </w:r>
        <w:r w:rsidR="00C82861">
          <w:rPr>
            <w:webHidden/>
          </w:rPr>
          <w:fldChar w:fldCharType="separate"/>
        </w:r>
        <w:r w:rsidR="00C82861">
          <w:rPr>
            <w:webHidden/>
          </w:rPr>
          <w:t>54</w:t>
        </w:r>
        <w:r w:rsidR="00C82861">
          <w:rPr>
            <w:webHidden/>
          </w:rPr>
          <w:fldChar w:fldCharType="end"/>
        </w:r>
      </w:hyperlink>
    </w:p>
    <w:p w14:paraId="6A17C651"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4" w:history="1">
        <w:r w:rsidR="00C82861" w:rsidRPr="00E24A17">
          <w:rPr>
            <w:rStyle w:val="Hipervnculo"/>
          </w:rPr>
          <w:t>4.2.2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Reventa de Paquetes Infinitum</w:t>
        </w:r>
        <w:r w:rsidR="00C82861">
          <w:rPr>
            <w:webHidden/>
          </w:rPr>
          <w:tab/>
        </w:r>
        <w:r w:rsidR="00C82861">
          <w:rPr>
            <w:webHidden/>
          </w:rPr>
          <w:fldChar w:fldCharType="begin"/>
        </w:r>
        <w:r w:rsidR="00C82861">
          <w:rPr>
            <w:webHidden/>
          </w:rPr>
          <w:instrText xml:space="preserve"> PAGEREF _Toc437602074 \h </w:instrText>
        </w:r>
        <w:r w:rsidR="00C82861">
          <w:rPr>
            <w:webHidden/>
          </w:rPr>
        </w:r>
        <w:r w:rsidR="00C82861">
          <w:rPr>
            <w:webHidden/>
          </w:rPr>
          <w:fldChar w:fldCharType="separate"/>
        </w:r>
        <w:r w:rsidR="00C82861">
          <w:rPr>
            <w:webHidden/>
          </w:rPr>
          <w:t>56</w:t>
        </w:r>
        <w:r w:rsidR="00C82861">
          <w:rPr>
            <w:webHidden/>
          </w:rPr>
          <w:fldChar w:fldCharType="end"/>
        </w:r>
      </w:hyperlink>
    </w:p>
    <w:p w14:paraId="2D200B6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5" w:history="1">
        <w:r w:rsidR="00C82861" w:rsidRPr="00E24A17">
          <w:rPr>
            <w:rStyle w:val="Hipervnculo"/>
          </w:rPr>
          <w:t>4.3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Venta de Módem, ONT y teléfonos para Reventa.</w:t>
        </w:r>
        <w:r w:rsidR="00C82861">
          <w:rPr>
            <w:webHidden/>
          </w:rPr>
          <w:tab/>
        </w:r>
        <w:r w:rsidR="00C82861">
          <w:rPr>
            <w:webHidden/>
          </w:rPr>
          <w:fldChar w:fldCharType="begin"/>
        </w:r>
        <w:r w:rsidR="00C82861">
          <w:rPr>
            <w:webHidden/>
          </w:rPr>
          <w:instrText xml:space="preserve"> PAGEREF _Toc437602075 \h </w:instrText>
        </w:r>
        <w:r w:rsidR="00C82861">
          <w:rPr>
            <w:webHidden/>
          </w:rPr>
        </w:r>
        <w:r w:rsidR="00C82861">
          <w:rPr>
            <w:webHidden/>
          </w:rPr>
          <w:fldChar w:fldCharType="separate"/>
        </w:r>
        <w:r w:rsidR="00C82861">
          <w:rPr>
            <w:webHidden/>
          </w:rPr>
          <w:t>58</w:t>
        </w:r>
        <w:r w:rsidR="00C82861">
          <w:rPr>
            <w:webHidden/>
          </w:rPr>
          <w:fldChar w:fldCharType="end"/>
        </w:r>
      </w:hyperlink>
    </w:p>
    <w:p w14:paraId="416289E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6" w:history="1">
        <w:r w:rsidR="00C82861" w:rsidRPr="00E24A17">
          <w:rPr>
            <w:rStyle w:val="Hipervnculo"/>
          </w:rPr>
          <w:t>4.4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Instalación de Cableado Interior de usuario final.</w:t>
        </w:r>
        <w:r w:rsidR="00C82861">
          <w:rPr>
            <w:webHidden/>
          </w:rPr>
          <w:tab/>
        </w:r>
        <w:r w:rsidR="00C82861">
          <w:rPr>
            <w:webHidden/>
          </w:rPr>
          <w:fldChar w:fldCharType="begin"/>
        </w:r>
        <w:r w:rsidR="00C82861">
          <w:rPr>
            <w:webHidden/>
          </w:rPr>
          <w:instrText xml:space="preserve"> PAGEREF _Toc437602076 \h </w:instrText>
        </w:r>
        <w:r w:rsidR="00C82861">
          <w:rPr>
            <w:webHidden/>
          </w:rPr>
        </w:r>
        <w:r w:rsidR="00C82861">
          <w:rPr>
            <w:webHidden/>
          </w:rPr>
          <w:fldChar w:fldCharType="separate"/>
        </w:r>
        <w:r w:rsidR="00C82861">
          <w:rPr>
            <w:webHidden/>
          </w:rPr>
          <w:t>59</w:t>
        </w:r>
        <w:r w:rsidR="00C82861">
          <w:rPr>
            <w:webHidden/>
          </w:rPr>
          <w:fldChar w:fldCharType="end"/>
        </w:r>
      </w:hyperlink>
    </w:p>
    <w:p w14:paraId="7C50EC5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7" w:history="1">
        <w:r w:rsidR="00C82861" w:rsidRPr="00E24A17">
          <w:rPr>
            <w:rStyle w:val="Hipervnculo"/>
          </w:rPr>
          <w:t>4.5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Registro de llamadas (CDR)</w:t>
        </w:r>
        <w:r w:rsidR="00C82861">
          <w:rPr>
            <w:webHidden/>
          </w:rPr>
          <w:tab/>
        </w:r>
        <w:r w:rsidR="00C82861">
          <w:rPr>
            <w:webHidden/>
          </w:rPr>
          <w:fldChar w:fldCharType="begin"/>
        </w:r>
        <w:r w:rsidR="00C82861">
          <w:rPr>
            <w:webHidden/>
          </w:rPr>
          <w:instrText xml:space="preserve"> PAGEREF _Toc437602077 \h </w:instrText>
        </w:r>
        <w:r w:rsidR="00C82861">
          <w:rPr>
            <w:webHidden/>
          </w:rPr>
        </w:r>
        <w:r w:rsidR="00C82861">
          <w:rPr>
            <w:webHidden/>
          </w:rPr>
          <w:fldChar w:fldCharType="separate"/>
        </w:r>
        <w:r w:rsidR="00C82861">
          <w:rPr>
            <w:webHidden/>
          </w:rPr>
          <w:t>62</w:t>
        </w:r>
        <w:r w:rsidR="00C82861">
          <w:rPr>
            <w:webHidden/>
          </w:rPr>
          <w:fldChar w:fldCharType="end"/>
        </w:r>
      </w:hyperlink>
    </w:p>
    <w:p w14:paraId="47885AE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8" w:history="1">
        <w:r w:rsidR="00C82861" w:rsidRPr="00E24A17">
          <w:rPr>
            <w:rStyle w:val="Hipervnculo"/>
          </w:rPr>
          <w:t>4.5.1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i/>
          </w:rPr>
          <w:t>Layout</w:t>
        </w:r>
        <w:r w:rsidR="00C82861" w:rsidRPr="00E24A17">
          <w:rPr>
            <w:rStyle w:val="Hipervnculo"/>
          </w:rPr>
          <w:t xml:space="preserve"> para la entrega de los registros de consumo del Servicio de Reventa de Línea</w:t>
        </w:r>
        <w:r w:rsidR="00C82861">
          <w:rPr>
            <w:webHidden/>
          </w:rPr>
          <w:tab/>
        </w:r>
        <w:r w:rsidR="00C82861">
          <w:rPr>
            <w:webHidden/>
          </w:rPr>
          <w:fldChar w:fldCharType="begin"/>
        </w:r>
        <w:r w:rsidR="00C82861">
          <w:rPr>
            <w:webHidden/>
          </w:rPr>
          <w:instrText xml:space="preserve"> PAGEREF _Toc437602078 \h </w:instrText>
        </w:r>
        <w:r w:rsidR="00C82861">
          <w:rPr>
            <w:webHidden/>
          </w:rPr>
        </w:r>
        <w:r w:rsidR="00C82861">
          <w:rPr>
            <w:webHidden/>
          </w:rPr>
          <w:fldChar w:fldCharType="separate"/>
        </w:r>
        <w:r w:rsidR="00C82861">
          <w:rPr>
            <w:webHidden/>
          </w:rPr>
          <w:t>62</w:t>
        </w:r>
        <w:r w:rsidR="00C82861">
          <w:rPr>
            <w:webHidden/>
          </w:rPr>
          <w:fldChar w:fldCharType="end"/>
        </w:r>
      </w:hyperlink>
    </w:p>
    <w:p w14:paraId="5514A69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79" w:history="1">
        <w:r w:rsidR="00C82861" w:rsidRPr="00E24A17">
          <w:rPr>
            <w:rStyle w:val="Hipervnculo"/>
          </w:rPr>
          <w:t>4.6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contratación, modificación y baja de los servicios de Reventa</w:t>
        </w:r>
        <w:r w:rsidR="00C82861">
          <w:rPr>
            <w:webHidden/>
          </w:rPr>
          <w:tab/>
        </w:r>
        <w:r w:rsidR="00C82861">
          <w:rPr>
            <w:webHidden/>
          </w:rPr>
          <w:fldChar w:fldCharType="begin"/>
        </w:r>
        <w:r w:rsidR="00C82861">
          <w:rPr>
            <w:webHidden/>
          </w:rPr>
          <w:instrText xml:space="preserve"> PAGEREF _Toc437602079 \h </w:instrText>
        </w:r>
        <w:r w:rsidR="00C82861">
          <w:rPr>
            <w:webHidden/>
          </w:rPr>
        </w:r>
        <w:r w:rsidR="00C82861">
          <w:rPr>
            <w:webHidden/>
          </w:rPr>
          <w:fldChar w:fldCharType="separate"/>
        </w:r>
        <w:r w:rsidR="00C82861">
          <w:rPr>
            <w:webHidden/>
          </w:rPr>
          <w:t>63</w:t>
        </w:r>
        <w:r w:rsidR="00C82861">
          <w:rPr>
            <w:webHidden/>
          </w:rPr>
          <w:fldChar w:fldCharType="end"/>
        </w:r>
      </w:hyperlink>
    </w:p>
    <w:p w14:paraId="1447B1B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0" w:history="1">
        <w:r w:rsidR="00C82861" w:rsidRPr="00E24A17">
          <w:rPr>
            <w:rStyle w:val="Hipervnculo"/>
          </w:rPr>
          <w:t>4.7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 de los Servicios de Reventa.</w:t>
        </w:r>
        <w:r w:rsidR="00C82861">
          <w:rPr>
            <w:webHidden/>
          </w:rPr>
          <w:tab/>
        </w:r>
        <w:r w:rsidR="00C82861">
          <w:rPr>
            <w:webHidden/>
          </w:rPr>
          <w:fldChar w:fldCharType="begin"/>
        </w:r>
        <w:r w:rsidR="00C82861">
          <w:rPr>
            <w:webHidden/>
          </w:rPr>
          <w:instrText xml:space="preserve"> PAGEREF _Toc437602080 \h </w:instrText>
        </w:r>
        <w:r w:rsidR="00C82861">
          <w:rPr>
            <w:webHidden/>
          </w:rPr>
        </w:r>
        <w:r w:rsidR="00C82861">
          <w:rPr>
            <w:webHidden/>
          </w:rPr>
          <w:fldChar w:fldCharType="separate"/>
        </w:r>
        <w:r w:rsidR="00C82861">
          <w:rPr>
            <w:webHidden/>
          </w:rPr>
          <w:t>72</w:t>
        </w:r>
        <w:r w:rsidR="00C82861">
          <w:rPr>
            <w:webHidden/>
          </w:rPr>
          <w:fldChar w:fldCharType="end"/>
        </w:r>
      </w:hyperlink>
    </w:p>
    <w:p w14:paraId="1D78AE0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1" w:history="1">
        <w:r w:rsidR="00C82861" w:rsidRPr="00E24A17">
          <w:rPr>
            <w:rStyle w:val="Hipervnculo"/>
          </w:rPr>
          <w:t>4.8</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para los Servicios de Reventa</w:t>
        </w:r>
        <w:r w:rsidR="00C82861">
          <w:rPr>
            <w:webHidden/>
          </w:rPr>
          <w:tab/>
        </w:r>
        <w:r w:rsidR="00C82861">
          <w:rPr>
            <w:webHidden/>
          </w:rPr>
          <w:fldChar w:fldCharType="begin"/>
        </w:r>
        <w:r w:rsidR="00C82861">
          <w:rPr>
            <w:webHidden/>
          </w:rPr>
          <w:instrText xml:space="preserve"> PAGEREF _Toc437602081 \h </w:instrText>
        </w:r>
        <w:r w:rsidR="00C82861">
          <w:rPr>
            <w:webHidden/>
          </w:rPr>
        </w:r>
        <w:r w:rsidR="00C82861">
          <w:rPr>
            <w:webHidden/>
          </w:rPr>
          <w:fldChar w:fldCharType="separate"/>
        </w:r>
        <w:r w:rsidR="00C82861">
          <w:rPr>
            <w:webHidden/>
          </w:rPr>
          <w:t>72</w:t>
        </w:r>
        <w:r w:rsidR="00C82861">
          <w:rPr>
            <w:webHidden/>
          </w:rPr>
          <w:fldChar w:fldCharType="end"/>
        </w:r>
      </w:hyperlink>
    </w:p>
    <w:p w14:paraId="39B98E3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2" w:history="1">
        <w:r w:rsidR="00C82861" w:rsidRPr="00E24A17">
          <w:rPr>
            <w:rStyle w:val="Hipervnculo"/>
          </w:rPr>
          <w:t>4.8.1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Propuesta de mejora de parámetros de calidad</w:t>
        </w:r>
        <w:r w:rsidR="00C82861">
          <w:rPr>
            <w:webHidden/>
          </w:rPr>
          <w:tab/>
        </w:r>
        <w:r w:rsidR="00C82861">
          <w:rPr>
            <w:webHidden/>
          </w:rPr>
          <w:fldChar w:fldCharType="begin"/>
        </w:r>
        <w:r w:rsidR="00C82861">
          <w:rPr>
            <w:webHidden/>
          </w:rPr>
          <w:instrText xml:space="preserve"> PAGEREF _Toc437602082 \h </w:instrText>
        </w:r>
        <w:r w:rsidR="00C82861">
          <w:rPr>
            <w:webHidden/>
          </w:rPr>
        </w:r>
        <w:r w:rsidR="00C82861">
          <w:rPr>
            <w:webHidden/>
          </w:rPr>
          <w:fldChar w:fldCharType="separate"/>
        </w:r>
        <w:r w:rsidR="00C82861">
          <w:rPr>
            <w:webHidden/>
          </w:rPr>
          <w:t>76</w:t>
        </w:r>
        <w:r w:rsidR="00C82861">
          <w:rPr>
            <w:webHidden/>
          </w:rPr>
          <w:fldChar w:fldCharType="end"/>
        </w:r>
      </w:hyperlink>
    </w:p>
    <w:p w14:paraId="1E9108D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3" w:history="1">
        <w:r w:rsidR="00C82861" w:rsidRPr="00E24A17">
          <w:rPr>
            <w:rStyle w:val="Hipervnculo"/>
          </w:rPr>
          <w:t>4.9</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realización de pruebas de entrega de los servicios de Reventa</w:t>
        </w:r>
        <w:r w:rsidR="00C82861">
          <w:rPr>
            <w:webHidden/>
          </w:rPr>
          <w:tab/>
        </w:r>
        <w:r w:rsidR="00C82861">
          <w:rPr>
            <w:webHidden/>
          </w:rPr>
          <w:fldChar w:fldCharType="begin"/>
        </w:r>
        <w:r w:rsidR="00C82861">
          <w:rPr>
            <w:webHidden/>
          </w:rPr>
          <w:instrText xml:space="preserve"> PAGEREF _Toc437602083 \h </w:instrText>
        </w:r>
        <w:r w:rsidR="00C82861">
          <w:rPr>
            <w:webHidden/>
          </w:rPr>
        </w:r>
        <w:r w:rsidR="00C82861">
          <w:rPr>
            <w:webHidden/>
          </w:rPr>
          <w:fldChar w:fldCharType="separate"/>
        </w:r>
        <w:r w:rsidR="00C82861">
          <w:rPr>
            <w:webHidden/>
          </w:rPr>
          <w:t>77</w:t>
        </w:r>
        <w:r w:rsidR="00C82861">
          <w:rPr>
            <w:webHidden/>
          </w:rPr>
          <w:fldChar w:fldCharType="end"/>
        </w:r>
      </w:hyperlink>
    </w:p>
    <w:p w14:paraId="3D0C7FB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4" w:history="1">
        <w:r w:rsidR="00C82861" w:rsidRPr="00E24A17">
          <w:rPr>
            <w:rStyle w:val="Hipervnculo"/>
          </w:rPr>
          <w:t>4.10</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Formatos de los Servicios de Reventa</w:t>
        </w:r>
        <w:r w:rsidR="00C82861">
          <w:rPr>
            <w:webHidden/>
          </w:rPr>
          <w:tab/>
        </w:r>
        <w:r w:rsidR="00C82861">
          <w:rPr>
            <w:webHidden/>
          </w:rPr>
          <w:fldChar w:fldCharType="begin"/>
        </w:r>
        <w:r w:rsidR="00C82861">
          <w:rPr>
            <w:webHidden/>
          </w:rPr>
          <w:instrText xml:space="preserve"> PAGEREF _Toc437602084 \h </w:instrText>
        </w:r>
        <w:r w:rsidR="00C82861">
          <w:rPr>
            <w:webHidden/>
          </w:rPr>
        </w:r>
        <w:r w:rsidR="00C82861">
          <w:rPr>
            <w:webHidden/>
          </w:rPr>
          <w:fldChar w:fldCharType="separate"/>
        </w:r>
        <w:r w:rsidR="00C82861">
          <w:rPr>
            <w:webHidden/>
          </w:rPr>
          <w:t>80</w:t>
        </w:r>
        <w:r w:rsidR="00C82861">
          <w:rPr>
            <w:webHidden/>
          </w:rPr>
          <w:fldChar w:fldCharType="end"/>
        </w:r>
      </w:hyperlink>
    </w:p>
    <w:p w14:paraId="238D3D8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5" w:history="1">
        <w:r w:rsidR="00C82861" w:rsidRPr="00E24A17">
          <w:rPr>
            <w:rStyle w:val="Hipervnculo"/>
          </w:rPr>
          <w:t>5. Servicio de Acceso Indirecto al Bucle</w:t>
        </w:r>
        <w:r w:rsidR="00C82861">
          <w:rPr>
            <w:webHidden/>
          </w:rPr>
          <w:tab/>
        </w:r>
        <w:r w:rsidR="00C82861">
          <w:rPr>
            <w:webHidden/>
          </w:rPr>
          <w:fldChar w:fldCharType="begin"/>
        </w:r>
        <w:r w:rsidR="00C82861">
          <w:rPr>
            <w:webHidden/>
          </w:rPr>
          <w:instrText xml:space="preserve"> PAGEREF _Toc437602085 \h </w:instrText>
        </w:r>
        <w:r w:rsidR="00C82861">
          <w:rPr>
            <w:webHidden/>
          </w:rPr>
        </w:r>
        <w:r w:rsidR="00C82861">
          <w:rPr>
            <w:webHidden/>
          </w:rPr>
          <w:fldChar w:fldCharType="separate"/>
        </w:r>
        <w:r w:rsidR="00C82861">
          <w:rPr>
            <w:webHidden/>
          </w:rPr>
          <w:t>84</w:t>
        </w:r>
        <w:r w:rsidR="00C82861">
          <w:rPr>
            <w:webHidden/>
          </w:rPr>
          <w:fldChar w:fldCharType="end"/>
        </w:r>
      </w:hyperlink>
    </w:p>
    <w:p w14:paraId="7C7DD23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6" w:history="1">
        <w:r w:rsidR="00C82861" w:rsidRPr="00E24A17">
          <w:rPr>
            <w:rStyle w:val="Hipervnculo"/>
          </w:rPr>
          <w:t>5.1. Descripción del Servicio de Acceso Indirecto al Bucle (SAIB)</w:t>
        </w:r>
        <w:r w:rsidR="00C82861">
          <w:rPr>
            <w:webHidden/>
          </w:rPr>
          <w:tab/>
        </w:r>
        <w:r w:rsidR="00C82861">
          <w:rPr>
            <w:webHidden/>
          </w:rPr>
          <w:fldChar w:fldCharType="begin"/>
        </w:r>
        <w:r w:rsidR="00C82861">
          <w:rPr>
            <w:webHidden/>
          </w:rPr>
          <w:instrText xml:space="preserve"> PAGEREF _Toc437602086 \h </w:instrText>
        </w:r>
        <w:r w:rsidR="00C82861">
          <w:rPr>
            <w:webHidden/>
          </w:rPr>
        </w:r>
        <w:r w:rsidR="00C82861">
          <w:rPr>
            <w:webHidden/>
          </w:rPr>
          <w:fldChar w:fldCharType="separate"/>
        </w:r>
        <w:r w:rsidR="00C82861">
          <w:rPr>
            <w:webHidden/>
          </w:rPr>
          <w:t>84</w:t>
        </w:r>
        <w:r w:rsidR="00C82861">
          <w:rPr>
            <w:webHidden/>
          </w:rPr>
          <w:fldChar w:fldCharType="end"/>
        </w:r>
      </w:hyperlink>
    </w:p>
    <w:p w14:paraId="01F6329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7" w:history="1">
        <w:r w:rsidR="00C82861" w:rsidRPr="00E24A17">
          <w:rPr>
            <w:rStyle w:val="Hipervnculo"/>
          </w:rPr>
          <w:t>5.2. Módem del usuario final para SAIB</w:t>
        </w:r>
        <w:r w:rsidR="00C82861">
          <w:rPr>
            <w:webHidden/>
          </w:rPr>
          <w:tab/>
        </w:r>
        <w:r w:rsidR="00C82861">
          <w:rPr>
            <w:webHidden/>
          </w:rPr>
          <w:fldChar w:fldCharType="begin"/>
        </w:r>
        <w:r w:rsidR="00C82861">
          <w:rPr>
            <w:webHidden/>
          </w:rPr>
          <w:instrText xml:space="preserve"> PAGEREF _Toc437602087 \h </w:instrText>
        </w:r>
        <w:r w:rsidR="00C82861">
          <w:rPr>
            <w:webHidden/>
          </w:rPr>
        </w:r>
        <w:r w:rsidR="00C82861">
          <w:rPr>
            <w:webHidden/>
          </w:rPr>
          <w:fldChar w:fldCharType="separate"/>
        </w:r>
        <w:r w:rsidR="00C82861">
          <w:rPr>
            <w:webHidden/>
          </w:rPr>
          <w:t>89</w:t>
        </w:r>
        <w:r w:rsidR="00C82861">
          <w:rPr>
            <w:webHidden/>
          </w:rPr>
          <w:fldChar w:fldCharType="end"/>
        </w:r>
      </w:hyperlink>
    </w:p>
    <w:p w14:paraId="5D00988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8" w:history="1">
        <w:r w:rsidR="00C82861" w:rsidRPr="00E24A17">
          <w:rPr>
            <w:rStyle w:val="Hipervnculo"/>
          </w:rPr>
          <w:t>5.3. Procedimientos de contratación, modificación y baja del SAIB.</w:t>
        </w:r>
        <w:r w:rsidR="00C82861">
          <w:rPr>
            <w:webHidden/>
          </w:rPr>
          <w:tab/>
        </w:r>
        <w:r w:rsidR="00C82861">
          <w:rPr>
            <w:webHidden/>
          </w:rPr>
          <w:fldChar w:fldCharType="begin"/>
        </w:r>
        <w:r w:rsidR="00C82861">
          <w:rPr>
            <w:webHidden/>
          </w:rPr>
          <w:instrText xml:space="preserve"> PAGEREF _Toc437602088 \h </w:instrText>
        </w:r>
        <w:r w:rsidR="00C82861">
          <w:rPr>
            <w:webHidden/>
          </w:rPr>
        </w:r>
        <w:r w:rsidR="00C82861">
          <w:rPr>
            <w:webHidden/>
          </w:rPr>
          <w:fldChar w:fldCharType="separate"/>
        </w:r>
        <w:r w:rsidR="00C82861">
          <w:rPr>
            <w:webHidden/>
          </w:rPr>
          <w:t>97</w:t>
        </w:r>
        <w:r w:rsidR="00C82861">
          <w:rPr>
            <w:webHidden/>
          </w:rPr>
          <w:fldChar w:fldCharType="end"/>
        </w:r>
      </w:hyperlink>
    </w:p>
    <w:p w14:paraId="7AE7AD8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89" w:history="1">
        <w:r w:rsidR="00C82861" w:rsidRPr="00E24A17">
          <w:rPr>
            <w:rStyle w:val="Hipervnculo"/>
          </w:rPr>
          <w:t>5.4. Plazos de Entrega de SAIB.</w:t>
        </w:r>
        <w:r w:rsidR="00C82861">
          <w:rPr>
            <w:webHidden/>
          </w:rPr>
          <w:tab/>
        </w:r>
        <w:r w:rsidR="00C82861">
          <w:rPr>
            <w:webHidden/>
          </w:rPr>
          <w:fldChar w:fldCharType="begin"/>
        </w:r>
        <w:r w:rsidR="00C82861">
          <w:rPr>
            <w:webHidden/>
          </w:rPr>
          <w:instrText xml:space="preserve"> PAGEREF _Toc437602089 \h </w:instrText>
        </w:r>
        <w:r w:rsidR="00C82861">
          <w:rPr>
            <w:webHidden/>
          </w:rPr>
        </w:r>
        <w:r w:rsidR="00C82861">
          <w:rPr>
            <w:webHidden/>
          </w:rPr>
          <w:fldChar w:fldCharType="separate"/>
        </w:r>
        <w:r w:rsidR="00C82861">
          <w:rPr>
            <w:webHidden/>
          </w:rPr>
          <w:t>104</w:t>
        </w:r>
        <w:r w:rsidR="00C82861">
          <w:rPr>
            <w:webHidden/>
          </w:rPr>
          <w:fldChar w:fldCharType="end"/>
        </w:r>
      </w:hyperlink>
    </w:p>
    <w:p w14:paraId="24F855D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0" w:history="1">
        <w:r w:rsidR="00C82861" w:rsidRPr="00E24A17">
          <w:rPr>
            <w:rStyle w:val="Hipervnculo"/>
          </w:rPr>
          <w:t>5.5.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para SAIB</w:t>
        </w:r>
        <w:r w:rsidR="00C82861">
          <w:rPr>
            <w:webHidden/>
          </w:rPr>
          <w:tab/>
        </w:r>
        <w:r w:rsidR="00C82861">
          <w:rPr>
            <w:webHidden/>
          </w:rPr>
          <w:fldChar w:fldCharType="begin"/>
        </w:r>
        <w:r w:rsidR="00C82861">
          <w:rPr>
            <w:webHidden/>
          </w:rPr>
          <w:instrText xml:space="preserve"> PAGEREF _Toc437602090 \h </w:instrText>
        </w:r>
        <w:r w:rsidR="00C82861">
          <w:rPr>
            <w:webHidden/>
          </w:rPr>
        </w:r>
        <w:r w:rsidR="00C82861">
          <w:rPr>
            <w:webHidden/>
          </w:rPr>
          <w:fldChar w:fldCharType="separate"/>
        </w:r>
        <w:r w:rsidR="00C82861">
          <w:rPr>
            <w:webHidden/>
          </w:rPr>
          <w:t>104</w:t>
        </w:r>
        <w:r w:rsidR="00C82861">
          <w:rPr>
            <w:webHidden/>
          </w:rPr>
          <w:fldChar w:fldCharType="end"/>
        </w:r>
      </w:hyperlink>
    </w:p>
    <w:p w14:paraId="66026F5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1" w:history="1">
        <w:r w:rsidR="00C82861" w:rsidRPr="00E24A17">
          <w:rPr>
            <w:rStyle w:val="Hipervnculo"/>
          </w:rPr>
          <w:t>5.6. Puntos de Concentración del SAIB</w:t>
        </w:r>
        <w:r w:rsidR="00C82861">
          <w:rPr>
            <w:webHidden/>
          </w:rPr>
          <w:tab/>
        </w:r>
        <w:r w:rsidR="00C82861">
          <w:rPr>
            <w:webHidden/>
          </w:rPr>
          <w:fldChar w:fldCharType="begin"/>
        </w:r>
        <w:r w:rsidR="00C82861">
          <w:rPr>
            <w:webHidden/>
          </w:rPr>
          <w:instrText xml:space="preserve"> PAGEREF _Toc437602091 \h </w:instrText>
        </w:r>
        <w:r w:rsidR="00C82861">
          <w:rPr>
            <w:webHidden/>
          </w:rPr>
        </w:r>
        <w:r w:rsidR="00C82861">
          <w:rPr>
            <w:webHidden/>
          </w:rPr>
          <w:fldChar w:fldCharType="separate"/>
        </w:r>
        <w:r w:rsidR="00C82861">
          <w:rPr>
            <w:webHidden/>
          </w:rPr>
          <w:t>107</w:t>
        </w:r>
        <w:r w:rsidR="00C82861">
          <w:rPr>
            <w:webHidden/>
          </w:rPr>
          <w:fldChar w:fldCharType="end"/>
        </w:r>
      </w:hyperlink>
    </w:p>
    <w:p w14:paraId="0675A8E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2" w:history="1">
        <w:r w:rsidR="00C82861" w:rsidRPr="00E24A17">
          <w:rPr>
            <w:rStyle w:val="Hipervnculo"/>
          </w:rPr>
          <w:t>5.7.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de pruebas de entrega del SAIB.</w:t>
        </w:r>
        <w:r w:rsidR="00C82861">
          <w:rPr>
            <w:webHidden/>
          </w:rPr>
          <w:tab/>
        </w:r>
        <w:r w:rsidR="00C82861">
          <w:rPr>
            <w:webHidden/>
          </w:rPr>
          <w:fldChar w:fldCharType="begin"/>
        </w:r>
        <w:r w:rsidR="00C82861">
          <w:rPr>
            <w:webHidden/>
          </w:rPr>
          <w:instrText xml:space="preserve"> PAGEREF _Toc437602092 \h </w:instrText>
        </w:r>
        <w:r w:rsidR="00C82861">
          <w:rPr>
            <w:webHidden/>
          </w:rPr>
        </w:r>
        <w:r w:rsidR="00C82861">
          <w:rPr>
            <w:webHidden/>
          </w:rPr>
          <w:fldChar w:fldCharType="separate"/>
        </w:r>
        <w:r w:rsidR="00C82861">
          <w:rPr>
            <w:webHidden/>
          </w:rPr>
          <w:t>108</w:t>
        </w:r>
        <w:r w:rsidR="00C82861">
          <w:rPr>
            <w:webHidden/>
          </w:rPr>
          <w:fldChar w:fldCharType="end"/>
        </w:r>
      </w:hyperlink>
    </w:p>
    <w:p w14:paraId="6ADD9961"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3" w:history="1">
        <w:r w:rsidR="00C82861" w:rsidRPr="00E24A17">
          <w:rPr>
            <w:rStyle w:val="Hipervnculo"/>
          </w:rPr>
          <w:t>5.8. Formato de SAIB</w:t>
        </w:r>
        <w:r w:rsidR="00C82861">
          <w:rPr>
            <w:webHidden/>
          </w:rPr>
          <w:tab/>
        </w:r>
        <w:r w:rsidR="00C82861">
          <w:rPr>
            <w:webHidden/>
          </w:rPr>
          <w:fldChar w:fldCharType="begin"/>
        </w:r>
        <w:r w:rsidR="00C82861">
          <w:rPr>
            <w:webHidden/>
          </w:rPr>
          <w:instrText xml:space="preserve"> PAGEREF _Toc437602093 \h </w:instrText>
        </w:r>
        <w:r w:rsidR="00C82861">
          <w:rPr>
            <w:webHidden/>
          </w:rPr>
        </w:r>
        <w:r w:rsidR="00C82861">
          <w:rPr>
            <w:webHidden/>
          </w:rPr>
          <w:fldChar w:fldCharType="separate"/>
        </w:r>
        <w:r w:rsidR="00C82861">
          <w:rPr>
            <w:webHidden/>
          </w:rPr>
          <w:t>111</w:t>
        </w:r>
        <w:r w:rsidR="00C82861">
          <w:rPr>
            <w:webHidden/>
          </w:rPr>
          <w:fldChar w:fldCharType="end"/>
        </w:r>
      </w:hyperlink>
    </w:p>
    <w:p w14:paraId="52521AE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4" w:history="1">
        <w:r w:rsidR="00C82861" w:rsidRPr="00E24A17">
          <w:rPr>
            <w:rStyle w:val="Hipervnculo"/>
          </w:rPr>
          <w:t xml:space="preserve">6. </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w:t>
        </w:r>
        <w:r w:rsidR="00C82861">
          <w:rPr>
            <w:webHidden/>
          </w:rPr>
          <w:tab/>
        </w:r>
        <w:r w:rsidR="00C82861">
          <w:rPr>
            <w:webHidden/>
          </w:rPr>
          <w:fldChar w:fldCharType="begin"/>
        </w:r>
        <w:r w:rsidR="00C82861">
          <w:rPr>
            <w:webHidden/>
          </w:rPr>
          <w:instrText xml:space="preserve"> PAGEREF _Toc437602094 \h </w:instrText>
        </w:r>
        <w:r w:rsidR="00C82861">
          <w:rPr>
            <w:webHidden/>
          </w:rPr>
        </w:r>
        <w:r w:rsidR="00C82861">
          <w:rPr>
            <w:webHidden/>
          </w:rPr>
          <w:fldChar w:fldCharType="separate"/>
        </w:r>
        <w:r w:rsidR="00C82861">
          <w:rPr>
            <w:webHidden/>
          </w:rPr>
          <w:t>112</w:t>
        </w:r>
        <w:r w:rsidR="00C82861">
          <w:rPr>
            <w:webHidden/>
          </w:rPr>
          <w:fldChar w:fldCharType="end"/>
        </w:r>
      </w:hyperlink>
    </w:p>
    <w:p w14:paraId="32DF8CC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5" w:history="1">
        <w:r w:rsidR="00C82861" w:rsidRPr="00E24A17">
          <w:rPr>
            <w:rStyle w:val="Hipervnculo"/>
          </w:rPr>
          <w:t>6.1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Total del Bucle Local y Servicio de Desagregación Compartida del Bucle Local.</w:t>
        </w:r>
        <w:r w:rsidR="00C82861">
          <w:rPr>
            <w:webHidden/>
          </w:rPr>
          <w:tab/>
        </w:r>
        <w:r w:rsidR="00C82861">
          <w:rPr>
            <w:webHidden/>
          </w:rPr>
          <w:fldChar w:fldCharType="begin"/>
        </w:r>
        <w:r w:rsidR="00C82861">
          <w:rPr>
            <w:webHidden/>
          </w:rPr>
          <w:instrText xml:space="preserve"> PAGEREF _Toc437602095 \h </w:instrText>
        </w:r>
        <w:r w:rsidR="00C82861">
          <w:rPr>
            <w:webHidden/>
          </w:rPr>
        </w:r>
        <w:r w:rsidR="00C82861">
          <w:rPr>
            <w:webHidden/>
          </w:rPr>
          <w:fldChar w:fldCharType="separate"/>
        </w:r>
        <w:r w:rsidR="00C82861">
          <w:rPr>
            <w:webHidden/>
          </w:rPr>
          <w:t>113</w:t>
        </w:r>
        <w:r w:rsidR="00C82861">
          <w:rPr>
            <w:webHidden/>
          </w:rPr>
          <w:fldChar w:fldCharType="end"/>
        </w:r>
      </w:hyperlink>
    </w:p>
    <w:p w14:paraId="45296FB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6" w:history="1">
        <w:r w:rsidR="00C82861" w:rsidRPr="00E24A17">
          <w:rPr>
            <w:rStyle w:val="Hipervnculo"/>
          </w:rPr>
          <w:t>6.1.1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Total del Bucle Local</w:t>
        </w:r>
        <w:r w:rsidR="00C82861">
          <w:rPr>
            <w:webHidden/>
          </w:rPr>
          <w:tab/>
        </w:r>
        <w:r w:rsidR="00C82861">
          <w:rPr>
            <w:webHidden/>
          </w:rPr>
          <w:fldChar w:fldCharType="begin"/>
        </w:r>
        <w:r w:rsidR="00C82861">
          <w:rPr>
            <w:webHidden/>
          </w:rPr>
          <w:instrText xml:space="preserve"> PAGEREF _Toc437602096 \h </w:instrText>
        </w:r>
        <w:r w:rsidR="00C82861">
          <w:rPr>
            <w:webHidden/>
          </w:rPr>
        </w:r>
        <w:r w:rsidR="00C82861">
          <w:rPr>
            <w:webHidden/>
          </w:rPr>
          <w:fldChar w:fldCharType="separate"/>
        </w:r>
        <w:r w:rsidR="00C82861">
          <w:rPr>
            <w:webHidden/>
          </w:rPr>
          <w:t>113</w:t>
        </w:r>
        <w:r w:rsidR="00C82861">
          <w:rPr>
            <w:webHidden/>
          </w:rPr>
          <w:fldChar w:fldCharType="end"/>
        </w:r>
      </w:hyperlink>
    </w:p>
    <w:p w14:paraId="61B06247"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7" w:history="1">
        <w:r w:rsidR="00C82861" w:rsidRPr="00E24A17">
          <w:rPr>
            <w:rStyle w:val="Hipervnculo"/>
          </w:rPr>
          <w:t>6.1.2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Compartida del Bucle Local.</w:t>
        </w:r>
        <w:r w:rsidR="00C82861">
          <w:rPr>
            <w:webHidden/>
          </w:rPr>
          <w:tab/>
        </w:r>
        <w:r w:rsidR="00C82861">
          <w:rPr>
            <w:webHidden/>
          </w:rPr>
          <w:fldChar w:fldCharType="begin"/>
        </w:r>
        <w:r w:rsidR="00C82861">
          <w:rPr>
            <w:webHidden/>
          </w:rPr>
          <w:instrText xml:space="preserve"> PAGEREF _Toc437602097 \h </w:instrText>
        </w:r>
        <w:r w:rsidR="00C82861">
          <w:rPr>
            <w:webHidden/>
          </w:rPr>
        </w:r>
        <w:r w:rsidR="00C82861">
          <w:rPr>
            <w:webHidden/>
          </w:rPr>
          <w:fldChar w:fldCharType="separate"/>
        </w:r>
        <w:r w:rsidR="00C82861">
          <w:rPr>
            <w:webHidden/>
          </w:rPr>
          <w:t>115</w:t>
        </w:r>
        <w:r w:rsidR="00C82861">
          <w:rPr>
            <w:webHidden/>
          </w:rPr>
          <w:fldChar w:fldCharType="end"/>
        </w:r>
      </w:hyperlink>
    </w:p>
    <w:p w14:paraId="46B7159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8" w:history="1">
        <w:r w:rsidR="00C82861" w:rsidRPr="00E24A17">
          <w:rPr>
            <w:rStyle w:val="Hipervnculo"/>
          </w:rPr>
          <w:t>6.1.3 Servicio de Desagregación Total de Fibra Óptica</w:t>
        </w:r>
        <w:r w:rsidR="00C82861">
          <w:rPr>
            <w:webHidden/>
          </w:rPr>
          <w:tab/>
        </w:r>
        <w:r w:rsidR="00C82861">
          <w:rPr>
            <w:webHidden/>
          </w:rPr>
          <w:fldChar w:fldCharType="begin"/>
        </w:r>
        <w:r w:rsidR="00C82861">
          <w:rPr>
            <w:webHidden/>
          </w:rPr>
          <w:instrText xml:space="preserve"> PAGEREF _Toc437602098 \h </w:instrText>
        </w:r>
        <w:r w:rsidR="00C82861">
          <w:rPr>
            <w:webHidden/>
          </w:rPr>
        </w:r>
        <w:r w:rsidR="00C82861">
          <w:rPr>
            <w:webHidden/>
          </w:rPr>
          <w:fldChar w:fldCharType="separate"/>
        </w:r>
        <w:r w:rsidR="00C82861">
          <w:rPr>
            <w:webHidden/>
          </w:rPr>
          <w:t>117</w:t>
        </w:r>
        <w:r w:rsidR="00C82861">
          <w:rPr>
            <w:webHidden/>
          </w:rPr>
          <w:fldChar w:fldCharType="end"/>
        </w:r>
      </w:hyperlink>
    </w:p>
    <w:p w14:paraId="78C4D70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099" w:history="1">
        <w:r w:rsidR="00C82861" w:rsidRPr="00E24A17">
          <w:rPr>
            <w:rStyle w:val="Hipervnculo"/>
          </w:rPr>
          <w:t>6.2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Total del Sub Bucle Local y Servicio de Desagregación Compartida del Sub-Bucle Local.</w:t>
        </w:r>
        <w:r w:rsidR="00C82861">
          <w:rPr>
            <w:webHidden/>
          </w:rPr>
          <w:tab/>
        </w:r>
        <w:r w:rsidR="00C82861">
          <w:rPr>
            <w:webHidden/>
          </w:rPr>
          <w:fldChar w:fldCharType="begin"/>
        </w:r>
        <w:r w:rsidR="00C82861">
          <w:rPr>
            <w:webHidden/>
          </w:rPr>
          <w:instrText xml:space="preserve"> PAGEREF _Toc437602099 \h </w:instrText>
        </w:r>
        <w:r w:rsidR="00C82861">
          <w:rPr>
            <w:webHidden/>
          </w:rPr>
        </w:r>
        <w:r w:rsidR="00C82861">
          <w:rPr>
            <w:webHidden/>
          </w:rPr>
          <w:fldChar w:fldCharType="separate"/>
        </w:r>
        <w:r w:rsidR="00C82861">
          <w:rPr>
            <w:webHidden/>
          </w:rPr>
          <w:t>117</w:t>
        </w:r>
        <w:r w:rsidR="00C82861">
          <w:rPr>
            <w:webHidden/>
          </w:rPr>
          <w:fldChar w:fldCharType="end"/>
        </w:r>
      </w:hyperlink>
    </w:p>
    <w:p w14:paraId="32798A0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0" w:history="1">
        <w:r w:rsidR="00C82861" w:rsidRPr="00E24A17">
          <w:rPr>
            <w:rStyle w:val="Hipervnculo"/>
          </w:rPr>
          <w:t>6.2.1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Total del Sub Bucle Local.</w:t>
        </w:r>
        <w:r w:rsidR="00C82861">
          <w:rPr>
            <w:webHidden/>
          </w:rPr>
          <w:tab/>
        </w:r>
        <w:r w:rsidR="00C82861">
          <w:rPr>
            <w:webHidden/>
          </w:rPr>
          <w:fldChar w:fldCharType="begin"/>
        </w:r>
        <w:r w:rsidR="00C82861">
          <w:rPr>
            <w:webHidden/>
          </w:rPr>
          <w:instrText xml:space="preserve"> PAGEREF _Toc437602100 \h </w:instrText>
        </w:r>
        <w:r w:rsidR="00C82861">
          <w:rPr>
            <w:webHidden/>
          </w:rPr>
        </w:r>
        <w:r w:rsidR="00C82861">
          <w:rPr>
            <w:webHidden/>
          </w:rPr>
          <w:fldChar w:fldCharType="separate"/>
        </w:r>
        <w:r w:rsidR="00C82861">
          <w:rPr>
            <w:webHidden/>
          </w:rPr>
          <w:t>117</w:t>
        </w:r>
        <w:r w:rsidR="00C82861">
          <w:rPr>
            <w:webHidden/>
          </w:rPr>
          <w:fldChar w:fldCharType="end"/>
        </w:r>
      </w:hyperlink>
    </w:p>
    <w:p w14:paraId="7BB0CC7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1" w:history="1">
        <w:r w:rsidR="00C82861" w:rsidRPr="00E24A17">
          <w:rPr>
            <w:rStyle w:val="Hipervnculo"/>
          </w:rPr>
          <w:t>6.2.2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Desagregación Compartida del Sub Bucle.</w:t>
        </w:r>
        <w:r w:rsidR="00C82861">
          <w:rPr>
            <w:webHidden/>
          </w:rPr>
          <w:tab/>
        </w:r>
        <w:r w:rsidR="00C82861">
          <w:rPr>
            <w:webHidden/>
          </w:rPr>
          <w:fldChar w:fldCharType="begin"/>
        </w:r>
        <w:r w:rsidR="00C82861">
          <w:rPr>
            <w:webHidden/>
          </w:rPr>
          <w:instrText xml:space="preserve"> PAGEREF _Toc437602101 \h </w:instrText>
        </w:r>
        <w:r w:rsidR="00C82861">
          <w:rPr>
            <w:webHidden/>
          </w:rPr>
        </w:r>
        <w:r w:rsidR="00C82861">
          <w:rPr>
            <w:webHidden/>
          </w:rPr>
          <w:fldChar w:fldCharType="separate"/>
        </w:r>
        <w:r w:rsidR="00C82861">
          <w:rPr>
            <w:webHidden/>
          </w:rPr>
          <w:t>119</w:t>
        </w:r>
        <w:r w:rsidR="00C82861">
          <w:rPr>
            <w:webHidden/>
          </w:rPr>
          <w:fldChar w:fldCharType="end"/>
        </w:r>
      </w:hyperlink>
    </w:p>
    <w:p w14:paraId="489FD0B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2" w:history="1">
        <w:r w:rsidR="00C82861" w:rsidRPr="00E24A17">
          <w:rPr>
            <w:rStyle w:val="Hipervnculo"/>
          </w:rPr>
          <w:t>6.3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contratación, modificación y baja de los servicios SDTBL, SDCBL, SDTSBL, SDCSBL</w:t>
        </w:r>
        <w:r w:rsidR="00C82861">
          <w:rPr>
            <w:webHidden/>
          </w:rPr>
          <w:tab/>
        </w:r>
        <w:r w:rsidR="00C82861">
          <w:rPr>
            <w:webHidden/>
          </w:rPr>
          <w:fldChar w:fldCharType="begin"/>
        </w:r>
        <w:r w:rsidR="00C82861">
          <w:rPr>
            <w:webHidden/>
          </w:rPr>
          <w:instrText xml:space="preserve"> PAGEREF _Toc437602102 \h </w:instrText>
        </w:r>
        <w:r w:rsidR="00C82861">
          <w:rPr>
            <w:webHidden/>
          </w:rPr>
        </w:r>
        <w:r w:rsidR="00C82861">
          <w:rPr>
            <w:webHidden/>
          </w:rPr>
          <w:fldChar w:fldCharType="separate"/>
        </w:r>
        <w:r w:rsidR="00C82861">
          <w:rPr>
            <w:webHidden/>
          </w:rPr>
          <w:t>121</w:t>
        </w:r>
        <w:r w:rsidR="00C82861">
          <w:rPr>
            <w:webHidden/>
          </w:rPr>
          <w:fldChar w:fldCharType="end"/>
        </w:r>
      </w:hyperlink>
    </w:p>
    <w:p w14:paraId="3617937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3" w:history="1">
        <w:r w:rsidR="00C82861" w:rsidRPr="00E24A17">
          <w:rPr>
            <w:rStyle w:val="Hipervnculo"/>
          </w:rPr>
          <w:t>6.4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w:t>
        </w:r>
        <w:r w:rsidR="00C82861">
          <w:rPr>
            <w:webHidden/>
          </w:rPr>
          <w:tab/>
        </w:r>
        <w:r w:rsidR="00C82861">
          <w:rPr>
            <w:webHidden/>
          </w:rPr>
          <w:fldChar w:fldCharType="begin"/>
        </w:r>
        <w:r w:rsidR="00C82861">
          <w:rPr>
            <w:webHidden/>
          </w:rPr>
          <w:instrText xml:space="preserve"> PAGEREF _Toc437602103 \h </w:instrText>
        </w:r>
        <w:r w:rsidR="00C82861">
          <w:rPr>
            <w:webHidden/>
          </w:rPr>
        </w:r>
        <w:r w:rsidR="00C82861">
          <w:rPr>
            <w:webHidden/>
          </w:rPr>
          <w:fldChar w:fldCharType="separate"/>
        </w:r>
        <w:r w:rsidR="00C82861">
          <w:rPr>
            <w:webHidden/>
          </w:rPr>
          <w:t>126</w:t>
        </w:r>
        <w:r w:rsidR="00C82861">
          <w:rPr>
            <w:webHidden/>
          </w:rPr>
          <w:fldChar w:fldCharType="end"/>
        </w:r>
      </w:hyperlink>
    </w:p>
    <w:p w14:paraId="4180130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4" w:history="1">
        <w:r w:rsidR="00C82861" w:rsidRPr="00E24A17">
          <w:rPr>
            <w:rStyle w:val="Hipervnculo"/>
          </w:rPr>
          <w:t>6.5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de SDTBL, SDCBL, SDTSBL y SDCSBL.</w:t>
        </w:r>
        <w:r w:rsidR="00C82861">
          <w:rPr>
            <w:webHidden/>
          </w:rPr>
          <w:tab/>
        </w:r>
        <w:r w:rsidR="00C82861">
          <w:rPr>
            <w:webHidden/>
          </w:rPr>
          <w:fldChar w:fldCharType="begin"/>
        </w:r>
        <w:r w:rsidR="00C82861">
          <w:rPr>
            <w:webHidden/>
          </w:rPr>
          <w:instrText xml:space="preserve"> PAGEREF _Toc437602104 \h </w:instrText>
        </w:r>
        <w:r w:rsidR="00C82861">
          <w:rPr>
            <w:webHidden/>
          </w:rPr>
        </w:r>
        <w:r w:rsidR="00C82861">
          <w:rPr>
            <w:webHidden/>
          </w:rPr>
          <w:fldChar w:fldCharType="separate"/>
        </w:r>
        <w:r w:rsidR="00C82861">
          <w:rPr>
            <w:webHidden/>
          </w:rPr>
          <w:t>126</w:t>
        </w:r>
        <w:r w:rsidR="00C82861">
          <w:rPr>
            <w:webHidden/>
          </w:rPr>
          <w:fldChar w:fldCharType="end"/>
        </w:r>
      </w:hyperlink>
    </w:p>
    <w:p w14:paraId="6967614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5" w:history="1">
        <w:r w:rsidR="00C82861" w:rsidRPr="00E24A17">
          <w:rPr>
            <w:rStyle w:val="Hipervnculo"/>
          </w:rPr>
          <w:t>6.5.1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Propuesta de mejora de parámetros de calidad</w:t>
        </w:r>
        <w:r w:rsidR="00C82861">
          <w:rPr>
            <w:webHidden/>
          </w:rPr>
          <w:tab/>
        </w:r>
        <w:r w:rsidR="00C82861">
          <w:rPr>
            <w:webHidden/>
          </w:rPr>
          <w:fldChar w:fldCharType="begin"/>
        </w:r>
        <w:r w:rsidR="00C82861">
          <w:rPr>
            <w:webHidden/>
          </w:rPr>
          <w:instrText xml:space="preserve"> PAGEREF _Toc437602105 \h </w:instrText>
        </w:r>
        <w:r w:rsidR="00C82861">
          <w:rPr>
            <w:webHidden/>
          </w:rPr>
        </w:r>
        <w:r w:rsidR="00C82861">
          <w:rPr>
            <w:webHidden/>
          </w:rPr>
          <w:fldChar w:fldCharType="separate"/>
        </w:r>
        <w:r w:rsidR="00C82861">
          <w:rPr>
            <w:webHidden/>
          </w:rPr>
          <w:t>130</w:t>
        </w:r>
        <w:r w:rsidR="00C82861">
          <w:rPr>
            <w:webHidden/>
          </w:rPr>
          <w:fldChar w:fldCharType="end"/>
        </w:r>
      </w:hyperlink>
    </w:p>
    <w:p w14:paraId="3E0C3AF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6" w:history="1">
        <w:r w:rsidR="00C82861" w:rsidRPr="00E24A17">
          <w:rPr>
            <w:rStyle w:val="Hipervnculo"/>
          </w:rPr>
          <w:t>6.6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realización de pruebas de la entrega del SDTBL, SDCBL, SDTBSL, SDCSBL</w:t>
        </w:r>
        <w:r w:rsidR="00C82861">
          <w:rPr>
            <w:webHidden/>
          </w:rPr>
          <w:tab/>
        </w:r>
        <w:r w:rsidR="00C82861">
          <w:rPr>
            <w:webHidden/>
          </w:rPr>
          <w:fldChar w:fldCharType="begin"/>
        </w:r>
        <w:r w:rsidR="00C82861">
          <w:rPr>
            <w:webHidden/>
          </w:rPr>
          <w:instrText xml:space="preserve"> PAGEREF _Toc437602106 \h </w:instrText>
        </w:r>
        <w:r w:rsidR="00C82861">
          <w:rPr>
            <w:webHidden/>
          </w:rPr>
        </w:r>
        <w:r w:rsidR="00C82861">
          <w:rPr>
            <w:webHidden/>
          </w:rPr>
          <w:fldChar w:fldCharType="separate"/>
        </w:r>
        <w:r w:rsidR="00C82861">
          <w:rPr>
            <w:webHidden/>
          </w:rPr>
          <w:t>130</w:t>
        </w:r>
        <w:r w:rsidR="00C82861">
          <w:rPr>
            <w:webHidden/>
          </w:rPr>
          <w:fldChar w:fldCharType="end"/>
        </w:r>
      </w:hyperlink>
    </w:p>
    <w:p w14:paraId="763FACF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7" w:history="1">
        <w:r w:rsidR="00C82861" w:rsidRPr="00E24A17">
          <w:rPr>
            <w:rStyle w:val="Hipervnculo"/>
          </w:rPr>
          <w:t>6.7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Formatos de los Servicios de Desagregación</w:t>
        </w:r>
        <w:r w:rsidR="00C82861">
          <w:rPr>
            <w:webHidden/>
          </w:rPr>
          <w:tab/>
        </w:r>
        <w:r w:rsidR="00C82861">
          <w:rPr>
            <w:webHidden/>
          </w:rPr>
          <w:fldChar w:fldCharType="begin"/>
        </w:r>
        <w:r w:rsidR="00C82861">
          <w:rPr>
            <w:webHidden/>
          </w:rPr>
          <w:instrText xml:space="preserve"> PAGEREF _Toc437602107 \h </w:instrText>
        </w:r>
        <w:r w:rsidR="00C82861">
          <w:rPr>
            <w:webHidden/>
          </w:rPr>
        </w:r>
        <w:r w:rsidR="00C82861">
          <w:rPr>
            <w:webHidden/>
          </w:rPr>
          <w:fldChar w:fldCharType="separate"/>
        </w:r>
        <w:r w:rsidR="00C82861">
          <w:rPr>
            <w:webHidden/>
          </w:rPr>
          <w:t>134</w:t>
        </w:r>
        <w:r w:rsidR="00C82861">
          <w:rPr>
            <w:webHidden/>
          </w:rPr>
          <w:fldChar w:fldCharType="end"/>
        </w:r>
      </w:hyperlink>
    </w:p>
    <w:p w14:paraId="03DC3EC7"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8" w:history="1">
        <w:r w:rsidR="00C82861" w:rsidRPr="00E24A17">
          <w:rPr>
            <w:rStyle w:val="Hipervnculo"/>
          </w:rPr>
          <w:t>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Coubicación para Desagregación del Bucle</w:t>
        </w:r>
        <w:r w:rsidR="00C82861">
          <w:rPr>
            <w:webHidden/>
          </w:rPr>
          <w:tab/>
        </w:r>
        <w:r w:rsidR="00C82861">
          <w:rPr>
            <w:webHidden/>
          </w:rPr>
          <w:fldChar w:fldCharType="begin"/>
        </w:r>
        <w:r w:rsidR="00C82861">
          <w:rPr>
            <w:webHidden/>
          </w:rPr>
          <w:instrText xml:space="preserve"> PAGEREF _Toc437602108 \h </w:instrText>
        </w:r>
        <w:r w:rsidR="00C82861">
          <w:rPr>
            <w:webHidden/>
          </w:rPr>
        </w:r>
        <w:r w:rsidR="00C82861">
          <w:rPr>
            <w:webHidden/>
          </w:rPr>
          <w:fldChar w:fldCharType="separate"/>
        </w:r>
        <w:r w:rsidR="00C82861">
          <w:rPr>
            <w:webHidden/>
          </w:rPr>
          <w:t>138</w:t>
        </w:r>
        <w:r w:rsidR="00C82861">
          <w:rPr>
            <w:webHidden/>
          </w:rPr>
          <w:fldChar w:fldCharType="end"/>
        </w:r>
      </w:hyperlink>
    </w:p>
    <w:p w14:paraId="33611C41"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09" w:history="1">
        <w:r w:rsidR="00C82861" w:rsidRPr="00E24A17">
          <w:rPr>
            <w:rStyle w:val="Hipervnculo"/>
          </w:rPr>
          <w:t>7.1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Coubicación Cerrada (CC)</w:t>
        </w:r>
        <w:r w:rsidR="00C82861">
          <w:rPr>
            <w:webHidden/>
          </w:rPr>
          <w:tab/>
        </w:r>
        <w:r w:rsidR="00C82861">
          <w:rPr>
            <w:webHidden/>
          </w:rPr>
          <w:fldChar w:fldCharType="begin"/>
        </w:r>
        <w:r w:rsidR="00C82861">
          <w:rPr>
            <w:webHidden/>
          </w:rPr>
          <w:instrText xml:space="preserve"> PAGEREF _Toc437602109 \h </w:instrText>
        </w:r>
        <w:r w:rsidR="00C82861">
          <w:rPr>
            <w:webHidden/>
          </w:rPr>
        </w:r>
        <w:r w:rsidR="00C82861">
          <w:rPr>
            <w:webHidden/>
          </w:rPr>
          <w:fldChar w:fldCharType="separate"/>
        </w:r>
        <w:r w:rsidR="00C82861">
          <w:rPr>
            <w:webHidden/>
          </w:rPr>
          <w:t>139</w:t>
        </w:r>
        <w:r w:rsidR="00C82861">
          <w:rPr>
            <w:webHidden/>
          </w:rPr>
          <w:fldChar w:fldCharType="end"/>
        </w:r>
      </w:hyperlink>
    </w:p>
    <w:p w14:paraId="2F85B9C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0" w:history="1">
        <w:r w:rsidR="00C82861" w:rsidRPr="00E24A17">
          <w:rPr>
            <w:rStyle w:val="Hipervnculo"/>
          </w:rPr>
          <w:t>7.2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Coubicación Básica (CB)</w:t>
        </w:r>
        <w:r w:rsidR="00C82861">
          <w:rPr>
            <w:webHidden/>
          </w:rPr>
          <w:tab/>
        </w:r>
        <w:r w:rsidR="00C82861">
          <w:rPr>
            <w:webHidden/>
          </w:rPr>
          <w:fldChar w:fldCharType="begin"/>
        </w:r>
        <w:r w:rsidR="00C82861">
          <w:rPr>
            <w:webHidden/>
          </w:rPr>
          <w:instrText xml:space="preserve"> PAGEREF _Toc437602110 \h </w:instrText>
        </w:r>
        <w:r w:rsidR="00C82861">
          <w:rPr>
            <w:webHidden/>
          </w:rPr>
        </w:r>
        <w:r w:rsidR="00C82861">
          <w:rPr>
            <w:webHidden/>
          </w:rPr>
          <w:fldChar w:fldCharType="separate"/>
        </w:r>
        <w:r w:rsidR="00C82861">
          <w:rPr>
            <w:webHidden/>
          </w:rPr>
          <w:t>142</w:t>
        </w:r>
        <w:r w:rsidR="00C82861">
          <w:rPr>
            <w:webHidden/>
          </w:rPr>
          <w:fldChar w:fldCharType="end"/>
        </w:r>
      </w:hyperlink>
    </w:p>
    <w:p w14:paraId="38353B7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1" w:history="1">
        <w:r w:rsidR="00C82861" w:rsidRPr="00E24A17">
          <w:rPr>
            <w:rStyle w:val="Hipervnculo"/>
          </w:rPr>
          <w:t>7.3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Coubicación Equipada (CEq)</w:t>
        </w:r>
        <w:r w:rsidR="00C82861">
          <w:rPr>
            <w:webHidden/>
          </w:rPr>
          <w:tab/>
        </w:r>
        <w:r w:rsidR="00C82861">
          <w:rPr>
            <w:webHidden/>
          </w:rPr>
          <w:fldChar w:fldCharType="begin"/>
        </w:r>
        <w:r w:rsidR="00C82861">
          <w:rPr>
            <w:webHidden/>
          </w:rPr>
          <w:instrText xml:space="preserve"> PAGEREF _Toc437602111 \h </w:instrText>
        </w:r>
        <w:r w:rsidR="00C82861">
          <w:rPr>
            <w:webHidden/>
          </w:rPr>
        </w:r>
        <w:r w:rsidR="00C82861">
          <w:rPr>
            <w:webHidden/>
          </w:rPr>
          <w:fldChar w:fldCharType="separate"/>
        </w:r>
        <w:r w:rsidR="00C82861">
          <w:rPr>
            <w:webHidden/>
          </w:rPr>
          <w:t>144</w:t>
        </w:r>
        <w:r w:rsidR="00C82861">
          <w:rPr>
            <w:webHidden/>
          </w:rPr>
          <w:fldChar w:fldCharType="end"/>
        </w:r>
      </w:hyperlink>
    </w:p>
    <w:p w14:paraId="6D384B0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2" w:history="1">
        <w:r w:rsidR="00C82861" w:rsidRPr="00E24A17">
          <w:rPr>
            <w:rStyle w:val="Hipervnculo"/>
          </w:rPr>
          <w:t>7.4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Adecuaciones disponibles para la Coubicación.</w:t>
        </w:r>
        <w:r w:rsidR="00C82861">
          <w:rPr>
            <w:webHidden/>
          </w:rPr>
          <w:tab/>
        </w:r>
        <w:r w:rsidR="00C82861">
          <w:rPr>
            <w:webHidden/>
          </w:rPr>
          <w:fldChar w:fldCharType="begin"/>
        </w:r>
        <w:r w:rsidR="00C82861">
          <w:rPr>
            <w:webHidden/>
          </w:rPr>
          <w:instrText xml:space="preserve"> PAGEREF _Toc437602112 \h </w:instrText>
        </w:r>
        <w:r w:rsidR="00C82861">
          <w:rPr>
            <w:webHidden/>
          </w:rPr>
        </w:r>
        <w:r w:rsidR="00C82861">
          <w:rPr>
            <w:webHidden/>
          </w:rPr>
          <w:fldChar w:fldCharType="separate"/>
        </w:r>
        <w:r w:rsidR="00C82861">
          <w:rPr>
            <w:webHidden/>
          </w:rPr>
          <w:t>150</w:t>
        </w:r>
        <w:r w:rsidR="00C82861">
          <w:rPr>
            <w:webHidden/>
          </w:rPr>
          <w:fldChar w:fldCharType="end"/>
        </w:r>
      </w:hyperlink>
    </w:p>
    <w:p w14:paraId="23A442B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3" w:history="1">
        <w:r w:rsidR="00C82861" w:rsidRPr="00E24A17">
          <w:rPr>
            <w:rStyle w:val="Hipervnculo"/>
          </w:rPr>
          <w:t>7.5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Identificador de Ubicación en Lenguaje Común (CLLI)</w:t>
        </w:r>
        <w:r w:rsidR="00C82861">
          <w:rPr>
            <w:webHidden/>
          </w:rPr>
          <w:tab/>
        </w:r>
        <w:r w:rsidR="00C82861">
          <w:rPr>
            <w:webHidden/>
          </w:rPr>
          <w:fldChar w:fldCharType="begin"/>
        </w:r>
        <w:r w:rsidR="00C82861">
          <w:rPr>
            <w:webHidden/>
          </w:rPr>
          <w:instrText xml:space="preserve"> PAGEREF _Toc437602113 \h </w:instrText>
        </w:r>
        <w:r w:rsidR="00C82861">
          <w:rPr>
            <w:webHidden/>
          </w:rPr>
        </w:r>
        <w:r w:rsidR="00C82861">
          <w:rPr>
            <w:webHidden/>
          </w:rPr>
          <w:fldChar w:fldCharType="separate"/>
        </w:r>
        <w:r w:rsidR="00C82861">
          <w:rPr>
            <w:webHidden/>
          </w:rPr>
          <w:t>151</w:t>
        </w:r>
        <w:r w:rsidR="00C82861">
          <w:rPr>
            <w:webHidden/>
          </w:rPr>
          <w:fldChar w:fldCharType="end"/>
        </w:r>
      </w:hyperlink>
    </w:p>
    <w:p w14:paraId="6FA005D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4" w:history="1">
        <w:r w:rsidR="00C82861" w:rsidRPr="00E24A17">
          <w:rPr>
            <w:rStyle w:val="Hipervnculo"/>
          </w:rPr>
          <w:t>7.6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Reasignación y Servicio de Recuperación de Espacio de Coubicación para Desagregación.</w:t>
        </w:r>
        <w:r w:rsidR="00C82861">
          <w:rPr>
            <w:webHidden/>
          </w:rPr>
          <w:tab/>
        </w:r>
        <w:r w:rsidR="00C82861">
          <w:rPr>
            <w:webHidden/>
          </w:rPr>
          <w:fldChar w:fldCharType="begin"/>
        </w:r>
        <w:r w:rsidR="00C82861">
          <w:rPr>
            <w:webHidden/>
          </w:rPr>
          <w:instrText xml:space="preserve"> PAGEREF _Toc437602114 \h </w:instrText>
        </w:r>
        <w:r w:rsidR="00C82861">
          <w:rPr>
            <w:webHidden/>
          </w:rPr>
        </w:r>
        <w:r w:rsidR="00C82861">
          <w:rPr>
            <w:webHidden/>
          </w:rPr>
          <w:fldChar w:fldCharType="separate"/>
        </w:r>
        <w:r w:rsidR="00C82861">
          <w:rPr>
            <w:webHidden/>
          </w:rPr>
          <w:t>151</w:t>
        </w:r>
        <w:r w:rsidR="00C82861">
          <w:rPr>
            <w:webHidden/>
          </w:rPr>
          <w:fldChar w:fldCharType="end"/>
        </w:r>
      </w:hyperlink>
    </w:p>
    <w:p w14:paraId="690E405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5" w:history="1">
        <w:r w:rsidR="00C82861" w:rsidRPr="00E24A17">
          <w:rPr>
            <w:rStyle w:val="Hipervnculo"/>
          </w:rPr>
          <w:t>7.7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contratación, modificación, mantenimiento y baja del servicio.</w:t>
        </w:r>
        <w:r w:rsidR="00C82861">
          <w:rPr>
            <w:webHidden/>
          </w:rPr>
          <w:tab/>
        </w:r>
        <w:r w:rsidR="00C82861">
          <w:rPr>
            <w:webHidden/>
          </w:rPr>
          <w:fldChar w:fldCharType="begin"/>
        </w:r>
        <w:r w:rsidR="00C82861">
          <w:rPr>
            <w:webHidden/>
          </w:rPr>
          <w:instrText xml:space="preserve"> PAGEREF _Toc437602115 \h </w:instrText>
        </w:r>
        <w:r w:rsidR="00C82861">
          <w:rPr>
            <w:webHidden/>
          </w:rPr>
        </w:r>
        <w:r w:rsidR="00C82861">
          <w:rPr>
            <w:webHidden/>
          </w:rPr>
          <w:fldChar w:fldCharType="separate"/>
        </w:r>
        <w:r w:rsidR="00C82861">
          <w:rPr>
            <w:webHidden/>
          </w:rPr>
          <w:t>152</w:t>
        </w:r>
        <w:r w:rsidR="00C82861">
          <w:rPr>
            <w:webHidden/>
          </w:rPr>
          <w:fldChar w:fldCharType="end"/>
        </w:r>
      </w:hyperlink>
    </w:p>
    <w:p w14:paraId="62C6F4B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6" w:history="1">
        <w:r w:rsidR="00C82861" w:rsidRPr="00E24A17">
          <w:rPr>
            <w:rStyle w:val="Hipervnculo"/>
          </w:rPr>
          <w:t>7.8</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 de Coubicación</w:t>
        </w:r>
        <w:r w:rsidR="00C82861">
          <w:rPr>
            <w:webHidden/>
          </w:rPr>
          <w:tab/>
        </w:r>
        <w:r w:rsidR="00C82861">
          <w:rPr>
            <w:webHidden/>
          </w:rPr>
          <w:fldChar w:fldCharType="begin"/>
        </w:r>
        <w:r w:rsidR="00C82861">
          <w:rPr>
            <w:webHidden/>
          </w:rPr>
          <w:instrText xml:space="preserve"> PAGEREF _Toc437602116 \h </w:instrText>
        </w:r>
        <w:r w:rsidR="00C82861">
          <w:rPr>
            <w:webHidden/>
          </w:rPr>
        </w:r>
        <w:r w:rsidR="00C82861">
          <w:rPr>
            <w:webHidden/>
          </w:rPr>
          <w:fldChar w:fldCharType="separate"/>
        </w:r>
        <w:r w:rsidR="00C82861">
          <w:rPr>
            <w:webHidden/>
          </w:rPr>
          <w:t>160</w:t>
        </w:r>
        <w:r w:rsidR="00C82861">
          <w:rPr>
            <w:webHidden/>
          </w:rPr>
          <w:fldChar w:fldCharType="end"/>
        </w:r>
      </w:hyperlink>
    </w:p>
    <w:p w14:paraId="05A5EEC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7" w:history="1">
        <w:r w:rsidR="00C82861" w:rsidRPr="00E24A17">
          <w:rPr>
            <w:rStyle w:val="Hipervnculo"/>
            <w:lang w:val="es-ES"/>
          </w:rPr>
          <w:t>7.9</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lang w:val="es-ES"/>
          </w:rPr>
          <w:t>Parámetros e indicadores de calidad para los Servicios de Coubicación</w:t>
        </w:r>
        <w:r w:rsidR="00C82861">
          <w:rPr>
            <w:webHidden/>
          </w:rPr>
          <w:tab/>
        </w:r>
        <w:r w:rsidR="00C82861">
          <w:rPr>
            <w:webHidden/>
          </w:rPr>
          <w:fldChar w:fldCharType="begin"/>
        </w:r>
        <w:r w:rsidR="00C82861">
          <w:rPr>
            <w:webHidden/>
          </w:rPr>
          <w:instrText xml:space="preserve"> PAGEREF _Toc437602117 \h </w:instrText>
        </w:r>
        <w:r w:rsidR="00C82861">
          <w:rPr>
            <w:webHidden/>
          </w:rPr>
        </w:r>
        <w:r w:rsidR="00C82861">
          <w:rPr>
            <w:webHidden/>
          </w:rPr>
          <w:fldChar w:fldCharType="separate"/>
        </w:r>
        <w:r w:rsidR="00C82861">
          <w:rPr>
            <w:webHidden/>
          </w:rPr>
          <w:t>161</w:t>
        </w:r>
        <w:r w:rsidR="00C82861">
          <w:rPr>
            <w:webHidden/>
          </w:rPr>
          <w:fldChar w:fldCharType="end"/>
        </w:r>
      </w:hyperlink>
    </w:p>
    <w:p w14:paraId="49C66F9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8" w:history="1">
        <w:r w:rsidR="00C82861" w:rsidRPr="00E24A17">
          <w:rPr>
            <w:rStyle w:val="Hipervnculo"/>
            <w:lang w:val="es-MX"/>
          </w:rPr>
          <w:t>7.9.1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lang w:val="es-MX"/>
          </w:rPr>
          <w:t>Propuesta de mejora de parámetros de calidad</w:t>
        </w:r>
        <w:r w:rsidR="00C82861">
          <w:rPr>
            <w:webHidden/>
          </w:rPr>
          <w:tab/>
        </w:r>
        <w:r w:rsidR="00C82861">
          <w:rPr>
            <w:webHidden/>
          </w:rPr>
          <w:fldChar w:fldCharType="begin"/>
        </w:r>
        <w:r w:rsidR="00C82861">
          <w:rPr>
            <w:webHidden/>
          </w:rPr>
          <w:instrText xml:space="preserve"> PAGEREF _Toc437602118 \h </w:instrText>
        </w:r>
        <w:r w:rsidR="00C82861">
          <w:rPr>
            <w:webHidden/>
          </w:rPr>
        </w:r>
        <w:r w:rsidR="00C82861">
          <w:rPr>
            <w:webHidden/>
          </w:rPr>
          <w:fldChar w:fldCharType="separate"/>
        </w:r>
        <w:r w:rsidR="00C82861">
          <w:rPr>
            <w:webHidden/>
          </w:rPr>
          <w:t>165</w:t>
        </w:r>
        <w:r w:rsidR="00C82861">
          <w:rPr>
            <w:webHidden/>
          </w:rPr>
          <w:fldChar w:fldCharType="end"/>
        </w:r>
      </w:hyperlink>
    </w:p>
    <w:p w14:paraId="5CB47E4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19" w:history="1">
        <w:r w:rsidR="00C82861" w:rsidRPr="00E24A17">
          <w:rPr>
            <w:rStyle w:val="Hipervnculo"/>
          </w:rPr>
          <w:t>7.10</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realización de pruebas de entrega del Servicio de Coubicación para Desagregación</w:t>
        </w:r>
        <w:r w:rsidR="00C82861">
          <w:rPr>
            <w:webHidden/>
          </w:rPr>
          <w:tab/>
        </w:r>
        <w:r w:rsidR="00C82861">
          <w:rPr>
            <w:webHidden/>
          </w:rPr>
          <w:fldChar w:fldCharType="begin"/>
        </w:r>
        <w:r w:rsidR="00C82861">
          <w:rPr>
            <w:webHidden/>
          </w:rPr>
          <w:instrText xml:space="preserve"> PAGEREF _Toc437602119 \h </w:instrText>
        </w:r>
        <w:r w:rsidR="00C82861">
          <w:rPr>
            <w:webHidden/>
          </w:rPr>
        </w:r>
        <w:r w:rsidR="00C82861">
          <w:rPr>
            <w:webHidden/>
          </w:rPr>
          <w:fldChar w:fldCharType="separate"/>
        </w:r>
        <w:r w:rsidR="00C82861">
          <w:rPr>
            <w:webHidden/>
          </w:rPr>
          <w:t>166</w:t>
        </w:r>
        <w:r w:rsidR="00C82861">
          <w:rPr>
            <w:webHidden/>
          </w:rPr>
          <w:fldChar w:fldCharType="end"/>
        </w:r>
      </w:hyperlink>
    </w:p>
    <w:p w14:paraId="135E268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0" w:history="1">
        <w:r w:rsidR="00C82861" w:rsidRPr="00E24A17">
          <w:rPr>
            <w:rStyle w:val="Hipervnculo"/>
          </w:rPr>
          <w:t>7.11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Formatos aplicables al Servicio de Coubicación para Desagregación</w:t>
        </w:r>
        <w:r w:rsidR="00C82861">
          <w:rPr>
            <w:webHidden/>
          </w:rPr>
          <w:tab/>
        </w:r>
        <w:r w:rsidR="00C82861">
          <w:rPr>
            <w:webHidden/>
          </w:rPr>
          <w:fldChar w:fldCharType="begin"/>
        </w:r>
        <w:r w:rsidR="00C82861">
          <w:rPr>
            <w:webHidden/>
          </w:rPr>
          <w:instrText xml:space="preserve"> PAGEREF _Toc437602120 \h </w:instrText>
        </w:r>
        <w:r w:rsidR="00C82861">
          <w:rPr>
            <w:webHidden/>
          </w:rPr>
        </w:r>
        <w:r w:rsidR="00C82861">
          <w:rPr>
            <w:webHidden/>
          </w:rPr>
          <w:fldChar w:fldCharType="separate"/>
        </w:r>
        <w:r w:rsidR="00C82861">
          <w:rPr>
            <w:webHidden/>
          </w:rPr>
          <w:t>167</w:t>
        </w:r>
        <w:r w:rsidR="00C82861">
          <w:rPr>
            <w:webHidden/>
          </w:rPr>
          <w:fldChar w:fldCharType="end"/>
        </w:r>
      </w:hyperlink>
    </w:p>
    <w:p w14:paraId="1DF867E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1" w:history="1">
        <w:r w:rsidR="00C82861" w:rsidRPr="00E24A17">
          <w:rPr>
            <w:rStyle w:val="Hipervnculo"/>
          </w:rPr>
          <w:t>8.</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Auxiliar de Cableado Multipar</w:t>
        </w:r>
        <w:r w:rsidR="00C82861">
          <w:rPr>
            <w:webHidden/>
          </w:rPr>
          <w:tab/>
        </w:r>
        <w:r w:rsidR="00C82861">
          <w:rPr>
            <w:webHidden/>
          </w:rPr>
          <w:fldChar w:fldCharType="begin"/>
        </w:r>
        <w:r w:rsidR="00C82861">
          <w:rPr>
            <w:webHidden/>
          </w:rPr>
          <w:instrText xml:space="preserve"> PAGEREF _Toc437602121 \h </w:instrText>
        </w:r>
        <w:r w:rsidR="00C82861">
          <w:rPr>
            <w:webHidden/>
          </w:rPr>
        </w:r>
        <w:r w:rsidR="00C82861">
          <w:rPr>
            <w:webHidden/>
          </w:rPr>
          <w:fldChar w:fldCharType="separate"/>
        </w:r>
        <w:r w:rsidR="00C82861">
          <w:rPr>
            <w:webHidden/>
          </w:rPr>
          <w:t>170</w:t>
        </w:r>
        <w:r w:rsidR="00C82861">
          <w:rPr>
            <w:webHidden/>
          </w:rPr>
          <w:fldChar w:fldCharType="end"/>
        </w:r>
      </w:hyperlink>
    </w:p>
    <w:p w14:paraId="5DB7BDF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2" w:history="1">
        <w:r w:rsidR="00C82861" w:rsidRPr="00E24A17">
          <w:rPr>
            <w:rStyle w:val="Hipervnculo"/>
          </w:rPr>
          <w:t>8.1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Tendido de Cableado Multipar</w:t>
        </w:r>
        <w:r w:rsidR="00C82861">
          <w:rPr>
            <w:webHidden/>
          </w:rPr>
          <w:tab/>
        </w:r>
        <w:r w:rsidR="00C82861">
          <w:rPr>
            <w:webHidden/>
          </w:rPr>
          <w:fldChar w:fldCharType="begin"/>
        </w:r>
        <w:r w:rsidR="00C82861">
          <w:rPr>
            <w:webHidden/>
          </w:rPr>
          <w:instrText xml:space="preserve"> PAGEREF _Toc437602122 \h </w:instrText>
        </w:r>
        <w:r w:rsidR="00C82861">
          <w:rPr>
            <w:webHidden/>
          </w:rPr>
        </w:r>
        <w:r w:rsidR="00C82861">
          <w:rPr>
            <w:webHidden/>
          </w:rPr>
          <w:fldChar w:fldCharType="separate"/>
        </w:r>
        <w:r w:rsidR="00C82861">
          <w:rPr>
            <w:webHidden/>
          </w:rPr>
          <w:t>171</w:t>
        </w:r>
        <w:r w:rsidR="00C82861">
          <w:rPr>
            <w:webHidden/>
          </w:rPr>
          <w:fldChar w:fldCharType="end"/>
        </w:r>
      </w:hyperlink>
    </w:p>
    <w:p w14:paraId="6D00C3B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3" w:history="1">
        <w:r w:rsidR="00C82861" w:rsidRPr="00E24A17">
          <w:rPr>
            <w:rStyle w:val="Hipervnculo"/>
          </w:rPr>
          <w:t>8.2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contratación, modificación y baja del servicio de Cableado Multipar.</w:t>
        </w:r>
        <w:r w:rsidR="00C82861">
          <w:rPr>
            <w:webHidden/>
          </w:rPr>
          <w:tab/>
        </w:r>
        <w:r w:rsidR="00C82861">
          <w:rPr>
            <w:webHidden/>
          </w:rPr>
          <w:fldChar w:fldCharType="begin"/>
        </w:r>
        <w:r w:rsidR="00C82861">
          <w:rPr>
            <w:webHidden/>
          </w:rPr>
          <w:instrText xml:space="preserve"> PAGEREF _Toc437602123 \h </w:instrText>
        </w:r>
        <w:r w:rsidR="00C82861">
          <w:rPr>
            <w:webHidden/>
          </w:rPr>
        </w:r>
        <w:r w:rsidR="00C82861">
          <w:rPr>
            <w:webHidden/>
          </w:rPr>
          <w:fldChar w:fldCharType="separate"/>
        </w:r>
        <w:r w:rsidR="00C82861">
          <w:rPr>
            <w:webHidden/>
          </w:rPr>
          <w:t>173</w:t>
        </w:r>
        <w:r w:rsidR="00C82861">
          <w:rPr>
            <w:webHidden/>
          </w:rPr>
          <w:fldChar w:fldCharType="end"/>
        </w:r>
      </w:hyperlink>
    </w:p>
    <w:p w14:paraId="51621D4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4" w:history="1">
        <w:r w:rsidR="00C82861" w:rsidRPr="00E24A17">
          <w:rPr>
            <w:rStyle w:val="Hipervnculo"/>
          </w:rPr>
          <w:t>8.3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 de Cableado Multipar</w:t>
        </w:r>
        <w:r w:rsidR="00C82861">
          <w:rPr>
            <w:webHidden/>
          </w:rPr>
          <w:tab/>
        </w:r>
        <w:r w:rsidR="00C82861">
          <w:rPr>
            <w:webHidden/>
          </w:rPr>
          <w:fldChar w:fldCharType="begin"/>
        </w:r>
        <w:r w:rsidR="00C82861">
          <w:rPr>
            <w:webHidden/>
          </w:rPr>
          <w:instrText xml:space="preserve"> PAGEREF _Toc437602124 \h </w:instrText>
        </w:r>
        <w:r w:rsidR="00C82861">
          <w:rPr>
            <w:webHidden/>
          </w:rPr>
        </w:r>
        <w:r w:rsidR="00C82861">
          <w:rPr>
            <w:webHidden/>
          </w:rPr>
          <w:fldChar w:fldCharType="separate"/>
        </w:r>
        <w:r w:rsidR="00C82861">
          <w:rPr>
            <w:webHidden/>
          </w:rPr>
          <w:t>176</w:t>
        </w:r>
        <w:r w:rsidR="00C82861">
          <w:rPr>
            <w:webHidden/>
          </w:rPr>
          <w:fldChar w:fldCharType="end"/>
        </w:r>
      </w:hyperlink>
    </w:p>
    <w:p w14:paraId="3C09EAC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5" w:history="1">
        <w:r w:rsidR="00C82861" w:rsidRPr="00E24A17">
          <w:rPr>
            <w:rStyle w:val="Hipervnculo"/>
          </w:rPr>
          <w:t>8.4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de Cableado Multipar</w:t>
        </w:r>
        <w:r w:rsidR="00C82861">
          <w:rPr>
            <w:webHidden/>
          </w:rPr>
          <w:tab/>
        </w:r>
        <w:r w:rsidR="00C82861">
          <w:rPr>
            <w:webHidden/>
          </w:rPr>
          <w:fldChar w:fldCharType="begin"/>
        </w:r>
        <w:r w:rsidR="00C82861">
          <w:rPr>
            <w:webHidden/>
          </w:rPr>
          <w:instrText xml:space="preserve"> PAGEREF _Toc437602125 \h </w:instrText>
        </w:r>
        <w:r w:rsidR="00C82861">
          <w:rPr>
            <w:webHidden/>
          </w:rPr>
        </w:r>
        <w:r w:rsidR="00C82861">
          <w:rPr>
            <w:webHidden/>
          </w:rPr>
          <w:fldChar w:fldCharType="separate"/>
        </w:r>
        <w:r w:rsidR="00C82861">
          <w:rPr>
            <w:webHidden/>
          </w:rPr>
          <w:t>176</w:t>
        </w:r>
        <w:r w:rsidR="00C82861">
          <w:rPr>
            <w:webHidden/>
          </w:rPr>
          <w:fldChar w:fldCharType="end"/>
        </w:r>
      </w:hyperlink>
    </w:p>
    <w:p w14:paraId="637FF6A1"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6" w:history="1">
        <w:r w:rsidR="00C82861" w:rsidRPr="00E24A17">
          <w:rPr>
            <w:rStyle w:val="Hipervnculo"/>
          </w:rPr>
          <w:t>8.5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realización de pruebas de entrega para el servicio auxiliar de cableado multipar</w:t>
        </w:r>
        <w:r w:rsidR="00C82861">
          <w:rPr>
            <w:webHidden/>
          </w:rPr>
          <w:tab/>
        </w:r>
        <w:r w:rsidR="00C82861">
          <w:rPr>
            <w:webHidden/>
          </w:rPr>
          <w:fldChar w:fldCharType="begin"/>
        </w:r>
        <w:r w:rsidR="00C82861">
          <w:rPr>
            <w:webHidden/>
          </w:rPr>
          <w:instrText xml:space="preserve"> PAGEREF _Toc437602126 \h </w:instrText>
        </w:r>
        <w:r w:rsidR="00C82861">
          <w:rPr>
            <w:webHidden/>
          </w:rPr>
        </w:r>
        <w:r w:rsidR="00C82861">
          <w:rPr>
            <w:webHidden/>
          </w:rPr>
          <w:fldChar w:fldCharType="separate"/>
        </w:r>
        <w:r w:rsidR="00C82861">
          <w:rPr>
            <w:webHidden/>
          </w:rPr>
          <w:t>177</w:t>
        </w:r>
        <w:r w:rsidR="00C82861">
          <w:rPr>
            <w:webHidden/>
          </w:rPr>
          <w:fldChar w:fldCharType="end"/>
        </w:r>
      </w:hyperlink>
    </w:p>
    <w:p w14:paraId="3F257CB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7" w:history="1">
        <w:r w:rsidR="00C82861" w:rsidRPr="00E24A17">
          <w:rPr>
            <w:rStyle w:val="Hipervnculo"/>
          </w:rPr>
          <w:t>8.6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Guía para Etiquetado de Cable Multipar Instalado dentro de un Edificio Telmex</w:t>
        </w:r>
        <w:r w:rsidR="00C82861">
          <w:rPr>
            <w:webHidden/>
          </w:rPr>
          <w:tab/>
        </w:r>
        <w:r w:rsidR="00C82861">
          <w:rPr>
            <w:webHidden/>
          </w:rPr>
          <w:fldChar w:fldCharType="begin"/>
        </w:r>
        <w:r w:rsidR="00C82861">
          <w:rPr>
            <w:webHidden/>
          </w:rPr>
          <w:instrText xml:space="preserve"> PAGEREF _Toc437602127 \h </w:instrText>
        </w:r>
        <w:r w:rsidR="00C82861">
          <w:rPr>
            <w:webHidden/>
          </w:rPr>
        </w:r>
        <w:r w:rsidR="00C82861">
          <w:rPr>
            <w:webHidden/>
          </w:rPr>
          <w:fldChar w:fldCharType="separate"/>
        </w:r>
        <w:r w:rsidR="00C82861">
          <w:rPr>
            <w:webHidden/>
          </w:rPr>
          <w:t>178</w:t>
        </w:r>
        <w:r w:rsidR="00C82861">
          <w:rPr>
            <w:webHidden/>
          </w:rPr>
          <w:fldChar w:fldCharType="end"/>
        </w:r>
      </w:hyperlink>
    </w:p>
    <w:p w14:paraId="1C2F615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8" w:history="1">
        <w:r w:rsidR="00C82861" w:rsidRPr="00E24A17">
          <w:rPr>
            <w:rStyle w:val="Hipervnculo"/>
          </w:rPr>
          <w:t>8.7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 del Servicio Auxiliar de Cableado Multipar</w:t>
        </w:r>
        <w:r w:rsidR="00C82861">
          <w:rPr>
            <w:webHidden/>
          </w:rPr>
          <w:tab/>
        </w:r>
        <w:r w:rsidR="00C82861">
          <w:rPr>
            <w:webHidden/>
          </w:rPr>
          <w:fldChar w:fldCharType="begin"/>
        </w:r>
        <w:r w:rsidR="00C82861">
          <w:rPr>
            <w:webHidden/>
          </w:rPr>
          <w:instrText xml:space="preserve"> PAGEREF _Toc437602128 \h </w:instrText>
        </w:r>
        <w:r w:rsidR="00C82861">
          <w:rPr>
            <w:webHidden/>
          </w:rPr>
        </w:r>
        <w:r w:rsidR="00C82861">
          <w:rPr>
            <w:webHidden/>
          </w:rPr>
          <w:fldChar w:fldCharType="separate"/>
        </w:r>
        <w:r w:rsidR="00C82861">
          <w:rPr>
            <w:webHidden/>
          </w:rPr>
          <w:t>182</w:t>
        </w:r>
        <w:r w:rsidR="00C82861">
          <w:rPr>
            <w:webHidden/>
          </w:rPr>
          <w:fldChar w:fldCharType="end"/>
        </w:r>
      </w:hyperlink>
    </w:p>
    <w:p w14:paraId="60B5F1B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29" w:history="1">
        <w:r w:rsidR="00C82861" w:rsidRPr="00E24A17">
          <w:rPr>
            <w:rStyle w:val="Hipervnculo"/>
          </w:rPr>
          <w:t>9.</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Auxiliar de Anexo de Caja de Distribución</w:t>
        </w:r>
        <w:r w:rsidR="00C82861">
          <w:rPr>
            <w:webHidden/>
          </w:rPr>
          <w:tab/>
        </w:r>
        <w:r w:rsidR="00C82861">
          <w:rPr>
            <w:webHidden/>
          </w:rPr>
          <w:fldChar w:fldCharType="begin"/>
        </w:r>
        <w:r w:rsidR="00C82861">
          <w:rPr>
            <w:webHidden/>
          </w:rPr>
          <w:instrText xml:space="preserve"> PAGEREF _Toc437602129 \h </w:instrText>
        </w:r>
        <w:r w:rsidR="00C82861">
          <w:rPr>
            <w:webHidden/>
          </w:rPr>
        </w:r>
        <w:r w:rsidR="00C82861">
          <w:rPr>
            <w:webHidden/>
          </w:rPr>
          <w:fldChar w:fldCharType="separate"/>
        </w:r>
        <w:r w:rsidR="00C82861">
          <w:rPr>
            <w:webHidden/>
          </w:rPr>
          <w:t>183</w:t>
        </w:r>
        <w:r w:rsidR="00C82861">
          <w:rPr>
            <w:webHidden/>
          </w:rPr>
          <w:fldChar w:fldCharType="end"/>
        </w:r>
      </w:hyperlink>
    </w:p>
    <w:p w14:paraId="3F05D7C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0" w:history="1">
        <w:r w:rsidR="00C82861" w:rsidRPr="00E24A17">
          <w:rPr>
            <w:rStyle w:val="Hipervnculo"/>
          </w:rPr>
          <w:t>9.1 Criterios Técnicos para el Servicio Auxiliar de Anexo de Caja de Distribución</w:t>
        </w:r>
        <w:r w:rsidR="00C82861">
          <w:rPr>
            <w:webHidden/>
          </w:rPr>
          <w:tab/>
        </w:r>
        <w:r w:rsidR="00C82861">
          <w:rPr>
            <w:webHidden/>
          </w:rPr>
          <w:fldChar w:fldCharType="begin"/>
        </w:r>
        <w:r w:rsidR="00C82861">
          <w:rPr>
            <w:webHidden/>
          </w:rPr>
          <w:instrText xml:space="preserve"> PAGEREF _Toc437602130 \h </w:instrText>
        </w:r>
        <w:r w:rsidR="00C82861">
          <w:rPr>
            <w:webHidden/>
          </w:rPr>
        </w:r>
        <w:r w:rsidR="00C82861">
          <w:rPr>
            <w:webHidden/>
          </w:rPr>
          <w:fldChar w:fldCharType="separate"/>
        </w:r>
        <w:r w:rsidR="00C82861">
          <w:rPr>
            <w:webHidden/>
          </w:rPr>
          <w:t>183</w:t>
        </w:r>
        <w:r w:rsidR="00C82861">
          <w:rPr>
            <w:webHidden/>
          </w:rPr>
          <w:fldChar w:fldCharType="end"/>
        </w:r>
      </w:hyperlink>
    </w:p>
    <w:p w14:paraId="5E34149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1" w:history="1">
        <w:r w:rsidR="00C82861" w:rsidRPr="00E24A17">
          <w:rPr>
            <w:rStyle w:val="Hipervnculo"/>
          </w:rPr>
          <w:t>9.2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contratación, modificación y baja del servicio de Anexo de Caja.</w:t>
        </w:r>
        <w:r w:rsidR="00C82861">
          <w:rPr>
            <w:webHidden/>
          </w:rPr>
          <w:tab/>
        </w:r>
        <w:r w:rsidR="00C82861">
          <w:rPr>
            <w:webHidden/>
          </w:rPr>
          <w:fldChar w:fldCharType="begin"/>
        </w:r>
        <w:r w:rsidR="00C82861">
          <w:rPr>
            <w:webHidden/>
          </w:rPr>
          <w:instrText xml:space="preserve"> PAGEREF _Toc437602131 \h </w:instrText>
        </w:r>
        <w:r w:rsidR="00C82861">
          <w:rPr>
            <w:webHidden/>
          </w:rPr>
        </w:r>
        <w:r w:rsidR="00C82861">
          <w:rPr>
            <w:webHidden/>
          </w:rPr>
          <w:fldChar w:fldCharType="separate"/>
        </w:r>
        <w:r w:rsidR="00C82861">
          <w:rPr>
            <w:webHidden/>
          </w:rPr>
          <w:t>184</w:t>
        </w:r>
        <w:r w:rsidR="00C82861">
          <w:rPr>
            <w:webHidden/>
          </w:rPr>
          <w:fldChar w:fldCharType="end"/>
        </w:r>
      </w:hyperlink>
    </w:p>
    <w:p w14:paraId="0F076F4E"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2" w:history="1">
        <w:r w:rsidR="00C82861" w:rsidRPr="00E24A17">
          <w:rPr>
            <w:rStyle w:val="Hipervnculo"/>
          </w:rPr>
          <w:t>9.3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 del Anexo de Caja de Distribución</w:t>
        </w:r>
        <w:r w:rsidR="00C82861">
          <w:rPr>
            <w:webHidden/>
          </w:rPr>
          <w:tab/>
        </w:r>
        <w:r w:rsidR="00C82861">
          <w:rPr>
            <w:webHidden/>
          </w:rPr>
          <w:fldChar w:fldCharType="begin"/>
        </w:r>
        <w:r w:rsidR="00C82861">
          <w:rPr>
            <w:webHidden/>
          </w:rPr>
          <w:instrText xml:space="preserve"> PAGEREF _Toc437602132 \h </w:instrText>
        </w:r>
        <w:r w:rsidR="00C82861">
          <w:rPr>
            <w:webHidden/>
          </w:rPr>
        </w:r>
        <w:r w:rsidR="00C82861">
          <w:rPr>
            <w:webHidden/>
          </w:rPr>
          <w:fldChar w:fldCharType="separate"/>
        </w:r>
        <w:r w:rsidR="00C82861">
          <w:rPr>
            <w:webHidden/>
          </w:rPr>
          <w:t>193</w:t>
        </w:r>
        <w:r w:rsidR="00C82861">
          <w:rPr>
            <w:webHidden/>
          </w:rPr>
          <w:fldChar w:fldCharType="end"/>
        </w:r>
      </w:hyperlink>
    </w:p>
    <w:p w14:paraId="2B45B38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3" w:history="1">
        <w:r w:rsidR="00C82861" w:rsidRPr="00E24A17">
          <w:rPr>
            <w:rStyle w:val="Hipervnculo"/>
          </w:rPr>
          <w:t>9.4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para el Anexo de Caja de Distribución</w:t>
        </w:r>
        <w:r w:rsidR="00C82861">
          <w:rPr>
            <w:webHidden/>
          </w:rPr>
          <w:tab/>
        </w:r>
        <w:r w:rsidR="00C82861">
          <w:rPr>
            <w:webHidden/>
          </w:rPr>
          <w:fldChar w:fldCharType="begin"/>
        </w:r>
        <w:r w:rsidR="00C82861">
          <w:rPr>
            <w:webHidden/>
          </w:rPr>
          <w:instrText xml:space="preserve"> PAGEREF _Toc437602133 \h </w:instrText>
        </w:r>
        <w:r w:rsidR="00C82861">
          <w:rPr>
            <w:webHidden/>
          </w:rPr>
        </w:r>
        <w:r w:rsidR="00C82861">
          <w:rPr>
            <w:webHidden/>
          </w:rPr>
          <w:fldChar w:fldCharType="separate"/>
        </w:r>
        <w:r w:rsidR="00C82861">
          <w:rPr>
            <w:webHidden/>
          </w:rPr>
          <w:t>193</w:t>
        </w:r>
        <w:r w:rsidR="00C82861">
          <w:rPr>
            <w:webHidden/>
          </w:rPr>
          <w:fldChar w:fldCharType="end"/>
        </w:r>
      </w:hyperlink>
    </w:p>
    <w:p w14:paraId="2C04A0ED"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4" w:history="1">
        <w:r w:rsidR="00C82861" w:rsidRPr="00E24A17">
          <w:rPr>
            <w:rStyle w:val="Hipervnculo"/>
          </w:rPr>
          <w:t>9.5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la realización de pruebas de entrega para el cableado en el Servicio Auxiliar de Anexo de Caja de Distribución.</w:t>
        </w:r>
        <w:r w:rsidR="00C82861">
          <w:rPr>
            <w:webHidden/>
          </w:rPr>
          <w:tab/>
        </w:r>
        <w:r w:rsidR="00C82861">
          <w:rPr>
            <w:webHidden/>
          </w:rPr>
          <w:fldChar w:fldCharType="begin"/>
        </w:r>
        <w:r w:rsidR="00C82861">
          <w:rPr>
            <w:webHidden/>
          </w:rPr>
          <w:instrText xml:space="preserve"> PAGEREF _Toc437602134 \h </w:instrText>
        </w:r>
        <w:r w:rsidR="00C82861">
          <w:rPr>
            <w:webHidden/>
          </w:rPr>
        </w:r>
        <w:r w:rsidR="00C82861">
          <w:rPr>
            <w:webHidden/>
          </w:rPr>
          <w:fldChar w:fldCharType="separate"/>
        </w:r>
        <w:r w:rsidR="00C82861">
          <w:rPr>
            <w:webHidden/>
          </w:rPr>
          <w:t>194</w:t>
        </w:r>
        <w:r w:rsidR="00C82861">
          <w:rPr>
            <w:webHidden/>
          </w:rPr>
          <w:fldChar w:fldCharType="end"/>
        </w:r>
      </w:hyperlink>
    </w:p>
    <w:p w14:paraId="489E72F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5" w:history="1">
        <w:r w:rsidR="00C82861" w:rsidRPr="00E24A17">
          <w:rPr>
            <w:rStyle w:val="Hipervnculo"/>
          </w:rPr>
          <w:t xml:space="preserve">9.6 </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Normatividad técnica para el Servicio Auxiliar de Anexo de Caja de Distribución</w:t>
        </w:r>
        <w:r w:rsidR="00C82861">
          <w:rPr>
            <w:webHidden/>
          </w:rPr>
          <w:tab/>
        </w:r>
        <w:r w:rsidR="00C82861">
          <w:rPr>
            <w:webHidden/>
          </w:rPr>
          <w:fldChar w:fldCharType="begin"/>
        </w:r>
        <w:r w:rsidR="00C82861">
          <w:rPr>
            <w:webHidden/>
          </w:rPr>
          <w:instrText xml:space="preserve"> PAGEREF _Toc437602135 \h </w:instrText>
        </w:r>
        <w:r w:rsidR="00C82861">
          <w:rPr>
            <w:webHidden/>
          </w:rPr>
        </w:r>
        <w:r w:rsidR="00C82861">
          <w:rPr>
            <w:webHidden/>
          </w:rPr>
          <w:fldChar w:fldCharType="separate"/>
        </w:r>
        <w:r w:rsidR="00C82861">
          <w:rPr>
            <w:webHidden/>
          </w:rPr>
          <w:t>194</w:t>
        </w:r>
        <w:r w:rsidR="00C82861">
          <w:rPr>
            <w:webHidden/>
          </w:rPr>
          <w:fldChar w:fldCharType="end"/>
        </w:r>
      </w:hyperlink>
    </w:p>
    <w:p w14:paraId="01AE84B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6" w:history="1">
        <w:r w:rsidR="00C82861" w:rsidRPr="00E24A17">
          <w:rPr>
            <w:rStyle w:val="Hipervnculo"/>
          </w:rPr>
          <w:t>9.7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 de Anexo de Caja</w:t>
        </w:r>
        <w:r w:rsidR="00C82861">
          <w:rPr>
            <w:webHidden/>
          </w:rPr>
          <w:tab/>
        </w:r>
        <w:r w:rsidR="00C82861">
          <w:rPr>
            <w:webHidden/>
          </w:rPr>
          <w:fldChar w:fldCharType="begin"/>
        </w:r>
        <w:r w:rsidR="00C82861">
          <w:rPr>
            <w:webHidden/>
          </w:rPr>
          <w:instrText xml:space="preserve"> PAGEREF _Toc437602136 \h </w:instrText>
        </w:r>
        <w:r w:rsidR="00C82861">
          <w:rPr>
            <w:webHidden/>
          </w:rPr>
        </w:r>
        <w:r w:rsidR="00C82861">
          <w:rPr>
            <w:webHidden/>
          </w:rPr>
          <w:fldChar w:fldCharType="separate"/>
        </w:r>
        <w:r w:rsidR="00C82861">
          <w:rPr>
            <w:webHidden/>
          </w:rPr>
          <w:t>210</w:t>
        </w:r>
        <w:r w:rsidR="00C82861">
          <w:rPr>
            <w:webHidden/>
          </w:rPr>
          <w:fldChar w:fldCharType="end"/>
        </w:r>
      </w:hyperlink>
    </w:p>
    <w:p w14:paraId="1F273A47"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7" w:history="1">
        <w:r w:rsidR="00C82861" w:rsidRPr="00E24A17">
          <w:rPr>
            <w:rStyle w:val="Hipervnculo"/>
          </w:rPr>
          <w:t>10. Servicio Auxiliar de Concentración y Distribución</w:t>
        </w:r>
        <w:r w:rsidR="00C82861">
          <w:rPr>
            <w:webHidden/>
          </w:rPr>
          <w:tab/>
        </w:r>
        <w:r w:rsidR="00C82861">
          <w:rPr>
            <w:webHidden/>
          </w:rPr>
          <w:fldChar w:fldCharType="begin"/>
        </w:r>
        <w:r w:rsidR="00C82861">
          <w:rPr>
            <w:webHidden/>
          </w:rPr>
          <w:instrText xml:space="preserve"> PAGEREF _Toc437602137 \h </w:instrText>
        </w:r>
        <w:r w:rsidR="00C82861">
          <w:rPr>
            <w:webHidden/>
          </w:rPr>
        </w:r>
        <w:r w:rsidR="00C82861">
          <w:rPr>
            <w:webHidden/>
          </w:rPr>
          <w:fldChar w:fldCharType="separate"/>
        </w:r>
        <w:r w:rsidR="00C82861">
          <w:rPr>
            <w:webHidden/>
          </w:rPr>
          <w:t>211</w:t>
        </w:r>
        <w:r w:rsidR="00C82861">
          <w:rPr>
            <w:webHidden/>
          </w:rPr>
          <w:fldChar w:fldCharType="end"/>
        </w:r>
      </w:hyperlink>
    </w:p>
    <w:p w14:paraId="3EF373B0"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8" w:history="1">
        <w:r w:rsidR="00C82861" w:rsidRPr="00E24A17">
          <w:rPr>
            <w:rStyle w:val="Hipervnculo"/>
          </w:rPr>
          <w:t>10.1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Concentración y Distribución-Local.</w:t>
        </w:r>
        <w:r w:rsidR="00C82861">
          <w:rPr>
            <w:webHidden/>
          </w:rPr>
          <w:tab/>
        </w:r>
        <w:r w:rsidR="00C82861">
          <w:rPr>
            <w:webHidden/>
          </w:rPr>
          <w:fldChar w:fldCharType="begin"/>
        </w:r>
        <w:r w:rsidR="00C82861">
          <w:rPr>
            <w:webHidden/>
          </w:rPr>
          <w:instrText xml:space="preserve"> PAGEREF _Toc437602138 \h </w:instrText>
        </w:r>
        <w:r w:rsidR="00C82861">
          <w:rPr>
            <w:webHidden/>
          </w:rPr>
        </w:r>
        <w:r w:rsidR="00C82861">
          <w:rPr>
            <w:webHidden/>
          </w:rPr>
          <w:fldChar w:fldCharType="separate"/>
        </w:r>
        <w:r w:rsidR="00C82861">
          <w:rPr>
            <w:webHidden/>
          </w:rPr>
          <w:t>215</w:t>
        </w:r>
        <w:r w:rsidR="00C82861">
          <w:rPr>
            <w:webHidden/>
          </w:rPr>
          <w:fldChar w:fldCharType="end"/>
        </w:r>
      </w:hyperlink>
    </w:p>
    <w:p w14:paraId="1CA9F2C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39" w:history="1">
        <w:r w:rsidR="00C82861" w:rsidRPr="00E24A17">
          <w:rPr>
            <w:rStyle w:val="Hipervnculo"/>
          </w:rPr>
          <w:t>10.2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Concentración y Distribución-Regional</w:t>
        </w:r>
        <w:r w:rsidR="00C82861">
          <w:rPr>
            <w:webHidden/>
          </w:rPr>
          <w:tab/>
        </w:r>
        <w:r w:rsidR="00C82861">
          <w:rPr>
            <w:webHidden/>
          </w:rPr>
          <w:fldChar w:fldCharType="begin"/>
        </w:r>
        <w:r w:rsidR="00C82861">
          <w:rPr>
            <w:webHidden/>
          </w:rPr>
          <w:instrText xml:space="preserve"> PAGEREF _Toc437602139 \h </w:instrText>
        </w:r>
        <w:r w:rsidR="00C82861">
          <w:rPr>
            <w:webHidden/>
          </w:rPr>
        </w:r>
        <w:r w:rsidR="00C82861">
          <w:rPr>
            <w:webHidden/>
          </w:rPr>
          <w:fldChar w:fldCharType="separate"/>
        </w:r>
        <w:r w:rsidR="00C82861">
          <w:rPr>
            <w:webHidden/>
          </w:rPr>
          <w:t>216</w:t>
        </w:r>
        <w:r w:rsidR="00C82861">
          <w:rPr>
            <w:webHidden/>
          </w:rPr>
          <w:fldChar w:fldCharType="end"/>
        </w:r>
      </w:hyperlink>
    </w:p>
    <w:p w14:paraId="3ED31C26"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0" w:history="1">
        <w:r w:rsidR="00C82861" w:rsidRPr="00E24A17">
          <w:rPr>
            <w:rStyle w:val="Hipervnculo"/>
          </w:rPr>
          <w:t>10.3</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de Concentración y Distribución-Nacional</w:t>
        </w:r>
        <w:r w:rsidR="00C82861">
          <w:rPr>
            <w:webHidden/>
          </w:rPr>
          <w:tab/>
        </w:r>
        <w:r w:rsidR="00C82861">
          <w:rPr>
            <w:webHidden/>
          </w:rPr>
          <w:fldChar w:fldCharType="begin"/>
        </w:r>
        <w:r w:rsidR="00C82861">
          <w:rPr>
            <w:webHidden/>
          </w:rPr>
          <w:instrText xml:space="preserve"> PAGEREF _Toc437602140 \h </w:instrText>
        </w:r>
        <w:r w:rsidR="00C82861">
          <w:rPr>
            <w:webHidden/>
          </w:rPr>
        </w:r>
        <w:r w:rsidR="00C82861">
          <w:rPr>
            <w:webHidden/>
          </w:rPr>
          <w:fldChar w:fldCharType="separate"/>
        </w:r>
        <w:r w:rsidR="00C82861">
          <w:rPr>
            <w:webHidden/>
          </w:rPr>
          <w:t>216</w:t>
        </w:r>
        <w:r w:rsidR="00C82861">
          <w:rPr>
            <w:webHidden/>
          </w:rPr>
          <w:fldChar w:fldCharType="end"/>
        </w:r>
      </w:hyperlink>
    </w:p>
    <w:p w14:paraId="43EBBA91"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1" w:history="1">
        <w:r w:rsidR="00C82861" w:rsidRPr="00E24A17">
          <w:rPr>
            <w:rStyle w:val="Hipervnculo"/>
          </w:rPr>
          <w:t>10.4</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Características de configuración física y lógica del pCAI</w:t>
        </w:r>
        <w:r w:rsidR="00C82861">
          <w:rPr>
            <w:webHidden/>
          </w:rPr>
          <w:tab/>
        </w:r>
        <w:r w:rsidR="00C82861">
          <w:rPr>
            <w:webHidden/>
          </w:rPr>
          <w:fldChar w:fldCharType="begin"/>
        </w:r>
        <w:r w:rsidR="00C82861">
          <w:rPr>
            <w:webHidden/>
          </w:rPr>
          <w:instrText xml:space="preserve"> PAGEREF _Toc437602141 \h </w:instrText>
        </w:r>
        <w:r w:rsidR="00C82861">
          <w:rPr>
            <w:webHidden/>
          </w:rPr>
        </w:r>
        <w:r w:rsidR="00C82861">
          <w:rPr>
            <w:webHidden/>
          </w:rPr>
          <w:fldChar w:fldCharType="separate"/>
        </w:r>
        <w:r w:rsidR="00C82861">
          <w:rPr>
            <w:webHidden/>
          </w:rPr>
          <w:t>217</w:t>
        </w:r>
        <w:r w:rsidR="00C82861">
          <w:rPr>
            <w:webHidden/>
          </w:rPr>
          <w:fldChar w:fldCharType="end"/>
        </w:r>
      </w:hyperlink>
    </w:p>
    <w:p w14:paraId="45612192"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2" w:history="1">
        <w:r w:rsidR="00C82861" w:rsidRPr="00E24A17">
          <w:rPr>
            <w:rStyle w:val="Hipervnculo"/>
          </w:rPr>
          <w:t>10.5</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Plan de VLAN’s: Servicio de Concentración y Distribución Local, Regional y Nacional</w:t>
        </w:r>
        <w:r w:rsidR="00C82861">
          <w:rPr>
            <w:webHidden/>
          </w:rPr>
          <w:tab/>
        </w:r>
        <w:r w:rsidR="00C82861">
          <w:rPr>
            <w:webHidden/>
          </w:rPr>
          <w:fldChar w:fldCharType="begin"/>
        </w:r>
        <w:r w:rsidR="00C82861">
          <w:rPr>
            <w:webHidden/>
          </w:rPr>
          <w:instrText xml:space="preserve"> PAGEREF _Toc437602142 \h </w:instrText>
        </w:r>
        <w:r w:rsidR="00C82861">
          <w:rPr>
            <w:webHidden/>
          </w:rPr>
        </w:r>
        <w:r w:rsidR="00C82861">
          <w:rPr>
            <w:webHidden/>
          </w:rPr>
          <w:fldChar w:fldCharType="separate"/>
        </w:r>
        <w:r w:rsidR="00C82861">
          <w:rPr>
            <w:webHidden/>
          </w:rPr>
          <w:t>219</w:t>
        </w:r>
        <w:r w:rsidR="00C82861">
          <w:rPr>
            <w:webHidden/>
          </w:rPr>
          <w:fldChar w:fldCharType="end"/>
        </w:r>
      </w:hyperlink>
    </w:p>
    <w:p w14:paraId="3A51B02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3" w:history="1">
        <w:r w:rsidR="00C82861" w:rsidRPr="00E24A17">
          <w:rPr>
            <w:rStyle w:val="Hipervnculo"/>
          </w:rPr>
          <w:t>10.6.</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Servicio a Ubicación Distante</w:t>
        </w:r>
        <w:r w:rsidR="00C82861">
          <w:rPr>
            <w:webHidden/>
          </w:rPr>
          <w:tab/>
        </w:r>
        <w:r w:rsidR="00C82861">
          <w:rPr>
            <w:webHidden/>
          </w:rPr>
          <w:fldChar w:fldCharType="begin"/>
        </w:r>
        <w:r w:rsidR="00C82861">
          <w:rPr>
            <w:webHidden/>
          </w:rPr>
          <w:instrText xml:space="preserve"> PAGEREF _Toc437602143 \h </w:instrText>
        </w:r>
        <w:r w:rsidR="00C82861">
          <w:rPr>
            <w:webHidden/>
          </w:rPr>
        </w:r>
        <w:r w:rsidR="00C82861">
          <w:rPr>
            <w:webHidden/>
          </w:rPr>
          <w:fldChar w:fldCharType="separate"/>
        </w:r>
        <w:r w:rsidR="00C82861">
          <w:rPr>
            <w:webHidden/>
          </w:rPr>
          <w:t>221</w:t>
        </w:r>
        <w:r w:rsidR="00C82861">
          <w:rPr>
            <w:webHidden/>
          </w:rPr>
          <w:fldChar w:fldCharType="end"/>
        </w:r>
      </w:hyperlink>
    </w:p>
    <w:p w14:paraId="6ADFF1BA"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4" w:history="1">
        <w:r w:rsidR="00C82861" w:rsidRPr="00E24A17">
          <w:rPr>
            <w:rStyle w:val="Hipervnculo"/>
          </w:rPr>
          <w:t>10.7</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Procedimientos de solicitud, modificación y baja del SCyD.</w:t>
        </w:r>
        <w:r w:rsidR="00C82861">
          <w:rPr>
            <w:webHidden/>
          </w:rPr>
          <w:tab/>
        </w:r>
        <w:r w:rsidR="00C82861">
          <w:rPr>
            <w:webHidden/>
          </w:rPr>
          <w:fldChar w:fldCharType="begin"/>
        </w:r>
        <w:r w:rsidR="00C82861">
          <w:rPr>
            <w:webHidden/>
          </w:rPr>
          <w:instrText xml:space="preserve"> PAGEREF _Toc437602144 \h </w:instrText>
        </w:r>
        <w:r w:rsidR="00C82861">
          <w:rPr>
            <w:webHidden/>
          </w:rPr>
        </w:r>
        <w:r w:rsidR="00C82861">
          <w:rPr>
            <w:webHidden/>
          </w:rPr>
          <w:fldChar w:fldCharType="separate"/>
        </w:r>
        <w:r w:rsidR="00C82861">
          <w:rPr>
            <w:webHidden/>
          </w:rPr>
          <w:t>222</w:t>
        </w:r>
        <w:r w:rsidR="00C82861">
          <w:rPr>
            <w:webHidden/>
          </w:rPr>
          <w:fldChar w:fldCharType="end"/>
        </w:r>
      </w:hyperlink>
    </w:p>
    <w:p w14:paraId="2C496ECC"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5" w:history="1">
        <w:r w:rsidR="00C82861" w:rsidRPr="00E24A17">
          <w:rPr>
            <w:rStyle w:val="Hipervnculo"/>
          </w:rPr>
          <w:t>10.8</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Plazos de Entrega de SCyD</w:t>
        </w:r>
        <w:r w:rsidR="00C82861">
          <w:rPr>
            <w:webHidden/>
          </w:rPr>
          <w:tab/>
        </w:r>
        <w:r w:rsidR="00C82861">
          <w:rPr>
            <w:webHidden/>
          </w:rPr>
          <w:fldChar w:fldCharType="begin"/>
        </w:r>
        <w:r w:rsidR="00C82861">
          <w:rPr>
            <w:webHidden/>
          </w:rPr>
          <w:instrText xml:space="preserve"> PAGEREF _Toc437602145 \h </w:instrText>
        </w:r>
        <w:r w:rsidR="00C82861">
          <w:rPr>
            <w:webHidden/>
          </w:rPr>
        </w:r>
        <w:r w:rsidR="00C82861">
          <w:rPr>
            <w:webHidden/>
          </w:rPr>
          <w:fldChar w:fldCharType="separate"/>
        </w:r>
        <w:r w:rsidR="00C82861">
          <w:rPr>
            <w:webHidden/>
          </w:rPr>
          <w:t>226</w:t>
        </w:r>
        <w:r w:rsidR="00C82861">
          <w:rPr>
            <w:webHidden/>
          </w:rPr>
          <w:fldChar w:fldCharType="end"/>
        </w:r>
      </w:hyperlink>
    </w:p>
    <w:p w14:paraId="182C5643"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6" w:history="1">
        <w:r w:rsidR="00C82861" w:rsidRPr="00E24A17">
          <w:rPr>
            <w:rStyle w:val="Hipervnculo"/>
          </w:rPr>
          <w:t>10.9</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para SCyD</w:t>
        </w:r>
        <w:r w:rsidR="00C82861">
          <w:rPr>
            <w:webHidden/>
          </w:rPr>
          <w:tab/>
        </w:r>
        <w:r w:rsidR="00C82861">
          <w:rPr>
            <w:webHidden/>
          </w:rPr>
          <w:fldChar w:fldCharType="begin"/>
        </w:r>
        <w:r w:rsidR="00C82861">
          <w:rPr>
            <w:webHidden/>
          </w:rPr>
          <w:instrText xml:space="preserve"> PAGEREF _Toc437602146 \h </w:instrText>
        </w:r>
        <w:r w:rsidR="00C82861">
          <w:rPr>
            <w:webHidden/>
          </w:rPr>
        </w:r>
        <w:r w:rsidR="00C82861">
          <w:rPr>
            <w:webHidden/>
          </w:rPr>
          <w:fldChar w:fldCharType="separate"/>
        </w:r>
        <w:r w:rsidR="00C82861">
          <w:rPr>
            <w:webHidden/>
          </w:rPr>
          <w:t>227</w:t>
        </w:r>
        <w:r w:rsidR="00C82861">
          <w:rPr>
            <w:webHidden/>
          </w:rPr>
          <w:fldChar w:fldCharType="end"/>
        </w:r>
      </w:hyperlink>
    </w:p>
    <w:p w14:paraId="77F60D1F"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7" w:history="1">
        <w:r w:rsidR="00C82861" w:rsidRPr="00E24A17">
          <w:rPr>
            <w:rStyle w:val="Hipervnculo"/>
          </w:rPr>
          <w:t>10.10</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 xml:space="preserve"> Procedimiento para la realización de pruebas para el SCyD</w:t>
        </w:r>
        <w:r w:rsidR="00C82861">
          <w:rPr>
            <w:webHidden/>
          </w:rPr>
          <w:tab/>
        </w:r>
        <w:r w:rsidR="00C82861">
          <w:rPr>
            <w:webHidden/>
          </w:rPr>
          <w:fldChar w:fldCharType="begin"/>
        </w:r>
        <w:r w:rsidR="00C82861">
          <w:rPr>
            <w:webHidden/>
          </w:rPr>
          <w:instrText xml:space="preserve"> PAGEREF _Toc437602147 \h </w:instrText>
        </w:r>
        <w:r w:rsidR="00C82861">
          <w:rPr>
            <w:webHidden/>
          </w:rPr>
        </w:r>
        <w:r w:rsidR="00C82861">
          <w:rPr>
            <w:webHidden/>
          </w:rPr>
          <w:fldChar w:fldCharType="separate"/>
        </w:r>
        <w:r w:rsidR="00C82861">
          <w:rPr>
            <w:webHidden/>
          </w:rPr>
          <w:t>229</w:t>
        </w:r>
        <w:r w:rsidR="00C82861">
          <w:rPr>
            <w:webHidden/>
          </w:rPr>
          <w:fldChar w:fldCharType="end"/>
        </w:r>
      </w:hyperlink>
    </w:p>
    <w:p w14:paraId="356254B9"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8" w:history="1">
        <w:r w:rsidR="00C82861" w:rsidRPr="00E24A17">
          <w:rPr>
            <w:rStyle w:val="Hipervnculo"/>
          </w:rPr>
          <w:t>10.11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Formato SCyD</w:t>
        </w:r>
        <w:r w:rsidR="00C82861">
          <w:rPr>
            <w:webHidden/>
          </w:rPr>
          <w:tab/>
        </w:r>
        <w:r w:rsidR="00C82861">
          <w:rPr>
            <w:webHidden/>
          </w:rPr>
          <w:fldChar w:fldCharType="begin"/>
        </w:r>
        <w:r w:rsidR="00C82861">
          <w:rPr>
            <w:webHidden/>
          </w:rPr>
          <w:instrText xml:space="preserve"> PAGEREF _Toc437602148 \h </w:instrText>
        </w:r>
        <w:r w:rsidR="00C82861">
          <w:rPr>
            <w:webHidden/>
          </w:rPr>
        </w:r>
        <w:r w:rsidR="00C82861">
          <w:rPr>
            <w:webHidden/>
          </w:rPr>
          <w:fldChar w:fldCharType="separate"/>
        </w:r>
        <w:r w:rsidR="00C82861">
          <w:rPr>
            <w:webHidden/>
          </w:rPr>
          <w:t>230</w:t>
        </w:r>
        <w:r w:rsidR="00C82861">
          <w:rPr>
            <w:webHidden/>
          </w:rPr>
          <w:fldChar w:fldCharType="end"/>
        </w:r>
      </w:hyperlink>
    </w:p>
    <w:p w14:paraId="18591DCB"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49" w:history="1">
        <w:r w:rsidR="00C82861" w:rsidRPr="00E24A17">
          <w:rPr>
            <w:rStyle w:val="Hipervnculo"/>
          </w:rPr>
          <w:t>11. Trabajos Especiales</w:t>
        </w:r>
        <w:r w:rsidR="00C82861">
          <w:rPr>
            <w:webHidden/>
          </w:rPr>
          <w:tab/>
        </w:r>
        <w:r w:rsidR="00C82861">
          <w:rPr>
            <w:webHidden/>
          </w:rPr>
          <w:fldChar w:fldCharType="begin"/>
        </w:r>
        <w:r w:rsidR="00C82861">
          <w:rPr>
            <w:webHidden/>
          </w:rPr>
          <w:instrText xml:space="preserve"> PAGEREF _Toc437602149 \h </w:instrText>
        </w:r>
        <w:r w:rsidR="00C82861">
          <w:rPr>
            <w:webHidden/>
          </w:rPr>
        </w:r>
        <w:r w:rsidR="00C82861">
          <w:rPr>
            <w:webHidden/>
          </w:rPr>
          <w:fldChar w:fldCharType="separate"/>
        </w:r>
        <w:r w:rsidR="00C82861">
          <w:rPr>
            <w:webHidden/>
          </w:rPr>
          <w:t>231</w:t>
        </w:r>
        <w:r w:rsidR="00C82861">
          <w:rPr>
            <w:webHidden/>
          </w:rPr>
          <w:fldChar w:fldCharType="end"/>
        </w:r>
      </w:hyperlink>
    </w:p>
    <w:p w14:paraId="2DD8AD65"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50" w:history="1">
        <w:r w:rsidR="00C82861" w:rsidRPr="00E24A17">
          <w:rPr>
            <w:rStyle w:val="Hipervnculo"/>
          </w:rPr>
          <w:t>11.1</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Procedimiento para solicitud, aceptación y entrega de Trabajos Especiales</w:t>
        </w:r>
        <w:r w:rsidR="00C82861">
          <w:rPr>
            <w:webHidden/>
          </w:rPr>
          <w:tab/>
        </w:r>
        <w:r w:rsidR="00C82861">
          <w:rPr>
            <w:webHidden/>
          </w:rPr>
          <w:fldChar w:fldCharType="begin"/>
        </w:r>
        <w:r w:rsidR="00C82861">
          <w:rPr>
            <w:webHidden/>
          </w:rPr>
          <w:instrText xml:space="preserve"> PAGEREF _Toc437602150 \h </w:instrText>
        </w:r>
        <w:r w:rsidR="00C82861">
          <w:rPr>
            <w:webHidden/>
          </w:rPr>
        </w:r>
        <w:r w:rsidR="00C82861">
          <w:rPr>
            <w:webHidden/>
          </w:rPr>
          <w:fldChar w:fldCharType="separate"/>
        </w:r>
        <w:r w:rsidR="00C82861">
          <w:rPr>
            <w:webHidden/>
          </w:rPr>
          <w:t>231</w:t>
        </w:r>
        <w:r w:rsidR="00C82861">
          <w:rPr>
            <w:webHidden/>
          </w:rPr>
          <w:fldChar w:fldCharType="end"/>
        </w:r>
      </w:hyperlink>
    </w:p>
    <w:p w14:paraId="6C80BB74" w14:textId="77777777" w:rsidR="00C82861" w:rsidRDefault="002818A3">
      <w:pPr>
        <w:pStyle w:val="TDC1"/>
        <w:rPr>
          <w:rFonts w:asciiTheme="minorHAnsi" w:eastAsiaTheme="minorEastAsia" w:hAnsiTheme="minorHAnsi" w:cstheme="minorBidi"/>
          <w:bCs w:val="0"/>
          <w:caps w:val="0"/>
          <w:sz w:val="22"/>
          <w:szCs w:val="22"/>
          <w:lang w:val="es-MX" w:eastAsia="es-MX"/>
        </w:rPr>
      </w:pPr>
      <w:hyperlink w:anchor="_Toc437602151" w:history="1">
        <w:r w:rsidR="00C82861" w:rsidRPr="00E24A17">
          <w:rPr>
            <w:rStyle w:val="Hipervnculo"/>
          </w:rPr>
          <w:t>11.2</w:t>
        </w:r>
        <w:r w:rsidR="00C82861">
          <w:rPr>
            <w:rFonts w:asciiTheme="minorHAnsi" w:eastAsiaTheme="minorEastAsia" w:hAnsiTheme="minorHAnsi" w:cstheme="minorBidi"/>
            <w:bCs w:val="0"/>
            <w:caps w:val="0"/>
            <w:sz w:val="22"/>
            <w:szCs w:val="22"/>
            <w:lang w:val="es-MX" w:eastAsia="es-MX"/>
          </w:rPr>
          <w:tab/>
        </w:r>
        <w:r w:rsidR="00C82861" w:rsidRPr="00E24A17">
          <w:rPr>
            <w:rStyle w:val="Hipervnculo"/>
          </w:rPr>
          <w:t>Parámetros e Indicadores de Calidad de Trabajos Especiales</w:t>
        </w:r>
        <w:r w:rsidR="00C82861">
          <w:rPr>
            <w:webHidden/>
          </w:rPr>
          <w:tab/>
        </w:r>
        <w:r w:rsidR="00C82861">
          <w:rPr>
            <w:webHidden/>
          </w:rPr>
          <w:fldChar w:fldCharType="begin"/>
        </w:r>
        <w:r w:rsidR="00C82861">
          <w:rPr>
            <w:webHidden/>
          </w:rPr>
          <w:instrText xml:space="preserve"> PAGEREF _Toc437602151 \h </w:instrText>
        </w:r>
        <w:r w:rsidR="00C82861">
          <w:rPr>
            <w:webHidden/>
          </w:rPr>
        </w:r>
        <w:r w:rsidR="00C82861">
          <w:rPr>
            <w:webHidden/>
          </w:rPr>
          <w:fldChar w:fldCharType="separate"/>
        </w:r>
        <w:r w:rsidR="00C82861">
          <w:rPr>
            <w:webHidden/>
          </w:rPr>
          <w:t>232</w:t>
        </w:r>
        <w:r w:rsidR="00C82861">
          <w:rPr>
            <w:webHidden/>
          </w:rPr>
          <w:fldChar w:fldCharType="end"/>
        </w:r>
      </w:hyperlink>
    </w:p>
    <w:p w14:paraId="40E85524" w14:textId="77777777" w:rsidR="00A26B23" w:rsidRPr="00422CA2" w:rsidRDefault="00BA7EF4" w:rsidP="00743FBE">
      <w:pPr>
        <w:spacing w:line="360" w:lineRule="auto"/>
        <w:contextualSpacing/>
        <w:mirrorIndents/>
        <w:jc w:val="both"/>
        <w:rPr>
          <w:rFonts w:ascii="ITC Avant Garde" w:hAnsi="ITC Avant Garde" w:cs="Arial"/>
          <w:i/>
          <w:sz w:val="20"/>
          <w:szCs w:val="20"/>
          <w:lang w:val="es-MX"/>
        </w:rPr>
        <w:sectPr w:rsidR="00A26B23" w:rsidRPr="00422CA2" w:rsidSect="00EE3826">
          <w:headerReference w:type="even" r:id="rId12"/>
          <w:headerReference w:type="default" r:id="rId13"/>
          <w:headerReference w:type="first" r:id="rId14"/>
          <w:pgSz w:w="12242" w:h="15842" w:code="1"/>
          <w:pgMar w:top="1417" w:right="1701" w:bottom="1417" w:left="1701" w:header="567" w:footer="567" w:gutter="0"/>
          <w:cols w:space="720"/>
          <w:docGrid w:linePitch="326"/>
        </w:sectPr>
      </w:pPr>
      <w:r w:rsidRPr="00422CA2">
        <w:rPr>
          <w:rFonts w:ascii="ITC Avant Garde" w:hAnsi="ITC Avant Garde" w:cs="Arial"/>
          <w:i/>
          <w:sz w:val="18"/>
          <w:szCs w:val="18"/>
          <w:lang w:val="es-MX"/>
        </w:rPr>
        <w:fldChar w:fldCharType="end"/>
      </w:r>
      <w:bookmarkStart w:id="19" w:name="_Hlt120011809"/>
      <w:bookmarkStart w:id="20" w:name="_Toc375583281"/>
      <w:bookmarkEnd w:id="17"/>
      <w:bookmarkEnd w:id="18"/>
      <w:bookmarkEnd w:id="19"/>
    </w:p>
    <w:p w14:paraId="7B3945A9" w14:textId="77777777" w:rsidR="00CD03BB" w:rsidRPr="00422CA2" w:rsidRDefault="00CD03BB" w:rsidP="00210768">
      <w:pPr>
        <w:pStyle w:val="Ttulo1"/>
      </w:pPr>
      <w:bookmarkStart w:id="21" w:name="_Toc436840860"/>
      <w:bookmarkStart w:id="22" w:name="_Toc436846297"/>
      <w:bookmarkStart w:id="23" w:name="_Toc436848247"/>
      <w:bookmarkStart w:id="24" w:name="_Toc436856495"/>
      <w:bookmarkStart w:id="25" w:name="_Toc436862641"/>
      <w:bookmarkStart w:id="26" w:name="_Toc436866291"/>
      <w:bookmarkStart w:id="27" w:name="_Toc436870870"/>
      <w:bookmarkStart w:id="28" w:name="_Toc436875862"/>
      <w:bookmarkStart w:id="29" w:name="_Toc437602050"/>
      <w:bookmarkEnd w:id="20"/>
      <w:r w:rsidRPr="00422CA2">
        <w:lastRenderedPageBreak/>
        <w:t>Definiciones</w:t>
      </w:r>
      <w:bookmarkEnd w:id="21"/>
      <w:bookmarkEnd w:id="22"/>
      <w:bookmarkEnd w:id="23"/>
      <w:bookmarkEnd w:id="24"/>
      <w:bookmarkEnd w:id="25"/>
      <w:bookmarkEnd w:id="26"/>
      <w:bookmarkEnd w:id="27"/>
      <w:bookmarkEnd w:id="28"/>
      <w:bookmarkEnd w:id="29"/>
      <w:r w:rsidRPr="00422CA2">
        <w:t xml:space="preserve"> </w:t>
      </w:r>
    </w:p>
    <w:p w14:paraId="5F32553C" w14:textId="77777777"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Acometida o conexión al domicilio del usuario final:</w:t>
      </w:r>
      <w:r w:rsidRPr="00422CA2">
        <w:rPr>
          <w:rFonts w:ascii="ITC Avant Garde" w:hAnsi="ITC Avant Garde"/>
          <w:sz w:val="22"/>
          <w:szCs w:val="22"/>
          <w:lang w:val="es-ES"/>
        </w:rPr>
        <w:t xml:space="preserve"> Infraestructura de telecomunicaciones que permite conectar desde la caja terminal de distribución de la red local de Telmex hasta el punto de conexión terminal de la red ubicado en el domicilio del usuario.</w:t>
      </w:r>
    </w:p>
    <w:p w14:paraId="28FCCDEB" w14:textId="46A0D113"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Acuerdo de Nivel de Servicio: </w:t>
      </w:r>
      <w:r w:rsidRPr="00422CA2">
        <w:rPr>
          <w:rFonts w:ascii="ITC Avant Garde" w:hAnsi="ITC Avant Garde"/>
          <w:sz w:val="22"/>
          <w:szCs w:val="22"/>
          <w:lang w:val="es-ES"/>
        </w:rPr>
        <w:t xml:space="preserve">Acuerdo formal entre dos o más entidades que se alcanza después de un periodo de negociación con el fin de establecer las características del servicio, las responsabilidades las </w:t>
      </w:r>
      <w:r w:rsidRPr="00422CA2" w:rsidDel="00895FF2">
        <w:rPr>
          <w:rFonts w:ascii="ITC Avant Garde" w:hAnsi="ITC Avant Garde"/>
          <w:sz w:val="22"/>
          <w:szCs w:val="22"/>
          <w:lang w:val="es-ES"/>
        </w:rPr>
        <w:t>prioridades</w:t>
      </w:r>
      <w:r w:rsidRPr="00422CA2">
        <w:rPr>
          <w:rFonts w:ascii="ITC Avant Garde" w:hAnsi="ITC Avant Garde"/>
          <w:sz w:val="22"/>
          <w:szCs w:val="22"/>
          <w:lang w:val="es-ES"/>
        </w:rPr>
        <w:t>, y los derechos y obligaciones de todas las partes.</w:t>
      </w:r>
    </w:p>
    <w:p w14:paraId="1175D5E2" w14:textId="77777777" w:rsidR="00F777E5" w:rsidRPr="00422CA2" w:rsidRDefault="00F777E5"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Agente Económico Preponderante:</w:t>
      </w:r>
      <w:r w:rsidRPr="00422CA2">
        <w:rPr>
          <w:rFonts w:ascii="ITC Avant Garde" w:hAnsi="ITC Avant Garde"/>
          <w:sz w:val="22"/>
          <w:szCs w:val="22"/>
          <w:lang w:val="es-ES"/>
        </w:rPr>
        <w:t xml:space="preserve"> Grupo de Interés Económico del que forman parte América Móvil, S.A.B. de C. V., Teléfonos de México, S.A.B. de C.V., Teléfonos del Noroeste, S.A. de C.V., Radiomóvil Dipsa, S.A. de C.V., Grupo Carso, S.A.B. de C.V., y Grupo Financiero Inbursa, S.A.B. de C.V.</w:t>
      </w:r>
    </w:p>
    <w:p w14:paraId="5F4C54CD" w14:textId="1B3EE432"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Anexo de Caja de Distribución:</w:t>
      </w:r>
      <w:r w:rsidRPr="00422CA2">
        <w:rPr>
          <w:rFonts w:ascii="ITC Avant Garde" w:hAnsi="ITC Avant Garde"/>
          <w:sz w:val="22"/>
          <w:szCs w:val="22"/>
          <w:lang w:val="es-ES"/>
        </w:rPr>
        <w:t xml:space="preserve"> Elemento de red de Planta Externa que se instala adjunto a la Caja de Distribución que permite terminar el cable de cobre en los puertos de los equipos de telecomunicaciones para acceder a la red secundaria.</w:t>
      </w:r>
    </w:p>
    <w:p w14:paraId="0E5E285F" w14:textId="58485A0C"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b/>
          <w:bCs/>
          <w:i/>
          <w:iCs/>
          <w:sz w:val="22"/>
          <w:szCs w:val="22"/>
        </w:rPr>
        <w:t>Banda inferior de frecuencias:</w:t>
      </w:r>
      <w:r w:rsidRPr="00422CA2">
        <w:rPr>
          <w:rFonts w:ascii="ITC Avant Garde" w:hAnsi="ITC Avant Garde"/>
          <w:sz w:val="22"/>
          <w:szCs w:val="22"/>
        </w:rPr>
        <w:t xml:space="preserve"> Frecuencias en el par de cobre que se utilizan para ofrecer el servicio telefónico, integran el </w:t>
      </w:r>
      <w:r w:rsidRPr="00422CA2">
        <w:rPr>
          <w:rFonts w:ascii="ITC Avant Garde" w:hAnsi="ITC Avant Garde"/>
          <w:bCs/>
          <w:iCs/>
          <w:sz w:val="22"/>
          <w:szCs w:val="22"/>
        </w:rPr>
        <w:t xml:space="preserve">grupo de frecuencias que van desde 0 a 25 </w:t>
      </w:r>
      <w:r w:rsidR="00D13961" w:rsidRPr="00422CA2">
        <w:rPr>
          <w:rFonts w:ascii="ITC Avant Garde" w:hAnsi="ITC Avant Garde"/>
          <w:bCs/>
          <w:iCs/>
          <w:sz w:val="22"/>
          <w:szCs w:val="22"/>
        </w:rPr>
        <w:t>k</w:t>
      </w:r>
      <w:r w:rsidRPr="00422CA2">
        <w:rPr>
          <w:rFonts w:ascii="ITC Avant Garde" w:hAnsi="ITC Avant Garde"/>
          <w:bCs/>
          <w:iCs/>
          <w:sz w:val="22"/>
          <w:szCs w:val="22"/>
        </w:rPr>
        <w:t>Hz.</w:t>
      </w:r>
      <w:r w:rsidRPr="00422CA2">
        <w:rPr>
          <w:rFonts w:ascii="ITC Avant Garde" w:hAnsi="ITC Avant Garde"/>
          <w:b/>
          <w:bCs/>
          <w:i/>
          <w:iCs/>
          <w:sz w:val="22"/>
          <w:szCs w:val="22"/>
        </w:rPr>
        <w:t xml:space="preserve"> </w:t>
      </w:r>
    </w:p>
    <w:p w14:paraId="4D3F8D91" w14:textId="4DB204FD"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b/>
          <w:bCs/>
          <w:i/>
          <w:iCs/>
          <w:sz w:val="22"/>
          <w:szCs w:val="22"/>
        </w:rPr>
        <w:t xml:space="preserve">Banda superior de frecuencias: </w:t>
      </w:r>
      <w:r w:rsidRPr="00422CA2">
        <w:rPr>
          <w:rFonts w:ascii="ITC Avant Garde" w:hAnsi="ITC Avant Garde"/>
          <w:sz w:val="22"/>
          <w:szCs w:val="22"/>
        </w:rPr>
        <w:t xml:space="preserve">Frecuencias en el par de cobre que se utilizan para ofrecer servicios de datos con las tecnologías xDSL, integran el </w:t>
      </w:r>
      <w:r w:rsidRPr="00422CA2">
        <w:rPr>
          <w:rFonts w:ascii="ITC Avant Garde" w:hAnsi="ITC Avant Garde"/>
          <w:bCs/>
          <w:iCs/>
          <w:sz w:val="22"/>
          <w:szCs w:val="22"/>
        </w:rPr>
        <w:t xml:space="preserve">grupo de frecuencias que van desde </w:t>
      </w:r>
      <w:r w:rsidR="00D13961" w:rsidRPr="00422CA2">
        <w:rPr>
          <w:rFonts w:ascii="ITC Avant Garde" w:hAnsi="ITC Avant Garde"/>
          <w:bCs/>
          <w:iCs/>
          <w:sz w:val="22"/>
          <w:szCs w:val="22"/>
        </w:rPr>
        <w:t>26 k</w:t>
      </w:r>
      <w:r w:rsidRPr="00422CA2">
        <w:rPr>
          <w:rFonts w:ascii="ITC Avant Garde" w:hAnsi="ITC Avant Garde"/>
          <w:bCs/>
          <w:iCs/>
          <w:sz w:val="22"/>
          <w:szCs w:val="22"/>
        </w:rPr>
        <w:t>Hz a 30 MHz.</w:t>
      </w:r>
    </w:p>
    <w:p w14:paraId="1A26D157" w14:textId="77777777"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Bucle Local:</w:t>
      </w:r>
      <w:r w:rsidRPr="00422CA2">
        <w:rPr>
          <w:rFonts w:ascii="ITC Avant Garde" w:hAnsi="ITC Avant Garde"/>
          <w:sz w:val="22"/>
          <w:szCs w:val="22"/>
          <w:lang w:val="es-ES"/>
        </w:rPr>
        <w:t xml:space="preserve"> El circuito físico que conecta el punto de conexión terminal de la red en el domicilio del usuario a la Central telefónica o Instalación Equivalente de la red pública de telecomunicaciones desde la cual se presta el servicio al usuario.</w:t>
      </w:r>
    </w:p>
    <w:p w14:paraId="40E8552D" w14:textId="77777777"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Caja de Distribución</w:t>
      </w:r>
      <w:r w:rsidR="00CD03BB" w:rsidRPr="00422CA2">
        <w:rPr>
          <w:rFonts w:ascii="ITC Avant Garde" w:hAnsi="ITC Avant Garde"/>
          <w:b/>
          <w:i/>
          <w:sz w:val="22"/>
          <w:szCs w:val="22"/>
          <w:lang w:val="es-ES"/>
        </w:rPr>
        <w:t>:</w:t>
      </w:r>
      <w:r w:rsidRPr="00422CA2">
        <w:rPr>
          <w:rFonts w:ascii="ITC Avant Garde" w:hAnsi="ITC Avant Garde"/>
          <w:sz w:val="22"/>
          <w:szCs w:val="22"/>
          <w:lang w:val="es-ES"/>
        </w:rPr>
        <w:t xml:space="preserve"> Elemento de la red de Planta Externa que permite la interconexión de redes de cobre entre el medio de transmisión de la Red Principal y el medio de transmisión de la Red Secundaria.</w:t>
      </w:r>
    </w:p>
    <w:p w14:paraId="40E8552E" w14:textId="77777777"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Canalización: </w:t>
      </w:r>
      <w:r w:rsidRPr="00422CA2">
        <w:rPr>
          <w:rFonts w:ascii="ITC Avant Garde" w:hAnsi="ITC Avant Garde"/>
          <w:sz w:val="22"/>
          <w:szCs w:val="22"/>
          <w:lang w:val="es-ES"/>
        </w:rPr>
        <w:t>Conjunto de ductos de concreto y cloruro de polivinilo (PVC) dentro de una obra subterránea con recubrimiento normalizado de arena o concreto.</w:t>
      </w:r>
    </w:p>
    <w:p w14:paraId="40E8552F" w14:textId="57B625CD"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b/>
          <w:bCs/>
          <w:i/>
          <w:iCs/>
          <w:sz w:val="22"/>
          <w:szCs w:val="22"/>
        </w:rPr>
        <w:lastRenderedPageBreak/>
        <w:t xml:space="preserve">Capa 2: </w:t>
      </w:r>
      <w:r w:rsidRPr="00422CA2">
        <w:rPr>
          <w:rFonts w:ascii="ITC Avant Garde" w:hAnsi="ITC Avant Garde"/>
          <w:sz w:val="22"/>
          <w:szCs w:val="22"/>
        </w:rPr>
        <w:t>Capa 2 del modelo OSI (</w:t>
      </w:r>
      <w:r w:rsidRPr="00422CA2">
        <w:rPr>
          <w:rFonts w:ascii="ITC Avant Garde" w:hAnsi="ITC Avant Garde"/>
          <w:i/>
          <w:sz w:val="22"/>
          <w:szCs w:val="22"/>
        </w:rPr>
        <w:t>Open System Interconnection</w:t>
      </w:r>
      <w:r w:rsidRPr="00422CA2">
        <w:rPr>
          <w:rFonts w:ascii="ITC Avant Garde" w:hAnsi="ITC Avant Garde"/>
          <w:sz w:val="22"/>
          <w:szCs w:val="22"/>
        </w:rPr>
        <w:t xml:space="preserve">) o capa de Enlace de Datos, encargada de la entrega de tramas </w:t>
      </w:r>
      <w:r w:rsidR="003A3949" w:rsidRPr="00422CA2">
        <w:rPr>
          <w:rFonts w:ascii="ITC Avant Garde" w:hAnsi="ITC Avant Garde"/>
          <w:sz w:val="22"/>
          <w:szCs w:val="22"/>
        </w:rPr>
        <w:t xml:space="preserve">de bits </w:t>
      </w:r>
      <w:r w:rsidRPr="00422CA2">
        <w:rPr>
          <w:rFonts w:ascii="ITC Avant Garde" w:hAnsi="ITC Avant Garde"/>
          <w:sz w:val="22"/>
          <w:szCs w:val="22"/>
        </w:rPr>
        <w:t>entre dispositivos en la misma red de área local (LAN).</w:t>
      </w:r>
    </w:p>
    <w:p w14:paraId="78982CFF" w14:textId="77777777" w:rsidR="003A3949" w:rsidRPr="00422CA2" w:rsidRDefault="003A3949"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b/>
          <w:i/>
          <w:sz w:val="22"/>
          <w:szCs w:val="22"/>
        </w:rPr>
        <w:t>Capa 3:</w:t>
      </w:r>
      <w:r w:rsidRPr="00422CA2">
        <w:rPr>
          <w:rFonts w:ascii="ITC Avant Garde" w:hAnsi="ITC Avant Garde"/>
          <w:sz w:val="22"/>
          <w:szCs w:val="22"/>
        </w:rPr>
        <w:t xml:space="preserve"> Capa 3 del modelo OSI [Open System Interconnection) o capa de red encargada de la entrega de paquetes y del direccionamiento lógico.</w:t>
      </w:r>
    </w:p>
    <w:p w14:paraId="324C7C70" w14:textId="77777777"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rPr>
        <w:t>Caso Fortuito o Fuerza Mayor:</w:t>
      </w:r>
      <w:r w:rsidRPr="00422CA2">
        <w:rPr>
          <w:rFonts w:ascii="ITC Avant Garde" w:hAnsi="ITC Avant Garde"/>
          <w:b/>
          <w:bCs/>
          <w:sz w:val="22"/>
          <w:szCs w:val="22"/>
        </w:rPr>
        <w:t xml:space="preserve"> </w:t>
      </w:r>
      <w:r w:rsidRPr="00422CA2">
        <w:rPr>
          <w:rFonts w:ascii="ITC Avant Garde" w:hAnsi="ITC Avant Garde"/>
          <w:sz w:val="22"/>
          <w:szCs w:val="22"/>
        </w:rPr>
        <w:t>Cualquier circunstancia que no pueda ser controlada por las Partes, incluyendo sin limitar, incendios, inundaciones, terremotos, accidentes, huelgas, motines, explosiones, actos de gobierno, guerra, insurrección, embargo, disturbios, etc., por las cuales se encuentren imposibilitadas para realizar sus obligaciones contraídas en el Convenio (Referencia: IFT/UPR-UVS)</w:t>
      </w:r>
      <w:r w:rsidRPr="00422CA2">
        <w:rPr>
          <w:rFonts w:ascii="ITC Avant Garde" w:hAnsi="ITC Avant Garde"/>
          <w:sz w:val="22"/>
          <w:szCs w:val="22"/>
          <w:shd w:val="clear" w:color="auto" w:fill="FFFFFF"/>
        </w:rPr>
        <w:t>.</w:t>
      </w:r>
    </w:p>
    <w:p w14:paraId="40E85531" w14:textId="77777777"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Central Telefónica o Instalación Equivalente:</w:t>
      </w:r>
      <w:r w:rsidRPr="00422CA2">
        <w:rPr>
          <w:rFonts w:ascii="ITC Avant Garde" w:hAnsi="ITC Avant Garde"/>
          <w:sz w:val="22"/>
          <w:szCs w:val="22"/>
          <w:lang w:val="es-ES"/>
        </w:rPr>
        <w:t xml:space="preserve"> Nodo de la red destinado a albergar equipos y dispositivos de telecomunicaciones donde se conectan los bucles de acceso local para la provisión de servicios de telecomunicaciones.</w:t>
      </w:r>
    </w:p>
    <w:p w14:paraId="40E85532" w14:textId="4EED851D"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Concesionario Solicitante:</w:t>
      </w:r>
      <w:r w:rsidRPr="00422CA2">
        <w:rPr>
          <w:rFonts w:ascii="ITC Avant Garde" w:hAnsi="ITC Avant Garde"/>
          <w:sz w:val="22"/>
          <w:szCs w:val="22"/>
          <w:lang w:val="es-ES"/>
        </w:rPr>
        <w:t xml:space="preserve"> Concesionario(s) de telecomunicaciones que solicita(n) acceso y/o accede(n) a la infraestructura de la red local </w:t>
      </w:r>
      <w:r w:rsidR="003A3949" w:rsidRPr="00422CA2">
        <w:rPr>
          <w:rFonts w:ascii="ITC Avant Garde" w:hAnsi="ITC Avant Garde"/>
          <w:sz w:val="22"/>
          <w:szCs w:val="22"/>
        </w:rPr>
        <w:t xml:space="preserve">de </w:t>
      </w:r>
      <w:r w:rsidR="00EB66AE" w:rsidRPr="00422CA2">
        <w:rPr>
          <w:rFonts w:ascii="ITC Avant Garde" w:hAnsi="ITC Avant Garde"/>
          <w:sz w:val="22"/>
          <w:szCs w:val="22"/>
        </w:rPr>
        <w:t>Telmex</w:t>
      </w:r>
      <w:r w:rsidR="003A3949" w:rsidRPr="00422CA2" w:rsidDel="003A3949">
        <w:rPr>
          <w:rFonts w:ascii="ITC Avant Garde" w:hAnsi="ITC Avant Garde"/>
          <w:sz w:val="22"/>
          <w:szCs w:val="22"/>
          <w:lang w:val="es-ES"/>
        </w:rPr>
        <w:t xml:space="preserve"> </w:t>
      </w:r>
      <w:r w:rsidRPr="00422CA2">
        <w:rPr>
          <w:rFonts w:ascii="ITC Avant Garde" w:hAnsi="ITC Avant Garde"/>
          <w:sz w:val="22"/>
          <w:szCs w:val="22"/>
          <w:lang w:val="es-ES"/>
        </w:rPr>
        <w:t>a fin de prestar servicios de telecomunicaciones.</w:t>
      </w:r>
    </w:p>
    <w:p w14:paraId="3D3552BF" w14:textId="77777777" w:rsidR="003A3949" w:rsidRPr="00422CA2" w:rsidRDefault="003A3949"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Coubicación</w:t>
      </w:r>
      <w:r w:rsidRPr="00422CA2">
        <w:rPr>
          <w:rFonts w:ascii="ITC Avant Garde" w:hAnsi="ITC Avant Garde"/>
          <w:sz w:val="22"/>
          <w:szCs w:val="22"/>
          <w:lang w:val="es-ES"/>
        </w:rPr>
        <w:t xml:space="preserve"> </w:t>
      </w:r>
      <w:r w:rsidRPr="00422CA2">
        <w:rPr>
          <w:rFonts w:ascii="ITC Avant Garde" w:hAnsi="ITC Avant Garde"/>
          <w:b/>
          <w:i/>
          <w:sz w:val="22"/>
          <w:szCs w:val="22"/>
          <w:lang w:val="es-ES"/>
        </w:rPr>
        <w:t>Externa</w:t>
      </w:r>
      <w:r w:rsidRPr="00422CA2">
        <w:rPr>
          <w:rFonts w:ascii="ITC Avant Garde" w:hAnsi="ITC Avant Garde"/>
          <w:sz w:val="22"/>
          <w:szCs w:val="22"/>
          <w:lang w:val="es-ES"/>
        </w:rPr>
        <w:t>: Espacio arrendado, que provee las facilidades técnicas necesarias para la colocación de equipos y dispositivos de telecomunicaciones del Concesionario Solicitante necesarios para acceder a los servicios de desagregación, ubicados dentro del predio donde se ubica la Central Telefónica o Instalación Equivalente abierta a la desagregación, pero fuera del edificio de la Central Telefónica o Instalación Equivalente.</w:t>
      </w:r>
    </w:p>
    <w:p w14:paraId="41B43EE1" w14:textId="77777777" w:rsidR="003A3949" w:rsidRPr="00422CA2" w:rsidRDefault="003A3949"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Coubicación Interna:</w:t>
      </w:r>
      <w:r w:rsidRPr="00422CA2">
        <w:rPr>
          <w:rFonts w:ascii="ITC Avant Garde" w:hAnsi="ITC Avant Garde"/>
          <w:sz w:val="22"/>
          <w:szCs w:val="22"/>
          <w:lang w:val="es-ES"/>
        </w:rPr>
        <w:t xml:space="preserve"> Espacio arrendado dentro del edificio de la Central Telefónica o Instalación Equivalente abierta a la desagregación, que provee las facilidades técnicas necesarias para la ubicación de los equipos y dispositivos de telecomunicaciones del Concesionario Solicitante necesarios para acceder a los servicios de desagregación.</w:t>
      </w:r>
    </w:p>
    <w:p w14:paraId="40E85534" w14:textId="51A185B0" w:rsidR="00252E5D"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Distribuidor de Fibra Óptica</w:t>
      </w:r>
      <w:r w:rsidR="00FD74B4" w:rsidRPr="00422CA2">
        <w:rPr>
          <w:rFonts w:ascii="ITC Avant Garde" w:hAnsi="ITC Avant Garde"/>
          <w:b/>
          <w:i/>
          <w:sz w:val="22"/>
          <w:szCs w:val="22"/>
          <w:lang w:val="es-ES"/>
        </w:rPr>
        <w:t>:</w:t>
      </w:r>
      <w:r w:rsidRPr="00422CA2">
        <w:rPr>
          <w:rFonts w:ascii="ITC Avant Garde" w:hAnsi="ITC Avant Garde"/>
          <w:b/>
          <w:i/>
          <w:sz w:val="22"/>
          <w:szCs w:val="22"/>
          <w:lang w:val="es-ES"/>
        </w:rPr>
        <w:t xml:space="preserve"> </w:t>
      </w:r>
      <w:r w:rsidRPr="00422CA2">
        <w:rPr>
          <w:rFonts w:ascii="ITC Avant Garde" w:hAnsi="ITC Avant Garde"/>
          <w:i/>
          <w:sz w:val="22"/>
          <w:szCs w:val="22"/>
          <w:lang w:val="es-ES"/>
        </w:rPr>
        <w:t xml:space="preserve">Dispositivo que facilita la centralización, interconexión y derivaciones de </w:t>
      </w:r>
      <w:r w:rsidRPr="00422CA2">
        <w:rPr>
          <w:rFonts w:ascii="ITC Avant Garde" w:hAnsi="ITC Avant Garde"/>
          <w:sz w:val="22"/>
          <w:szCs w:val="22"/>
          <w:lang w:val="es-ES"/>
        </w:rPr>
        <w:t>cables de fibra óptica.</w:t>
      </w:r>
    </w:p>
    <w:p w14:paraId="40E85535" w14:textId="607B3205" w:rsidR="00252E5D"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Distribuidor General</w:t>
      </w:r>
      <w:r w:rsidR="00FD74B4" w:rsidRPr="00422CA2">
        <w:rPr>
          <w:rFonts w:ascii="ITC Avant Garde" w:hAnsi="ITC Avant Garde"/>
          <w:b/>
          <w:i/>
          <w:sz w:val="22"/>
          <w:szCs w:val="22"/>
          <w:lang w:val="es-ES"/>
        </w:rPr>
        <w:t>:</w:t>
      </w:r>
      <w:r w:rsidRPr="00422CA2">
        <w:rPr>
          <w:rFonts w:ascii="ITC Avant Garde" w:hAnsi="ITC Avant Garde"/>
          <w:b/>
          <w:i/>
          <w:sz w:val="22"/>
          <w:szCs w:val="22"/>
          <w:lang w:val="es-ES"/>
        </w:rPr>
        <w:t xml:space="preserve"> </w:t>
      </w:r>
      <w:r w:rsidRPr="00422CA2">
        <w:rPr>
          <w:rFonts w:ascii="ITC Avant Garde" w:hAnsi="ITC Avant Garde"/>
          <w:sz w:val="22"/>
          <w:szCs w:val="22"/>
          <w:lang w:val="es-ES"/>
        </w:rPr>
        <w:t>Es una estructura organizada de tablillas denominadas horizontales y verticales, entre las cuales se realizan los puentes de pares de Red principal de cobre con los puertos de los equipos de Telmex.</w:t>
      </w:r>
    </w:p>
    <w:p w14:paraId="40E85536" w14:textId="77777777" w:rsidR="00252E5D"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lastRenderedPageBreak/>
        <w:t>Ducto:</w:t>
      </w:r>
      <w:r w:rsidRPr="00422CA2">
        <w:rPr>
          <w:rFonts w:ascii="ITC Avant Garde" w:hAnsi="ITC Avant Garde"/>
          <w:sz w:val="22"/>
          <w:szCs w:val="22"/>
          <w:lang w:val="es-ES"/>
        </w:rPr>
        <w:t xml:space="preserve"> Estructura de canalización cerrada de un diámetro específico que se emplea como vía para alojar y proteger los cables de fibra óptica o cobre de las redes de telecomunicaciones.</w:t>
      </w:r>
    </w:p>
    <w:p w14:paraId="40E85537" w14:textId="7A48F251" w:rsidR="00252E5D"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Espacio Vacante:</w:t>
      </w:r>
      <w:r w:rsidRPr="00422CA2">
        <w:rPr>
          <w:rFonts w:ascii="ITC Avant Garde" w:hAnsi="ITC Avant Garde"/>
          <w:sz w:val="22"/>
          <w:szCs w:val="22"/>
          <w:lang w:val="es-ES"/>
        </w:rPr>
        <w:t xml:space="preserve"> Se refiere a los espacios al interior de las instalaciones </w:t>
      </w:r>
      <w:r w:rsidR="00D13961" w:rsidRPr="00422CA2">
        <w:rPr>
          <w:rFonts w:ascii="ITC Avant Garde" w:hAnsi="ITC Avant Garde"/>
          <w:sz w:val="22"/>
          <w:szCs w:val="22"/>
          <w:lang w:val="es-ES"/>
        </w:rPr>
        <w:t xml:space="preserve">de </w:t>
      </w:r>
      <w:r w:rsidRPr="00422CA2">
        <w:rPr>
          <w:rFonts w:ascii="ITC Avant Garde" w:hAnsi="ITC Avant Garde"/>
          <w:sz w:val="22"/>
          <w:szCs w:val="22"/>
          <w:lang w:val="es-ES"/>
        </w:rPr>
        <w:t>Telmex que no estén ocupados por equipos de telecomunicaciones y otros equipamientos auxiliares y personal necesarios para su mantenimiento, ni sean espacios comunes necesarios para la movilidad de personas y equipos (tales como pasillos y accesos para apertura de puertas), y puedan ser físicamente empleados para la instalación de equipos de telecomunicaciones de Telmex o de otros Concesionarios Solicitantes.</w:t>
      </w:r>
    </w:p>
    <w:p w14:paraId="6AD45133" w14:textId="77777777"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Fibra hasta el Hogar: </w:t>
      </w:r>
      <w:r w:rsidRPr="00422CA2">
        <w:rPr>
          <w:rFonts w:ascii="ITC Avant Garde" w:hAnsi="ITC Avant Garde"/>
          <w:sz w:val="22"/>
          <w:szCs w:val="22"/>
          <w:lang w:val="es-ES"/>
        </w:rPr>
        <w:t xml:space="preserve">Arquitectura de despliegue de red acceso basada en fibra óptica como medio de transmisión </w:t>
      </w:r>
      <w:r w:rsidRPr="00422CA2">
        <w:rPr>
          <w:rFonts w:ascii="ITC Avant Garde" w:hAnsi="ITC Avant Garde"/>
          <w:sz w:val="22"/>
          <w:szCs w:val="22"/>
        </w:rPr>
        <w:t>la cual emplea tecnologías que permiten el acceso</w:t>
      </w:r>
      <w:r w:rsidRPr="00422CA2" w:rsidDel="00473BB6">
        <w:rPr>
          <w:rFonts w:ascii="ITC Avant Garde" w:hAnsi="ITC Avant Garde"/>
          <w:sz w:val="22"/>
          <w:szCs w:val="22"/>
          <w:lang w:val="es-ES"/>
        </w:rPr>
        <w:t xml:space="preserve"> </w:t>
      </w:r>
      <w:r w:rsidRPr="00422CA2">
        <w:rPr>
          <w:rFonts w:ascii="ITC Avant Garde" w:hAnsi="ITC Avant Garde"/>
          <w:sz w:val="22"/>
          <w:szCs w:val="22"/>
          <w:lang w:val="es-ES"/>
        </w:rPr>
        <w:t>hasta el domicilio del usuario final.</w:t>
      </w:r>
    </w:p>
    <w:p w14:paraId="40E85539"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Incidente:</w:t>
      </w:r>
      <w:r w:rsidRPr="00422CA2">
        <w:rPr>
          <w:rFonts w:ascii="ITC Avant Garde" w:hAnsi="ITC Avant Garde"/>
          <w:b/>
          <w:sz w:val="22"/>
          <w:szCs w:val="22"/>
          <w:lang w:val="es-ES"/>
        </w:rPr>
        <w:t xml:space="preserve"> </w:t>
      </w:r>
      <w:r w:rsidRPr="00422CA2">
        <w:rPr>
          <w:rFonts w:ascii="ITC Avant Garde" w:hAnsi="ITC Avant Garde"/>
          <w:sz w:val="22"/>
          <w:szCs w:val="22"/>
          <w:lang w:val="es-ES"/>
        </w:rPr>
        <w:t xml:space="preserve">Es la interrupción no planeada de un </w:t>
      </w:r>
      <w:r w:rsidR="00473BB6" w:rsidRPr="00422CA2">
        <w:rPr>
          <w:rFonts w:ascii="ITC Avant Garde" w:hAnsi="ITC Avant Garde"/>
          <w:sz w:val="22"/>
          <w:szCs w:val="22"/>
          <w:lang w:val="es-ES"/>
        </w:rPr>
        <w:t xml:space="preserve">servicio </w:t>
      </w:r>
      <w:r w:rsidRPr="00422CA2">
        <w:rPr>
          <w:rFonts w:ascii="ITC Avant Garde" w:hAnsi="ITC Avant Garde"/>
          <w:sz w:val="22"/>
          <w:szCs w:val="22"/>
          <w:lang w:val="es-ES"/>
        </w:rPr>
        <w:t>o la reducción en la calidad de dicho servicio fuera de los parámetros específicos para cada servicio indicados.</w:t>
      </w:r>
    </w:p>
    <w:p w14:paraId="40E8553A"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Instituto:</w:t>
      </w:r>
      <w:r w:rsidRPr="00422CA2">
        <w:rPr>
          <w:rFonts w:ascii="ITC Avant Garde" w:hAnsi="ITC Avant Garde"/>
          <w:sz w:val="22"/>
          <w:szCs w:val="22"/>
          <w:lang w:val="es-ES"/>
        </w:rPr>
        <w:t xml:space="preserve"> El Instituto Federal de Telecomunicaciones.</w:t>
      </w:r>
    </w:p>
    <w:p w14:paraId="40E8553B" w14:textId="4D9F09C2" w:rsidR="00BE4343" w:rsidRPr="00422CA2" w:rsidRDefault="00011A1B" w:rsidP="00787BAC">
      <w:pPr>
        <w:pStyle w:val="Prrafodelista"/>
        <w:numPr>
          <w:ilvl w:val="0"/>
          <w:numId w:val="26"/>
        </w:numPr>
        <w:spacing w:after="200" w:line="276" w:lineRule="auto"/>
        <w:ind w:left="426"/>
        <w:jc w:val="both"/>
        <w:rPr>
          <w:rFonts w:ascii="ITC Avant Garde" w:eastAsiaTheme="minorHAnsi" w:hAnsi="ITC Avant Garde" w:cstheme="minorBidi"/>
          <w:sz w:val="22"/>
          <w:szCs w:val="22"/>
          <w:lang w:val="es-ES" w:eastAsia="en-US"/>
        </w:rPr>
      </w:pPr>
      <w:r w:rsidRPr="00422CA2">
        <w:rPr>
          <w:rFonts w:ascii="ITC Avant Garde" w:hAnsi="ITC Avant Garde" w:cs="ITC Avant Garde"/>
          <w:b/>
          <w:i/>
          <w:sz w:val="22"/>
          <w:szCs w:val="22"/>
          <w:lang w:val="es-MX" w:eastAsia="es-MX"/>
        </w:rPr>
        <w:t xml:space="preserve">Interoperabilidad: </w:t>
      </w:r>
      <w:r w:rsidRPr="00422CA2">
        <w:rPr>
          <w:rFonts w:ascii="ITC Avant Garde" w:eastAsiaTheme="minorHAnsi" w:hAnsi="ITC Avant Garde" w:cstheme="minorBidi"/>
          <w:sz w:val="22"/>
          <w:szCs w:val="22"/>
          <w:lang w:val="es-ES" w:eastAsia="en-US"/>
        </w:rPr>
        <w:t>Grado en que diversos ambientes (hardware y software) son capaces de intercambiar información sin pérdida de contenido y de forma transparente para el usuario</w:t>
      </w:r>
      <w:r w:rsidRPr="00422CA2">
        <w:rPr>
          <w:rFonts w:ascii="ITC Avant Garde" w:hAnsi="ITC Avant Garde"/>
          <w:sz w:val="22"/>
          <w:szCs w:val="22"/>
          <w:lang w:val="es-ES"/>
        </w:rPr>
        <w:t xml:space="preserve">. </w:t>
      </w:r>
      <w:r w:rsidRPr="00422CA2">
        <w:rPr>
          <w:rFonts w:ascii="ITC Avant Garde" w:eastAsiaTheme="minorHAnsi" w:hAnsi="ITC Avant Garde" w:cstheme="minorBidi"/>
          <w:sz w:val="22"/>
          <w:szCs w:val="22"/>
          <w:lang w:val="es-ES" w:eastAsia="en-US"/>
        </w:rPr>
        <w:t>(Referencia: ISO/TS 22224:2009).</w:t>
      </w:r>
    </w:p>
    <w:p w14:paraId="40E8553C" w14:textId="59DDC1CD" w:rsidR="00C65C38"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Línea de Suscriptor Digital:</w:t>
      </w:r>
      <w:r w:rsidRPr="00422CA2">
        <w:rPr>
          <w:rFonts w:ascii="ITC Avant Garde" w:hAnsi="ITC Avant Garde"/>
          <w:sz w:val="22"/>
          <w:szCs w:val="22"/>
          <w:lang w:val="es-ES"/>
        </w:rPr>
        <w:t xml:space="preserve"> Familias de tecnologías empleadas para ofrecer transporte de datos digitales sobre líneas telefónicas de cobre.</w:t>
      </w:r>
    </w:p>
    <w:p w14:paraId="40E8553E" w14:textId="26F7A451"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Multicast: </w:t>
      </w:r>
      <w:r w:rsidRPr="00422CA2">
        <w:rPr>
          <w:rFonts w:ascii="ITC Avant Garde" w:hAnsi="ITC Avant Garde"/>
          <w:sz w:val="22"/>
          <w:szCs w:val="22"/>
        </w:rPr>
        <w:t xml:space="preserve">Envío </w:t>
      </w:r>
      <w:r w:rsidR="003B42D4" w:rsidRPr="00422CA2">
        <w:rPr>
          <w:rFonts w:ascii="ITC Avant Garde" w:hAnsi="ITC Avant Garde"/>
          <w:sz w:val="22"/>
          <w:szCs w:val="22"/>
        </w:rPr>
        <w:t xml:space="preserve">simultáneo </w:t>
      </w:r>
      <w:r w:rsidRPr="00422CA2">
        <w:rPr>
          <w:rFonts w:ascii="ITC Avant Garde" w:hAnsi="ITC Avant Garde"/>
          <w:sz w:val="22"/>
          <w:szCs w:val="22"/>
        </w:rPr>
        <w:t>de información entre un único origen a un grupo de destinos.</w:t>
      </w:r>
    </w:p>
    <w:p w14:paraId="40E8553F" w14:textId="1ADB4DF0"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Multiplexor de Acceso a línea de Abonado Digital: </w:t>
      </w:r>
      <w:r w:rsidRPr="00422CA2">
        <w:rPr>
          <w:rFonts w:ascii="ITC Avant Garde" w:hAnsi="ITC Avant Garde"/>
          <w:sz w:val="22"/>
          <w:szCs w:val="22"/>
          <w:lang w:val="es-ES"/>
        </w:rPr>
        <w:t xml:space="preserve">Es el equipo </w:t>
      </w:r>
      <w:r w:rsidR="00D13961" w:rsidRPr="00422CA2">
        <w:rPr>
          <w:rFonts w:ascii="ITC Avant Garde" w:hAnsi="ITC Avant Garde"/>
          <w:sz w:val="22"/>
          <w:szCs w:val="22"/>
          <w:lang w:val="es-ES"/>
        </w:rPr>
        <w:t xml:space="preserve">en donde </w:t>
      </w:r>
      <w:r w:rsidRPr="00422CA2">
        <w:rPr>
          <w:rFonts w:ascii="ITC Avant Garde" w:hAnsi="ITC Avant Garde"/>
          <w:sz w:val="22"/>
          <w:szCs w:val="22"/>
          <w:lang w:val="es-ES"/>
        </w:rPr>
        <w:t xml:space="preserve"> termina y concentra el tráfico de datos de un cierto número de líneas digitales provenientes de distintos </w:t>
      </w:r>
      <w:r w:rsidR="00473BB6" w:rsidRPr="00422CA2">
        <w:rPr>
          <w:rFonts w:ascii="ITC Avant Garde" w:hAnsi="ITC Avant Garde"/>
          <w:sz w:val="22"/>
          <w:szCs w:val="22"/>
        </w:rPr>
        <w:t>clientes</w:t>
      </w:r>
      <w:r w:rsidR="00473BB6" w:rsidRPr="00422CA2" w:rsidDel="00473BB6">
        <w:rPr>
          <w:rFonts w:ascii="ITC Avant Garde" w:hAnsi="ITC Avant Garde"/>
          <w:sz w:val="22"/>
          <w:szCs w:val="22"/>
          <w:lang w:val="es-ES"/>
        </w:rPr>
        <w:t xml:space="preserve"> </w:t>
      </w:r>
      <w:r w:rsidRPr="00422CA2">
        <w:rPr>
          <w:rFonts w:ascii="ITC Avant Garde" w:hAnsi="ITC Avant Garde"/>
          <w:sz w:val="22"/>
          <w:szCs w:val="22"/>
          <w:lang w:val="es-ES"/>
        </w:rPr>
        <w:t>en un solo flujo de datos hacia la Red de Telecomunicaciones.</w:t>
      </w:r>
    </w:p>
    <w:p w14:paraId="4DB01E68" w14:textId="0567856E"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Nodo de Conexión de Acceso Indirecto: </w:t>
      </w:r>
      <w:r w:rsidRPr="00422CA2">
        <w:rPr>
          <w:rFonts w:ascii="ITC Avant Garde" w:hAnsi="ITC Avant Garde"/>
          <w:sz w:val="22"/>
          <w:szCs w:val="22"/>
          <w:lang w:val="es-ES"/>
        </w:rPr>
        <w:t>Conjunto de funcionalidades que permiten la concentración de tráfico proveniente de los equipos de acceso, indistintamente de los medios de transmisión utilizados que conectan a los usuarios.</w:t>
      </w:r>
    </w:p>
    <w:p w14:paraId="40E85541" w14:textId="6F7683CE"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lastRenderedPageBreak/>
        <w:t xml:space="preserve">Número de Identificación de Solicitud: </w:t>
      </w:r>
      <w:r w:rsidRPr="00422CA2">
        <w:rPr>
          <w:rFonts w:ascii="ITC Avant Garde" w:hAnsi="ITC Avant Garde"/>
          <w:sz w:val="22"/>
          <w:szCs w:val="22"/>
          <w:lang w:val="es-ES"/>
        </w:rPr>
        <w:t>Identificador asignado a cada solicitud de servicios de desagregación.</w:t>
      </w:r>
    </w:p>
    <w:p w14:paraId="40E85542"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Perfil de línea: </w:t>
      </w:r>
      <w:r w:rsidRPr="00422CA2">
        <w:rPr>
          <w:rFonts w:ascii="ITC Avant Garde" w:hAnsi="ITC Avant Garde"/>
          <w:sz w:val="22"/>
          <w:szCs w:val="22"/>
          <w:lang w:val="es-ES"/>
        </w:rPr>
        <w:t>conjunto de parámetros que definen las características de un servicio determinado, como el Ancho de Banda de Bajada, Ancho de Banda de Subida, Máscara de PSD a emplear, tipo de señalización, modo de operación, entre otros, de la red hacia el usuario final como a la inversa</w:t>
      </w:r>
      <w:r w:rsidRPr="00422CA2">
        <w:rPr>
          <w:rFonts w:ascii="ITC Avant Garde" w:hAnsi="ITC Avant Garde" w:cs="Arial"/>
          <w:sz w:val="22"/>
          <w:szCs w:val="22"/>
          <w:lang w:val="es-ES"/>
        </w:rPr>
        <w:t>.</w:t>
      </w:r>
    </w:p>
    <w:p w14:paraId="40E85543"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Planta Externa: </w:t>
      </w:r>
      <w:r w:rsidRPr="00422CA2">
        <w:rPr>
          <w:rFonts w:ascii="ITC Avant Garde" w:hAnsi="ITC Avant Garde"/>
          <w:sz w:val="22"/>
          <w:szCs w:val="22"/>
          <w:lang w:val="es-ES"/>
        </w:rPr>
        <w:t xml:space="preserve">Estructura que se requiere para unir la Central Telefónica o Instalación Equivalente con los equipos o elementos de red de los usuarios, o para interconectar entre sí distintas Centrales Telefónicas o Instalaciones Equivalentes. </w:t>
      </w:r>
    </w:p>
    <w:p w14:paraId="40E85544"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Pozo:</w:t>
      </w:r>
      <w:r w:rsidRPr="00422CA2">
        <w:rPr>
          <w:rFonts w:ascii="ITC Avant Garde" w:hAnsi="ITC Avant Garde"/>
          <w:sz w:val="22"/>
          <w:szCs w:val="22"/>
          <w:lang w:val="es-ES"/>
        </w:rPr>
        <w:t xml:space="preserve"> Obra civil subterránea destinada a permitir la instalación de cables, la distribución de la red, así como para alojar empalmes.</w:t>
      </w:r>
    </w:p>
    <w:p w14:paraId="40E85545" w14:textId="3272EF0A"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Puerto de conexión de acceso indirecto</w:t>
      </w:r>
      <w:r w:rsidR="00F81625" w:rsidRPr="00422CA2">
        <w:rPr>
          <w:rFonts w:ascii="ITC Avant Garde" w:hAnsi="ITC Avant Garde"/>
          <w:b/>
          <w:i/>
          <w:sz w:val="22"/>
          <w:szCs w:val="22"/>
          <w:lang w:val="es-ES"/>
        </w:rPr>
        <w:t>:</w:t>
      </w:r>
      <w:r w:rsidR="00734910" w:rsidRPr="00422CA2">
        <w:rPr>
          <w:rFonts w:ascii="ITC Avant Garde" w:hAnsi="ITC Avant Garde"/>
          <w:b/>
          <w:i/>
          <w:sz w:val="22"/>
          <w:szCs w:val="22"/>
          <w:lang w:val="es-ES"/>
        </w:rPr>
        <w:t xml:space="preserve"> </w:t>
      </w:r>
      <w:r w:rsidRPr="00422CA2">
        <w:rPr>
          <w:rFonts w:ascii="ITC Avant Garde" w:hAnsi="ITC Avant Garde"/>
          <w:i/>
          <w:sz w:val="22"/>
          <w:szCs w:val="22"/>
          <w:lang w:val="es-ES"/>
        </w:rPr>
        <w:t xml:space="preserve">Punto de </w:t>
      </w:r>
      <w:r w:rsidRPr="00422CA2">
        <w:rPr>
          <w:rFonts w:ascii="ITC Avant Garde" w:hAnsi="ITC Avant Garde"/>
          <w:sz w:val="22"/>
          <w:szCs w:val="22"/>
          <w:lang w:val="es-ES"/>
        </w:rPr>
        <w:t>entrega del Tráfico del Servicio de Acceso Indirecto al Bucle Local en los equipos de Telmex a los Concesionarios Solicitantes.</w:t>
      </w:r>
    </w:p>
    <w:p w14:paraId="40E85547"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lang w:val="es-ES"/>
        </w:rPr>
        <w:t>Punto de Conexión Terminal con filtro centralizado</w:t>
      </w:r>
      <w:r w:rsidRPr="00422CA2">
        <w:rPr>
          <w:rFonts w:ascii="ITC Avant Garde" w:hAnsi="ITC Avant Garde"/>
          <w:b/>
          <w:bCs/>
          <w:sz w:val="22"/>
          <w:szCs w:val="22"/>
          <w:lang w:val="es-ES"/>
        </w:rPr>
        <w:t>:</w:t>
      </w:r>
      <w:r w:rsidRPr="00422CA2">
        <w:rPr>
          <w:rFonts w:ascii="ITC Avant Garde" w:hAnsi="ITC Avant Garde"/>
          <w:sz w:val="22"/>
          <w:szCs w:val="22"/>
          <w:lang w:val="es-ES"/>
        </w:rPr>
        <w:t xml:space="preserve"> Dispositivo unilínea que delimita la red de Telmex con la red del usuario y que separa la banda de frecuencias altas de la banda de frecuencias bajas.</w:t>
      </w:r>
    </w:p>
    <w:p w14:paraId="40E85548" w14:textId="58C5E96C" w:rsidR="00163DFB" w:rsidRPr="00422CA2" w:rsidRDefault="00F81625"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lang w:val="es-ES"/>
        </w:rPr>
        <w:t>Punto de Conexión Terminal</w:t>
      </w:r>
      <w:r w:rsidR="00CD03BB" w:rsidRPr="00422CA2">
        <w:rPr>
          <w:rFonts w:ascii="ITC Avant Garde" w:hAnsi="ITC Avant Garde"/>
          <w:b/>
          <w:bCs/>
          <w:i/>
          <w:iCs/>
          <w:sz w:val="22"/>
          <w:szCs w:val="22"/>
          <w:lang w:val="es-ES"/>
        </w:rPr>
        <w:t>:</w:t>
      </w:r>
      <w:r w:rsidR="00011A1B" w:rsidRPr="00422CA2">
        <w:rPr>
          <w:rFonts w:ascii="ITC Avant Garde" w:hAnsi="ITC Avant Garde"/>
          <w:b/>
          <w:bCs/>
          <w:sz w:val="22"/>
          <w:szCs w:val="22"/>
          <w:lang w:val="es-ES"/>
        </w:rPr>
        <w:t xml:space="preserve"> </w:t>
      </w:r>
      <w:r w:rsidR="00011A1B" w:rsidRPr="00422CA2">
        <w:rPr>
          <w:rFonts w:ascii="ITC Avant Garde" w:hAnsi="ITC Avant Garde"/>
          <w:sz w:val="22"/>
          <w:szCs w:val="22"/>
          <w:lang w:val="es-ES"/>
        </w:rPr>
        <w:t>Dispositivo unilínea o multilínea, que delimita la red de Telmex con la red del usuario final, el cual se instala en el sitio del usuario final y sirve como frontera o demarcación de la responsabilidad de Telmex para los servicios.</w:t>
      </w:r>
    </w:p>
    <w:p w14:paraId="40E85549" w14:textId="77777777" w:rsidR="00897B10"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Punto de Dispersión (Terminal):</w:t>
      </w:r>
      <w:r w:rsidRPr="00422CA2">
        <w:rPr>
          <w:rFonts w:ascii="ITC Avant Garde" w:hAnsi="ITC Avant Garde"/>
          <w:sz w:val="22"/>
          <w:szCs w:val="22"/>
          <w:lang w:val="es-ES"/>
        </w:rPr>
        <w:t xml:space="preserve"> Punto de terminación de la red secundaria donde se realiza la conexión del cable de acometida que va al Usuario final. Se instala normalmente en postes, fachadas, interiores de edificios, azoteas o postes de instalación oculta, entre otros.</w:t>
      </w:r>
    </w:p>
    <w:p w14:paraId="40E8554A" w14:textId="77777777" w:rsidR="00897B10"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Punto de Interconexión:</w:t>
      </w:r>
      <w:r w:rsidRPr="00422CA2">
        <w:rPr>
          <w:rFonts w:ascii="ITC Avant Garde" w:hAnsi="ITC Avant Garde"/>
          <w:sz w:val="22"/>
          <w:szCs w:val="22"/>
          <w:lang w:val="es-ES"/>
        </w:rPr>
        <w:t xml:space="preserve"> Punto físico o virtual donde se establece la interconexión entre redes públicas de telecomunicaciones para el intercambio de tráfico.</w:t>
      </w:r>
    </w:p>
    <w:p w14:paraId="40E8554B" w14:textId="3B98A7C8"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Red de Área Local Virtual: </w:t>
      </w:r>
      <w:r w:rsidRPr="00422CA2">
        <w:rPr>
          <w:rFonts w:ascii="ITC Avant Garde" w:hAnsi="ITC Avant Garde"/>
          <w:sz w:val="22"/>
          <w:szCs w:val="22"/>
          <w:lang w:val="es-ES"/>
        </w:rPr>
        <w:t xml:space="preserve">Grupo de hosts que se comunican como si estuvieran conectados a un mismo dominio de difusión o administrativo, independientemente de su ubicación física o la conexión física con el mismo conmutador de red. (Referencia: </w:t>
      </w:r>
      <w:r w:rsidRPr="00422CA2">
        <w:rPr>
          <w:rFonts w:ascii="ITC Avant Garde" w:hAnsi="ITC Avant Garde" w:cs="Courier New"/>
          <w:sz w:val="22"/>
          <w:szCs w:val="22"/>
          <w:lang w:val="es-ES" w:eastAsia="es-MX"/>
        </w:rPr>
        <w:t>ISO/IEC 80001-2-3:2012)</w:t>
      </w:r>
      <w:r w:rsidRPr="00422CA2">
        <w:rPr>
          <w:rFonts w:ascii="ITC Avant Garde" w:hAnsi="ITC Avant Garde"/>
          <w:sz w:val="22"/>
          <w:szCs w:val="22"/>
          <w:lang w:val="es-ES"/>
        </w:rPr>
        <w:t>.</w:t>
      </w:r>
    </w:p>
    <w:p w14:paraId="40E8554C" w14:textId="6A696B6F"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lastRenderedPageBreak/>
        <w:t xml:space="preserve">Red Óptica Pasiva Gigabit: </w:t>
      </w:r>
      <w:r w:rsidRPr="00422CA2">
        <w:rPr>
          <w:rFonts w:ascii="ITC Avant Garde" w:hAnsi="ITC Avant Garde"/>
          <w:sz w:val="22"/>
          <w:szCs w:val="22"/>
          <w:lang w:val="es-ES"/>
        </w:rPr>
        <w:t>Tecnología de acceso de fibra óptica, que transporta información en una configuración punto a multipunto mediante divisores ópticos pasivos.</w:t>
      </w:r>
    </w:p>
    <w:p w14:paraId="2F305465" w14:textId="77777777" w:rsidR="00E256A8" w:rsidRPr="00422CA2" w:rsidRDefault="00E256A8" w:rsidP="00787BAC">
      <w:pPr>
        <w:pStyle w:val="Prrafodelista"/>
        <w:numPr>
          <w:ilvl w:val="0"/>
          <w:numId w:val="26"/>
        </w:numPr>
        <w:spacing w:after="200" w:line="276" w:lineRule="auto"/>
        <w:ind w:left="426"/>
        <w:jc w:val="both"/>
        <w:rPr>
          <w:rFonts w:ascii="ITC Avant Garde" w:hAnsi="ITC Avant Garde"/>
          <w:b/>
          <w:sz w:val="22"/>
          <w:szCs w:val="22"/>
          <w:lang w:val="es-ES"/>
        </w:rPr>
      </w:pPr>
      <w:r w:rsidRPr="00422CA2">
        <w:rPr>
          <w:rFonts w:ascii="ITC Avant Garde" w:hAnsi="ITC Avant Garde"/>
          <w:b/>
          <w:sz w:val="22"/>
          <w:szCs w:val="22"/>
          <w:lang w:val="es-ES"/>
        </w:rPr>
        <w:t xml:space="preserve">Red Principal: </w:t>
      </w:r>
      <w:r w:rsidRPr="00422CA2">
        <w:rPr>
          <w:rFonts w:ascii="ITC Avant Garde" w:hAnsi="ITC Avant Garde"/>
          <w:sz w:val="22"/>
          <w:szCs w:val="22"/>
          <w:lang w:val="es-ES"/>
        </w:rPr>
        <w:t>Segmento de la red de telecomunicaciones conectado a la Central Telefónica o Instalación Equivalente por medio del distribuidor general, saliendo de esta por la fosa de cables, para ir alojados en canalizaciones de concreto o PVC hacia las Cajas de Distribución</w:t>
      </w:r>
      <w:r w:rsidRPr="00422CA2">
        <w:rPr>
          <w:rFonts w:ascii="ITC Avant Garde" w:hAnsi="ITC Avant Garde"/>
          <w:b/>
          <w:sz w:val="22"/>
          <w:szCs w:val="22"/>
          <w:lang w:val="es-ES"/>
        </w:rPr>
        <w:t>.</w:t>
      </w:r>
    </w:p>
    <w:p w14:paraId="6C227A3C" w14:textId="77777777" w:rsidR="00E256A8" w:rsidRPr="00422CA2" w:rsidRDefault="00E256A8"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b/>
          <w:sz w:val="22"/>
          <w:szCs w:val="22"/>
          <w:lang w:val="es-ES"/>
        </w:rPr>
        <w:t xml:space="preserve">Red Secundaria: </w:t>
      </w:r>
      <w:r w:rsidRPr="00422CA2">
        <w:rPr>
          <w:rFonts w:ascii="ITC Avant Garde" w:hAnsi="ITC Avant Garde"/>
          <w:sz w:val="22"/>
          <w:szCs w:val="22"/>
          <w:lang w:val="es-ES"/>
        </w:rPr>
        <w:t>Segmento de la red de telecomunicaciones</w:t>
      </w:r>
      <w:r w:rsidRPr="00422CA2">
        <w:rPr>
          <w:rFonts w:ascii="ITC Avant Garde" w:hAnsi="ITC Avant Garde"/>
          <w:sz w:val="22"/>
          <w:szCs w:val="22"/>
        </w:rPr>
        <w:t xml:space="preserve"> conectado desde una caja de distribución y que se despliega en la vía pública por medio de puntos de dispersión hacia las cajas terminales.</w:t>
      </w:r>
    </w:p>
    <w:p w14:paraId="40E8554D" w14:textId="7CE81894"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Servicio de Acceso Indirecto al Bucle Local:</w:t>
      </w:r>
      <w:r w:rsidRPr="00422CA2">
        <w:rPr>
          <w:rFonts w:ascii="ITC Avant Garde" w:hAnsi="ITC Avant Garde"/>
          <w:sz w:val="22"/>
          <w:szCs w:val="22"/>
          <w:lang w:val="es-ES"/>
        </w:rPr>
        <w:t xml:space="preserve"> Mediante este servicio Telmex pone a disposición del Concesionario Solicitante capacidad de transmisión entre el usuario final y un Punto de Interconexión del Concesionario Solicitante, de tal forma que se permita la provisión de servicios de telecomunicaciones a un usuario final que se conecta a la red pública de telecomunicaciones mediante una Acometida de Telmex.</w:t>
      </w:r>
    </w:p>
    <w:p w14:paraId="40E8554E" w14:textId="6F03D508"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Servicio de Coubicación para Desagregación:</w:t>
      </w:r>
      <w:r w:rsidRPr="00422CA2">
        <w:rPr>
          <w:rFonts w:ascii="ITC Avant Garde" w:hAnsi="ITC Avant Garde"/>
          <w:sz w:val="22"/>
          <w:szCs w:val="22"/>
          <w:lang w:val="es-ES"/>
        </w:rPr>
        <w:t xml:space="preserve"> Servicio de arrendamiento de espacio para la colocación de equipos y dispositivos del Concesionario Solicitante necesarios para acceder a los servicios de desagregación, mediante su ubicación en los espacios físicos abiertos o cerrados en las Instalaciones de Telmex, que incluye el acondicionamiento necesario para la instalación de equipos, la provisión de recursos técnicos, suministro de energía, medidas de seguridad, aire acondicionado, y demás facilidades necesarias para su adecuada operación, así como el acceso a los espacios físicos mencionados.</w:t>
      </w:r>
    </w:p>
    <w:p w14:paraId="40E8554F" w14:textId="3D3CF562"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Servicio de Desagregación Compartida del Bucle Local:</w:t>
      </w:r>
      <w:r w:rsidRPr="00422CA2">
        <w:rPr>
          <w:rFonts w:ascii="ITC Avant Garde" w:hAnsi="ITC Avant Garde" w:cs="ITC Avant Garde"/>
          <w:sz w:val="22"/>
          <w:szCs w:val="22"/>
          <w:lang w:val="es-MX" w:eastAsia="es-MX"/>
        </w:rPr>
        <w:t xml:space="preserve"> Mediante este servicio </w:t>
      </w:r>
      <w:r w:rsidRPr="00422CA2">
        <w:rPr>
          <w:rFonts w:ascii="ITC Avant Garde" w:hAnsi="ITC Avant Garde"/>
          <w:sz w:val="22"/>
          <w:szCs w:val="22"/>
          <w:lang w:val="es-ES"/>
        </w:rPr>
        <w:t xml:space="preserve">Telmex </w:t>
      </w:r>
      <w:r w:rsidRPr="00422CA2">
        <w:rPr>
          <w:rFonts w:ascii="ITC Avant Garde" w:hAnsi="ITC Avant Garde" w:cs="ITC Avant Garde"/>
          <w:sz w:val="22"/>
          <w:szCs w:val="22"/>
          <w:lang w:val="es-MX" w:eastAsia="es-MX"/>
        </w:rPr>
        <w:t>permite el uso del Bucle Local al Concesionario Solicitante, de tal manera que este último puede hacer uso parcial de la capacidad de transmisión, entregando el circuito en la Central telefónica o instalación equivalente.</w:t>
      </w:r>
    </w:p>
    <w:p w14:paraId="40E85550" w14:textId="669E7A6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Servicio de Desagregación Compartida del Sub-bucle Local:</w:t>
      </w:r>
      <w:r w:rsidRPr="00422CA2">
        <w:rPr>
          <w:rFonts w:ascii="ITC Avant Garde" w:hAnsi="ITC Avant Garde" w:cs="ITC Avant Garde"/>
          <w:sz w:val="22"/>
          <w:szCs w:val="22"/>
          <w:lang w:val="es-MX" w:eastAsia="es-MX"/>
        </w:rPr>
        <w:t xml:space="preserve"> Mediante este servicio </w:t>
      </w:r>
      <w:r w:rsidRPr="00422CA2">
        <w:rPr>
          <w:rFonts w:ascii="ITC Avant Garde" w:hAnsi="ITC Avant Garde"/>
          <w:sz w:val="22"/>
          <w:szCs w:val="22"/>
          <w:lang w:val="es-ES"/>
        </w:rPr>
        <w:t xml:space="preserve">Telmex </w:t>
      </w:r>
      <w:r w:rsidRPr="00422CA2">
        <w:rPr>
          <w:rFonts w:ascii="ITC Avant Garde" w:hAnsi="ITC Avant Garde" w:cs="ITC Avant Garde"/>
          <w:sz w:val="22"/>
          <w:szCs w:val="22"/>
          <w:lang w:val="es-MX" w:eastAsia="es-MX"/>
        </w:rPr>
        <w:t>permite el uso del Sub-Bucle Local al Concesionario Solicitante, de tal manera que este último puede hacer uso parcial de la capacidad de transmisión, entregando el circuito en un punto técnicamente factible entre el domicilio del usuario final y la Central telefónica o instalación equivalente.</w:t>
      </w:r>
    </w:p>
    <w:p w14:paraId="40E85551" w14:textId="101F2DA5"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lastRenderedPageBreak/>
        <w:t>Servicio de Desagregación Total del Bucle Local:</w:t>
      </w:r>
      <w:r w:rsidRPr="00422CA2">
        <w:rPr>
          <w:rFonts w:ascii="ITC Avant Garde" w:hAnsi="ITC Avant Garde" w:cs="ITC Avant Garde"/>
          <w:sz w:val="22"/>
          <w:szCs w:val="22"/>
          <w:lang w:val="es-MX" w:eastAsia="es-MX"/>
        </w:rPr>
        <w:t xml:space="preserve"> Mediante este servicio Telmex permite el uso del Bucle Local al Concesionario Solicitante, de tal manera que este último puede hacer uso de la capacidad de transmisión completa, entregando el circuito en la Central telefónica o instalación equivalente.</w:t>
      </w:r>
    </w:p>
    <w:p w14:paraId="40E85552" w14:textId="6299181D"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Servicio de Desagregación Total del Sub-bucle Local:</w:t>
      </w:r>
      <w:r w:rsidRPr="00422CA2">
        <w:rPr>
          <w:rFonts w:ascii="ITC Avant Garde" w:hAnsi="ITC Avant Garde" w:cs="ITC Avant Garde"/>
          <w:sz w:val="22"/>
          <w:szCs w:val="22"/>
          <w:lang w:val="es-MX" w:eastAsia="es-MX"/>
        </w:rPr>
        <w:t xml:space="preserve"> </w:t>
      </w:r>
      <w:r w:rsidRPr="00422CA2">
        <w:rPr>
          <w:rFonts w:ascii="ITC Avant Garde" w:hAnsi="ITC Avant Garde"/>
          <w:sz w:val="22"/>
          <w:szCs w:val="22"/>
        </w:rPr>
        <w:t xml:space="preserve">Mediante este servicio </w:t>
      </w:r>
      <w:r w:rsidRPr="00422CA2">
        <w:rPr>
          <w:rFonts w:ascii="ITC Avant Garde" w:hAnsi="ITC Avant Garde"/>
          <w:sz w:val="22"/>
          <w:szCs w:val="22"/>
          <w:lang w:val="es-ES"/>
        </w:rPr>
        <w:t xml:space="preserve">Telmex </w:t>
      </w:r>
      <w:r w:rsidRPr="00422CA2">
        <w:rPr>
          <w:rFonts w:ascii="ITC Avant Garde" w:hAnsi="ITC Avant Garde"/>
          <w:sz w:val="22"/>
          <w:szCs w:val="22"/>
        </w:rPr>
        <w:t xml:space="preserve">permite el uso del Sub-bucle Local al Concesionario Solicitante, de tal manera que este último puede hacer uso de la capacidad de transmisión completa, entregando el circuito en un punto técnicamente factible entre el domicilio del usuario final y la Central telefónica o instalación equivalente. </w:t>
      </w:r>
    </w:p>
    <w:p w14:paraId="40E85553" w14:textId="575EAEC9"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 xml:space="preserve">Servicio de Reventa de Línea: </w:t>
      </w:r>
      <w:r w:rsidRPr="00422CA2">
        <w:rPr>
          <w:rFonts w:ascii="ITC Avant Garde" w:hAnsi="ITC Avant Garde" w:cs="ITC Avant Garde"/>
          <w:sz w:val="22"/>
          <w:szCs w:val="22"/>
          <w:lang w:val="es-MX" w:eastAsia="es-MX"/>
        </w:rPr>
        <w:t>Mediante este servicio se permite que el Concesionario Solicitante realice la reventa o comercialización de la línea telefónica de la red pública de telecomunicaciones de Telmex, para la prestación de servicios de telecomunicaciones.</w:t>
      </w:r>
    </w:p>
    <w:p w14:paraId="40E85554" w14:textId="2F859BA4"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Servicios Auxiliares:</w:t>
      </w:r>
      <w:r w:rsidRPr="00422CA2">
        <w:rPr>
          <w:rFonts w:ascii="ITC Avant Garde" w:hAnsi="ITC Avant Garde" w:cs="ITC Avant Garde"/>
          <w:sz w:val="22"/>
          <w:szCs w:val="22"/>
          <w:lang w:val="es-MX" w:eastAsia="es-MX"/>
        </w:rPr>
        <w:t xml:space="preserve"> Servicios necesarios para la adecuada operación de los servicios de desagregación provistos por </w:t>
      </w:r>
      <w:r w:rsidRPr="00422CA2">
        <w:rPr>
          <w:rFonts w:ascii="ITC Avant Garde" w:hAnsi="ITC Avant Garde"/>
          <w:sz w:val="22"/>
          <w:szCs w:val="22"/>
          <w:lang w:val="es-ES"/>
        </w:rPr>
        <w:t>Telmex</w:t>
      </w:r>
      <w:r w:rsidRPr="00422CA2">
        <w:rPr>
          <w:rFonts w:ascii="ITC Avant Garde" w:hAnsi="ITC Avant Garde" w:cs="ITC Avant Garde"/>
          <w:sz w:val="22"/>
          <w:szCs w:val="22"/>
          <w:lang w:val="es-MX" w:eastAsia="es-MX"/>
        </w:rPr>
        <w:t>, que incluyen el suministro de gabinetes, cableado interno de las instalaciones y entre las instalaciones, alimentación eléctrica, cables de sujeción, servicios de mantenimiento, entre otros.</w:t>
      </w:r>
    </w:p>
    <w:p w14:paraId="369316F7" w14:textId="77777777" w:rsidR="002E1686" w:rsidRPr="00422CA2" w:rsidRDefault="002E1686" w:rsidP="00787BAC">
      <w:pPr>
        <w:pStyle w:val="Prrafodelista"/>
        <w:numPr>
          <w:ilvl w:val="0"/>
          <w:numId w:val="26"/>
        </w:numPr>
        <w:spacing w:after="200" w:line="276" w:lineRule="auto"/>
        <w:ind w:left="426"/>
        <w:jc w:val="both"/>
        <w:rPr>
          <w:rFonts w:ascii="ITC Avant Garde" w:hAnsi="ITC Avant Garde"/>
          <w:sz w:val="22"/>
          <w:szCs w:val="22"/>
        </w:rPr>
      </w:pPr>
      <w:r w:rsidRPr="00422CA2">
        <w:rPr>
          <w:rFonts w:ascii="ITC Avant Garde" w:hAnsi="ITC Avant Garde" w:cs="ITC Avant Garde"/>
          <w:b/>
          <w:i/>
          <w:sz w:val="22"/>
          <w:szCs w:val="22"/>
          <w:lang w:val="es-MX" w:eastAsia="es-MX"/>
        </w:rPr>
        <w:t>Sistema de Captura:</w:t>
      </w:r>
      <w:r w:rsidRPr="00422CA2">
        <w:rPr>
          <w:rFonts w:ascii="ITC Avant Garde" w:hAnsi="ITC Avant Garde"/>
          <w:sz w:val="22"/>
          <w:szCs w:val="22"/>
        </w:rPr>
        <w:t xml:space="preserve"> Herramienta que operará de manera provisional para recibir solicitudes y quejas de los </w:t>
      </w:r>
      <w:r w:rsidRPr="00422CA2" w:rsidDel="00E746EB">
        <w:rPr>
          <w:rFonts w:ascii="ITC Avant Garde" w:hAnsi="ITC Avant Garde"/>
          <w:sz w:val="22"/>
          <w:szCs w:val="22"/>
        </w:rPr>
        <w:t>Concesionarios Solicitantes</w:t>
      </w:r>
      <w:r w:rsidRPr="00422CA2">
        <w:rPr>
          <w:rFonts w:ascii="ITC Avant Garde" w:hAnsi="ITC Avant Garde"/>
          <w:sz w:val="22"/>
          <w:szCs w:val="22"/>
        </w:rPr>
        <w:t>, hasta que el Sistema Electrónico de Gestión entre en operación.</w:t>
      </w:r>
    </w:p>
    <w:p w14:paraId="40E85555" w14:textId="6A9A5B9B"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Sistema Electrónico de Gestión: </w:t>
      </w:r>
      <w:r w:rsidRPr="00422CA2">
        <w:rPr>
          <w:rFonts w:ascii="ITC Avant Garde" w:hAnsi="ITC Avant Garde"/>
          <w:sz w:val="22"/>
          <w:szCs w:val="22"/>
          <w:lang w:val="es-ES"/>
        </w:rPr>
        <w:t xml:space="preserve">Es una herramienta que tiene como objetivo permitir a los Concesionarios Solicitantes consultar información actualizada de la Red Pública de Telecomunicaciones </w:t>
      </w:r>
      <w:r w:rsidR="004D29C3" w:rsidRPr="00422CA2">
        <w:rPr>
          <w:rFonts w:ascii="ITC Avant Garde" w:hAnsi="ITC Avant Garde"/>
          <w:sz w:val="22"/>
          <w:szCs w:val="22"/>
          <w:lang w:val="es-ES"/>
        </w:rPr>
        <w:t>de Telmex</w:t>
      </w:r>
      <w:r w:rsidRPr="00422CA2">
        <w:rPr>
          <w:rFonts w:ascii="ITC Avant Garde" w:hAnsi="ITC Avant Garde"/>
          <w:sz w:val="22"/>
          <w:szCs w:val="22"/>
          <w:lang w:val="es-ES"/>
        </w:rPr>
        <w:t>, solicitar los servicios de interconexión, enlaces dedicados, compartición de infraestructura y desagregación, así como dar seguimiento a sus solicitudes hasta la entrega del servicio, reportar fallas, y monitorear la solución de las mismas, y todas aquellas actividades que sean necesarias para la correcta operación de los servicios.</w:t>
      </w:r>
    </w:p>
    <w:p w14:paraId="40E85556"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rPr>
        <w:t xml:space="preserve">Splitter: </w:t>
      </w:r>
      <w:r w:rsidRPr="00422CA2">
        <w:rPr>
          <w:rFonts w:ascii="ITC Avant Garde" w:hAnsi="ITC Avant Garde"/>
          <w:bCs/>
          <w:iCs/>
          <w:sz w:val="22"/>
          <w:szCs w:val="22"/>
        </w:rPr>
        <w:t>Filtro que separa las señales de frecuencias bajas de las señales de frecuencias altas, denominado frecuentemente divisor del servicio telefónico ordinario.</w:t>
      </w:r>
    </w:p>
    <w:p w14:paraId="5527E148" w14:textId="77777777"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 xml:space="preserve">Sub-bucle Local: </w:t>
      </w:r>
      <w:r w:rsidRPr="00422CA2">
        <w:rPr>
          <w:rFonts w:ascii="ITC Avant Garde" w:hAnsi="ITC Avant Garde" w:cs="ITC Avant Garde"/>
          <w:sz w:val="22"/>
          <w:szCs w:val="22"/>
          <w:lang w:val="es-MX" w:eastAsia="es-MX"/>
        </w:rPr>
        <w:t xml:space="preserve">El circuito físico que conecta el punto de conexión terminal de la red en el domicilio del usuario a un punto técnicamente factible entre el domicilio del usuario final y la Central telefónica o instalación equivalente de la </w:t>
      </w:r>
      <w:r w:rsidRPr="00422CA2">
        <w:rPr>
          <w:rFonts w:ascii="ITC Avant Garde" w:hAnsi="ITC Avant Garde" w:cs="ITC Avant Garde"/>
          <w:sz w:val="22"/>
          <w:szCs w:val="22"/>
          <w:lang w:val="es-MX" w:eastAsia="es-MX"/>
        </w:rPr>
        <w:lastRenderedPageBreak/>
        <w:t>red pública de telecomunicaciones desde la cual se presta el servicio al usuario.</w:t>
      </w:r>
    </w:p>
    <w:p w14:paraId="75FA7C6B" w14:textId="10C628F1" w:rsidR="00CD03BB" w:rsidRPr="00422CA2" w:rsidRDefault="00CD03B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Terminal de Línea Óptica: </w:t>
      </w:r>
      <w:r w:rsidRPr="00422CA2">
        <w:rPr>
          <w:rFonts w:ascii="ITC Avant Garde" w:hAnsi="ITC Avant Garde"/>
          <w:sz w:val="22"/>
          <w:szCs w:val="22"/>
          <w:lang w:val="es-ES"/>
        </w:rPr>
        <w:t>Equipo de telecomunicaciones ubicado en las instalaciones de la central que delimita la red óptica de acceso.  Este elemento está del lado de la red de fibra óptica que establece la interface hacia las redes de operación que proporcionan los servicios de telecomunicaciones.</w:t>
      </w:r>
    </w:p>
    <w:p w14:paraId="40E85559" w14:textId="3C3B6B21"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Terminal de Red Óptica</w:t>
      </w:r>
      <w:r w:rsidR="00CD03BB" w:rsidRPr="00422CA2">
        <w:rPr>
          <w:rFonts w:ascii="ITC Avant Garde" w:hAnsi="ITC Avant Garde"/>
          <w:b/>
          <w:i/>
          <w:sz w:val="22"/>
          <w:szCs w:val="22"/>
          <w:lang w:val="es-ES"/>
        </w:rPr>
        <w:t>:</w:t>
      </w:r>
      <w:r w:rsidRPr="00422CA2">
        <w:rPr>
          <w:rFonts w:ascii="ITC Avant Garde" w:hAnsi="ITC Avant Garde"/>
          <w:b/>
          <w:i/>
          <w:sz w:val="22"/>
          <w:szCs w:val="22"/>
          <w:lang w:val="es-ES"/>
        </w:rPr>
        <w:t xml:space="preserve"> </w:t>
      </w:r>
      <w:r w:rsidRPr="00422CA2">
        <w:rPr>
          <w:rFonts w:ascii="ITC Avant Garde" w:hAnsi="ITC Avant Garde"/>
          <w:sz w:val="22"/>
          <w:szCs w:val="22"/>
          <w:lang w:val="es-ES"/>
        </w:rPr>
        <w:t xml:space="preserve">Equipo de telecomunicaciones ubicado en las instalaciones del </w:t>
      </w:r>
      <w:r w:rsidR="006A7616" w:rsidRPr="00422CA2">
        <w:rPr>
          <w:rFonts w:ascii="ITC Avant Garde" w:hAnsi="ITC Avant Garde"/>
          <w:sz w:val="22"/>
          <w:szCs w:val="22"/>
          <w:lang w:val="es-ES"/>
        </w:rPr>
        <w:t xml:space="preserve">cliente </w:t>
      </w:r>
      <w:r w:rsidRPr="00422CA2">
        <w:rPr>
          <w:rFonts w:ascii="ITC Avant Garde" w:hAnsi="ITC Avant Garde"/>
          <w:sz w:val="22"/>
          <w:szCs w:val="22"/>
          <w:lang w:val="es-ES"/>
        </w:rPr>
        <w:t xml:space="preserve">final que termina la red óptica de acceso. Este elemento está del lado de la red que provee la </w:t>
      </w:r>
      <w:r w:rsidR="00D13961" w:rsidRPr="00422CA2">
        <w:rPr>
          <w:rFonts w:ascii="ITC Avant Garde" w:hAnsi="ITC Avant Garde"/>
          <w:sz w:val="22"/>
          <w:szCs w:val="22"/>
          <w:lang w:val="es-ES"/>
        </w:rPr>
        <w:t>interfaz</w:t>
      </w:r>
      <w:r w:rsidRPr="00422CA2">
        <w:rPr>
          <w:rFonts w:ascii="ITC Avant Garde" w:hAnsi="ITC Avant Garde"/>
          <w:sz w:val="22"/>
          <w:szCs w:val="22"/>
          <w:lang w:val="es-ES"/>
        </w:rPr>
        <w:t xml:space="preserve"> del usuario hacia la red de fibra óptica.</w:t>
      </w:r>
    </w:p>
    <w:p w14:paraId="40E8555A"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cs="ITC Avant Garde"/>
          <w:b/>
          <w:i/>
          <w:sz w:val="22"/>
          <w:szCs w:val="22"/>
          <w:lang w:val="es-MX" w:eastAsia="es-MX"/>
        </w:rPr>
        <w:t xml:space="preserve">Tráfico: </w:t>
      </w:r>
      <w:r w:rsidRPr="00422CA2">
        <w:rPr>
          <w:rFonts w:ascii="ITC Avant Garde" w:hAnsi="ITC Avant Garde" w:cs="ITC Avant Garde"/>
          <w:sz w:val="22"/>
          <w:szCs w:val="22"/>
          <w:lang w:val="es-MX" w:eastAsia="es-MX"/>
        </w:rPr>
        <w:t>Toda emisión, transmisión o recepción de signos, señales, datos, escritos, imágenes, voz, sonidos o información de cualquier naturaleza que se conduce a través de una red pública de telecomunicaciones.</w:t>
      </w:r>
    </w:p>
    <w:p w14:paraId="40E8555B" w14:textId="3EB06A4E"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rPr>
        <w:t>Ubicación distante:</w:t>
      </w:r>
      <w:r w:rsidRPr="00422CA2">
        <w:rPr>
          <w:rFonts w:ascii="ITC Avant Garde" w:hAnsi="ITC Avant Garde"/>
          <w:bCs/>
          <w:i/>
          <w:iCs/>
          <w:sz w:val="22"/>
          <w:szCs w:val="22"/>
        </w:rPr>
        <w:t xml:space="preserve"> </w:t>
      </w:r>
      <w:r w:rsidRPr="00422CA2">
        <w:rPr>
          <w:rFonts w:ascii="ITC Avant Garde" w:hAnsi="ITC Avant Garde"/>
          <w:bCs/>
          <w:iCs/>
          <w:sz w:val="22"/>
          <w:szCs w:val="22"/>
        </w:rPr>
        <w:t>La colocación de equipos y dispositivos del Concesionario Solicitante, necesarios para acceder a los servicios de desagregación, mediante la ubicación en espacios físicos fuera de las instalaciones, en donde se encuentran los equipos de Telmex.</w:t>
      </w:r>
    </w:p>
    <w:p w14:paraId="40E8555C"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rPr>
        <w:t xml:space="preserve">Unicast: </w:t>
      </w:r>
      <w:r w:rsidRPr="00422CA2">
        <w:rPr>
          <w:rFonts w:ascii="ITC Avant Garde" w:hAnsi="ITC Avant Garde"/>
          <w:bCs/>
          <w:iCs/>
          <w:sz w:val="22"/>
          <w:szCs w:val="22"/>
        </w:rPr>
        <w:t>Envío de información entre un único origen y un único destino.</w:t>
      </w:r>
    </w:p>
    <w:p w14:paraId="40E8555D" w14:textId="77777777"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bCs/>
          <w:i/>
          <w:iCs/>
          <w:sz w:val="22"/>
          <w:szCs w:val="22"/>
        </w:rPr>
        <w:t>Usuario Final:</w:t>
      </w:r>
      <w:r w:rsidRPr="00422CA2">
        <w:rPr>
          <w:rFonts w:ascii="ITC Avant Garde" w:hAnsi="ITC Avant Garde"/>
          <w:sz w:val="22"/>
          <w:szCs w:val="22"/>
          <w:lang w:val="es-MX"/>
        </w:rPr>
        <w:t xml:space="preserve"> Persona física o moral que utiliza un servicio de telecomunicaciones como destinatario final.</w:t>
      </w:r>
    </w:p>
    <w:p w14:paraId="40E8555E" w14:textId="6EF88404" w:rsidR="00163DFB"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Voz sobre IP: </w:t>
      </w:r>
      <w:r w:rsidRPr="00422CA2">
        <w:rPr>
          <w:rFonts w:ascii="ITC Avant Garde" w:hAnsi="ITC Avant Garde"/>
          <w:sz w:val="22"/>
          <w:szCs w:val="22"/>
          <w:lang w:val="es-ES"/>
        </w:rPr>
        <w:t>Término genérico para describir la técnica utilizada para cursar tráfico de voz sobre IP.</w:t>
      </w:r>
    </w:p>
    <w:p w14:paraId="40E8555F" w14:textId="77777777" w:rsidR="006E7295" w:rsidRPr="00422CA2" w:rsidRDefault="00011A1B" w:rsidP="00787BAC">
      <w:pPr>
        <w:pStyle w:val="Prrafodelista"/>
        <w:numPr>
          <w:ilvl w:val="0"/>
          <w:numId w:val="26"/>
        </w:numPr>
        <w:spacing w:after="200" w:line="276" w:lineRule="auto"/>
        <w:ind w:left="426"/>
        <w:jc w:val="both"/>
        <w:rPr>
          <w:rFonts w:ascii="ITC Avant Garde" w:hAnsi="ITC Avant Garde"/>
          <w:sz w:val="22"/>
          <w:szCs w:val="22"/>
          <w:lang w:val="es-ES"/>
        </w:rPr>
      </w:pPr>
      <w:r w:rsidRPr="00422CA2">
        <w:rPr>
          <w:rFonts w:ascii="ITC Avant Garde" w:hAnsi="ITC Avant Garde"/>
          <w:b/>
          <w:i/>
          <w:sz w:val="22"/>
          <w:szCs w:val="22"/>
          <w:lang w:val="es-ES"/>
        </w:rPr>
        <w:t xml:space="preserve">Zona de cobertura: </w:t>
      </w:r>
      <w:r w:rsidRPr="00422CA2">
        <w:rPr>
          <w:rFonts w:ascii="ITC Avant Garde" w:hAnsi="ITC Avant Garde"/>
          <w:sz w:val="22"/>
          <w:szCs w:val="22"/>
          <w:lang w:val="es-ES"/>
        </w:rPr>
        <w:t>Área geográfica en la cual están conectados usuarios finales en un punto determinado de la red.</w:t>
      </w:r>
    </w:p>
    <w:p w14:paraId="20BC67A3" w14:textId="1126F576" w:rsidR="00B54180" w:rsidRPr="00422CA2" w:rsidRDefault="00B54180">
      <w:pPr>
        <w:rPr>
          <w:rFonts w:ascii="ITC Avant Garde" w:hAnsi="ITC Avant Garde"/>
        </w:rPr>
      </w:pPr>
      <w:r w:rsidRPr="00422CA2">
        <w:rPr>
          <w:rFonts w:ascii="ITC Avant Garde" w:hAnsi="ITC Avant Garde"/>
        </w:rPr>
        <w:br w:type="page"/>
      </w:r>
    </w:p>
    <w:p w14:paraId="7807C8D2" w14:textId="77777777" w:rsidR="0068389F" w:rsidRPr="00422CA2" w:rsidRDefault="0068389F" w:rsidP="00210768">
      <w:pPr>
        <w:pStyle w:val="Ttulo1"/>
      </w:pPr>
      <w:bookmarkStart w:id="30" w:name="_Toc436840861"/>
      <w:bookmarkStart w:id="31" w:name="_Toc436846298"/>
      <w:bookmarkStart w:id="32" w:name="_Toc436848248"/>
      <w:bookmarkStart w:id="33" w:name="_Toc436856496"/>
      <w:bookmarkStart w:id="34" w:name="_Toc436862642"/>
      <w:bookmarkStart w:id="35" w:name="_Toc436866292"/>
      <w:bookmarkStart w:id="36" w:name="_Toc436870871"/>
      <w:bookmarkStart w:id="37" w:name="_Toc436875863"/>
      <w:bookmarkStart w:id="38" w:name="_Toc437602051"/>
      <w:r w:rsidRPr="00422CA2">
        <w:lastRenderedPageBreak/>
        <w:t>Acrónimos</w:t>
      </w:r>
      <w:bookmarkEnd w:id="30"/>
      <w:bookmarkEnd w:id="31"/>
      <w:bookmarkEnd w:id="32"/>
      <w:bookmarkEnd w:id="33"/>
      <w:bookmarkEnd w:id="34"/>
      <w:bookmarkEnd w:id="35"/>
      <w:bookmarkEnd w:id="36"/>
      <w:bookmarkEnd w:id="37"/>
      <w:bookmarkEnd w:id="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07"/>
        <w:gridCol w:w="7439"/>
      </w:tblGrid>
      <w:tr w:rsidR="00422CA2" w:rsidRPr="00422CA2" w14:paraId="373A024E" w14:textId="77777777" w:rsidTr="0068389F">
        <w:trPr>
          <w:trHeight w:val="300"/>
          <w:jc w:val="center"/>
        </w:trPr>
        <w:tc>
          <w:tcPr>
            <w:tcW w:w="907" w:type="dxa"/>
            <w:shd w:val="clear" w:color="auto" w:fill="auto"/>
            <w:noWrap/>
            <w:vAlign w:val="center"/>
          </w:tcPr>
          <w:p w14:paraId="5B37775A"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b/>
                <w:sz w:val="20"/>
                <w:szCs w:val="18"/>
                <w:lang w:eastAsia="es-MX"/>
              </w:rPr>
              <w:t>BRAS</w:t>
            </w:r>
          </w:p>
        </w:tc>
        <w:tc>
          <w:tcPr>
            <w:tcW w:w="7439" w:type="dxa"/>
            <w:shd w:val="clear" w:color="auto" w:fill="auto"/>
            <w:noWrap/>
            <w:vAlign w:val="center"/>
          </w:tcPr>
          <w:p w14:paraId="79EA93EE"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Servidor de Acceso Remoto de Banda ancha</w:t>
            </w:r>
          </w:p>
        </w:tc>
      </w:tr>
      <w:tr w:rsidR="00422CA2" w:rsidRPr="00422CA2" w14:paraId="07AAFE23" w14:textId="77777777" w:rsidTr="0068389F">
        <w:trPr>
          <w:trHeight w:val="300"/>
          <w:jc w:val="center"/>
        </w:trPr>
        <w:tc>
          <w:tcPr>
            <w:tcW w:w="907" w:type="dxa"/>
            <w:shd w:val="clear" w:color="auto" w:fill="auto"/>
            <w:noWrap/>
            <w:vAlign w:val="center"/>
            <w:hideMark/>
          </w:tcPr>
          <w:p w14:paraId="47773317"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CD</w:t>
            </w:r>
          </w:p>
        </w:tc>
        <w:tc>
          <w:tcPr>
            <w:tcW w:w="7439" w:type="dxa"/>
            <w:shd w:val="clear" w:color="auto" w:fill="auto"/>
            <w:noWrap/>
            <w:vAlign w:val="center"/>
            <w:hideMark/>
          </w:tcPr>
          <w:p w14:paraId="42EFE18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Caja de Distribución</w:t>
            </w:r>
          </w:p>
        </w:tc>
      </w:tr>
      <w:tr w:rsidR="00422CA2" w:rsidRPr="00422CA2" w14:paraId="655987FF" w14:textId="77777777" w:rsidTr="0068389F">
        <w:trPr>
          <w:trHeight w:val="300"/>
          <w:jc w:val="center"/>
        </w:trPr>
        <w:tc>
          <w:tcPr>
            <w:tcW w:w="907" w:type="dxa"/>
            <w:shd w:val="clear" w:color="auto" w:fill="auto"/>
            <w:noWrap/>
            <w:vAlign w:val="center"/>
            <w:hideMark/>
          </w:tcPr>
          <w:p w14:paraId="45E44A40"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CDR</w:t>
            </w:r>
          </w:p>
        </w:tc>
        <w:tc>
          <w:tcPr>
            <w:tcW w:w="7439" w:type="dxa"/>
            <w:shd w:val="clear" w:color="auto" w:fill="auto"/>
            <w:noWrap/>
            <w:vAlign w:val="center"/>
            <w:hideMark/>
          </w:tcPr>
          <w:p w14:paraId="6201424E"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Registro de Llamadas Realizadas (CDR, por sus siglas en inglés)</w:t>
            </w:r>
          </w:p>
        </w:tc>
      </w:tr>
      <w:tr w:rsidR="00422CA2" w:rsidRPr="00422CA2" w14:paraId="757AF2D1" w14:textId="77777777" w:rsidTr="0068389F">
        <w:trPr>
          <w:trHeight w:val="300"/>
          <w:jc w:val="center"/>
        </w:trPr>
        <w:tc>
          <w:tcPr>
            <w:tcW w:w="907" w:type="dxa"/>
            <w:shd w:val="clear" w:color="auto" w:fill="auto"/>
            <w:noWrap/>
            <w:vAlign w:val="center"/>
            <w:hideMark/>
          </w:tcPr>
          <w:p w14:paraId="36C31D6D"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CE</w:t>
            </w:r>
          </w:p>
        </w:tc>
        <w:tc>
          <w:tcPr>
            <w:tcW w:w="7439" w:type="dxa"/>
            <w:shd w:val="clear" w:color="auto" w:fill="auto"/>
            <w:noWrap/>
            <w:vAlign w:val="center"/>
            <w:hideMark/>
          </w:tcPr>
          <w:p w14:paraId="764CA5A0"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Coubicación Externa</w:t>
            </w:r>
          </w:p>
        </w:tc>
      </w:tr>
      <w:tr w:rsidR="00422CA2" w:rsidRPr="00422CA2" w14:paraId="47C21247" w14:textId="77777777" w:rsidTr="0068389F">
        <w:trPr>
          <w:trHeight w:val="300"/>
          <w:jc w:val="center"/>
        </w:trPr>
        <w:tc>
          <w:tcPr>
            <w:tcW w:w="907" w:type="dxa"/>
            <w:shd w:val="clear" w:color="auto" w:fill="auto"/>
            <w:noWrap/>
            <w:vAlign w:val="center"/>
            <w:hideMark/>
          </w:tcPr>
          <w:p w14:paraId="08C23A55"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CI</w:t>
            </w:r>
          </w:p>
        </w:tc>
        <w:tc>
          <w:tcPr>
            <w:tcW w:w="7439" w:type="dxa"/>
            <w:shd w:val="clear" w:color="auto" w:fill="auto"/>
            <w:noWrap/>
            <w:vAlign w:val="center"/>
            <w:hideMark/>
          </w:tcPr>
          <w:p w14:paraId="1E4492D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Coubicación Interna</w:t>
            </w:r>
          </w:p>
        </w:tc>
      </w:tr>
      <w:tr w:rsidR="00422CA2" w:rsidRPr="00422CA2" w14:paraId="19CE6D2C" w14:textId="77777777" w:rsidTr="0068389F">
        <w:trPr>
          <w:trHeight w:val="300"/>
          <w:jc w:val="center"/>
        </w:trPr>
        <w:tc>
          <w:tcPr>
            <w:tcW w:w="907" w:type="dxa"/>
            <w:shd w:val="clear" w:color="auto" w:fill="auto"/>
            <w:noWrap/>
            <w:vAlign w:val="center"/>
            <w:hideMark/>
          </w:tcPr>
          <w:p w14:paraId="7B44154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CIC</w:t>
            </w:r>
          </w:p>
        </w:tc>
        <w:tc>
          <w:tcPr>
            <w:tcW w:w="7439" w:type="dxa"/>
            <w:shd w:val="clear" w:color="auto" w:fill="auto"/>
            <w:noWrap/>
            <w:vAlign w:val="center"/>
            <w:hideMark/>
          </w:tcPr>
          <w:p w14:paraId="7DF0CBFC"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Cableado Interior del Cliente</w:t>
            </w:r>
          </w:p>
        </w:tc>
      </w:tr>
      <w:tr w:rsidR="00422CA2" w:rsidRPr="00422CA2" w14:paraId="4E8E5B4C" w14:textId="77777777" w:rsidTr="004B2C51">
        <w:trPr>
          <w:trHeight w:val="300"/>
          <w:jc w:val="center"/>
        </w:trPr>
        <w:tc>
          <w:tcPr>
            <w:tcW w:w="907" w:type="dxa"/>
            <w:shd w:val="clear" w:color="auto" w:fill="auto"/>
            <w:noWrap/>
          </w:tcPr>
          <w:p w14:paraId="775DEC93" w14:textId="1ED80504" w:rsidR="004B2C51" w:rsidRPr="00422CA2" w:rsidRDefault="004B2C51" w:rsidP="004B2C51">
            <w:pPr>
              <w:rPr>
                <w:rFonts w:ascii="ITC Avant Garde" w:hAnsi="ITC Avant Garde"/>
                <w:b/>
                <w:sz w:val="20"/>
                <w:szCs w:val="18"/>
                <w:lang w:eastAsia="es-MX"/>
              </w:rPr>
            </w:pPr>
            <w:r w:rsidRPr="00422CA2">
              <w:rPr>
                <w:rFonts w:ascii="ITC Avant Garde" w:hAnsi="ITC Avant Garde"/>
                <w:b/>
                <w:sz w:val="20"/>
                <w:szCs w:val="18"/>
                <w:lang w:eastAsia="es-MX"/>
              </w:rPr>
              <w:t>CLLI</w:t>
            </w:r>
          </w:p>
        </w:tc>
        <w:tc>
          <w:tcPr>
            <w:tcW w:w="7439" w:type="dxa"/>
            <w:shd w:val="clear" w:color="auto" w:fill="auto"/>
            <w:noWrap/>
          </w:tcPr>
          <w:p w14:paraId="6949C819" w14:textId="1963A5B0" w:rsidR="004B2C51" w:rsidRPr="00422CA2" w:rsidRDefault="004B2C51" w:rsidP="004B2C51">
            <w:pPr>
              <w:rPr>
                <w:rFonts w:ascii="ITC Avant Garde" w:hAnsi="ITC Avant Garde"/>
                <w:sz w:val="20"/>
                <w:szCs w:val="18"/>
                <w:lang w:eastAsia="es-MX"/>
              </w:rPr>
            </w:pPr>
            <w:r w:rsidRPr="00422CA2">
              <w:rPr>
                <w:rFonts w:ascii="ITC Avant Garde" w:hAnsi="ITC Avant Garde"/>
                <w:sz w:val="20"/>
                <w:szCs w:val="18"/>
                <w:lang w:eastAsia="es-MX"/>
              </w:rPr>
              <w:t>Identificador de Ubicación de Lenguaje Común</w:t>
            </w:r>
          </w:p>
        </w:tc>
      </w:tr>
      <w:tr w:rsidR="00422CA2" w:rsidRPr="00422CA2" w14:paraId="2A07F8D9" w14:textId="77777777" w:rsidTr="0068389F">
        <w:trPr>
          <w:trHeight w:val="300"/>
          <w:jc w:val="center"/>
        </w:trPr>
        <w:tc>
          <w:tcPr>
            <w:tcW w:w="907" w:type="dxa"/>
            <w:shd w:val="clear" w:color="auto" w:fill="auto"/>
            <w:noWrap/>
            <w:vAlign w:val="center"/>
            <w:hideMark/>
          </w:tcPr>
          <w:p w14:paraId="1F3EF6BF"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CPE</w:t>
            </w:r>
          </w:p>
        </w:tc>
        <w:tc>
          <w:tcPr>
            <w:tcW w:w="7439" w:type="dxa"/>
            <w:shd w:val="clear" w:color="auto" w:fill="auto"/>
            <w:noWrap/>
            <w:vAlign w:val="center"/>
            <w:hideMark/>
          </w:tcPr>
          <w:p w14:paraId="4D8CB4FC"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Equipo Terminal del Usuario (CPE, por sus siglas en inglés)</w:t>
            </w:r>
          </w:p>
        </w:tc>
      </w:tr>
      <w:tr w:rsidR="00422CA2" w:rsidRPr="00422CA2" w14:paraId="3A07E36B" w14:textId="77777777" w:rsidTr="0068389F">
        <w:trPr>
          <w:trHeight w:val="300"/>
          <w:jc w:val="center"/>
        </w:trPr>
        <w:tc>
          <w:tcPr>
            <w:tcW w:w="907" w:type="dxa"/>
            <w:shd w:val="clear" w:color="auto" w:fill="auto"/>
            <w:noWrap/>
            <w:vAlign w:val="center"/>
            <w:hideMark/>
          </w:tcPr>
          <w:p w14:paraId="0EE25362"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DFO</w:t>
            </w:r>
          </w:p>
        </w:tc>
        <w:tc>
          <w:tcPr>
            <w:tcW w:w="7439" w:type="dxa"/>
            <w:shd w:val="clear" w:color="auto" w:fill="auto"/>
            <w:noWrap/>
            <w:vAlign w:val="center"/>
            <w:hideMark/>
          </w:tcPr>
          <w:p w14:paraId="1BA5931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Distribuidor de Fibra Óptica</w:t>
            </w:r>
          </w:p>
        </w:tc>
      </w:tr>
      <w:tr w:rsidR="00422CA2" w:rsidRPr="00422CA2" w14:paraId="14ED094F" w14:textId="77777777" w:rsidTr="0068389F">
        <w:trPr>
          <w:trHeight w:val="300"/>
          <w:jc w:val="center"/>
        </w:trPr>
        <w:tc>
          <w:tcPr>
            <w:tcW w:w="907" w:type="dxa"/>
            <w:shd w:val="clear" w:color="auto" w:fill="auto"/>
            <w:noWrap/>
            <w:vAlign w:val="center"/>
            <w:hideMark/>
          </w:tcPr>
          <w:p w14:paraId="5BAC5D75"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DG</w:t>
            </w:r>
          </w:p>
        </w:tc>
        <w:tc>
          <w:tcPr>
            <w:tcW w:w="7439" w:type="dxa"/>
            <w:shd w:val="clear" w:color="auto" w:fill="auto"/>
            <w:noWrap/>
            <w:vAlign w:val="center"/>
            <w:hideMark/>
          </w:tcPr>
          <w:p w14:paraId="7E8A265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Distribuidor General</w:t>
            </w:r>
          </w:p>
        </w:tc>
      </w:tr>
      <w:tr w:rsidR="00422CA2" w:rsidRPr="00422CA2" w14:paraId="0FC025B6" w14:textId="77777777" w:rsidTr="0068389F">
        <w:trPr>
          <w:trHeight w:val="300"/>
          <w:jc w:val="center"/>
        </w:trPr>
        <w:tc>
          <w:tcPr>
            <w:tcW w:w="907" w:type="dxa"/>
            <w:shd w:val="clear" w:color="auto" w:fill="auto"/>
            <w:noWrap/>
            <w:vAlign w:val="center"/>
            <w:hideMark/>
          </w:tcPr>
          <w:p w14:paraId="648AD65E"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DSL</w:t>
            </w:r>
          </w:p>
        </w:tc>
        <w:tc>
          <w:tcPr>
            <w:tcW w:w="7439" w:type="dxa"/>
            <w:shd w:val="clear" w:color="auto" w:fill="auto"/>
            <w:noWrap/>
            <w:vAlign w:val="center"/>
            <w:hideMark/>
          </w:tcPr>
          <w:p w14:paraId="3D4EB69B"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Línea de Abonado Digital (DSL, por sus siglas en inglés)</w:t>
            </w:r>
          </w:p>
        </w:tc>
      </w:tr>
      <w:tr w:rsidR="00422CA2" w:rsidRPr="00422CA2" w14:paraId="45F1E4AF" w14:textId="77777777" w:rsidTr="0068389F">
        <w:trPr>
          <w:trHeight w:val="300"/>
          <w:jc w:val="center"/>
        </w:trPr>
        <w:tc>
          <w:tcPr>
            <w:tcW w:w="907" w:type="dxa"/>
            <w:shd w:val="clear" w:color="auto" w:fill="auto"/>
            <w:noWrap/>
            <w:vAlign w:val="center"/>
            <w:hideMark/>
          </w:tcPr>
          <w:p w14:paraId="597382F2"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DSLAM</w:t>
            </w:r>
          </w:p>
        </w:tc>
        <w:tc>
          <w:tcPr>
            <w:tcW w:w="7439" w:type="dxa"/>
            <w:shd w:val="clear" w:color="auto" w:fill="auto"/>
            <w:noWrap/>
            <w:vAlign w:val="center"/>
            <w:hideMark/>
          </w:tcPr>
          <w:p w14:paraId="3F7350DC"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Multiplexor de Acceso a Línea de Abonado Digital (DSLAM, por sus siglas en inglés).</w:t>
            </w:r>
          </w:p>
        </w:tc>
      </w:tr>
      <w:tr w:rsidR="00422CA2" w:rsidRPr="00422CA2" w14:paraId="64A03451" w14:textId="77777777" w:rsidTr="0068389F">
        <w:trPr>
          <w:trHeight w:val="300"/>
          <w:jc w:val="center"/>
        </w:trPr>
        <w:tc>
          <w:tcPr>
            <w:tcW w:w="907" w:type="dxa"/>
            <w:shd w:val="clear" w:color="auto" w:fill="auto"/>
            <w:noWrap/>
            <w:vAlign w:val="center"/>
            <w:hideMark/>
          </w:tcPr>
          <w:p w14:paraId="6BDEE277"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FTTH</w:t>
            </w:r>
          </w:p>
        </w:tc>
        <w:tc>
          <w:tcPr>
            <w:tcW w:w="7439" w:type="dxa"/>
            <w:shd w:val="clear" w:color="auto" w:fill="auto"/>
            <w:noWrap/>
            <w:vAlign w:val="center"/>
            <w:hideMark/>
          </w:tcPr>
          <w:p w14:paraId="60A2E7B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Fibra hasta el Hogar (FTTH, por sus siglas en inglés)</w:t>
            </w:r>
          </w:p>
        </w:tc>
      </w:tr>
      <w:tr w:rsidR="00422CA2" w:rsidRPr="00422CA2" w14:paraId="7658CA62" w14:textId="77777777" w:rsidTr="0068389F">
        <w:trPr>
          <w:trHeight w:val="300"/>
          <w:jc w:val="center"/>
        </w:trPr>
        <w:tc>
          <w:tcPr>
            <w:tcW w:w="907" w:type="dxa"/>
            <w:shd w:val="clear" w:color="auto" w:fill="auto"/>
            <w:noWrap/>
            <w:vAlign w:val="center"/>
            <w:hideMark/>
          </w:tcPr>
          <w:p w14:paraId="7103E349"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GPON</w:t>
            </w:r>
          </w:p>
        </w:tc>
        <w:tc>
          <w:tcPr>
            <w:tcW w:w="7439" w:type="dxa"/>
            <w:shd w:val="clear" w:color="auto" w:fill="auto"/>
            <w:noWrap/>
            <w:vAlign w:val="center"/>
            <w:hideMark/>
          </w:tcPr>
          <w:p w14:paraId="3D335BE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Red Óptica Pasiva Gigabit (GPON, por sus siglas en inglés)</w:t>
            </w:r>
          </w:p>
        </w:tc>
      </w:tr>
      <w:tr w:rsidR="00422CA2" w:rsidRPr="00422CA2" w14:paraId="6111CCE2" w14:textId="77777777" w:rsidTr="0068389F">
        <w:trPr>
          <w:trHeight w:val="300"/>
          <w:jc w:val="center"/>
        </w:trPr>
        <w:tc>
          <w:tcPr>
            <w:tcW w:w="907" w:type="dxa"/>
            <w:shd w:val="clear" w:color="auto" w:fill="auto"/>
            <w:noWrap/>
            <w:vAlign w:val="center"/>
            <w:hideMark/>
          </w:tcPr>
          <w:p w14:paraId="1660636E"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LAN</w:t>
            </w:r>
          </w:p>
        </w:tc>
        <w:tc>
          <w:tcPr>
            <w:tcW w:w="7439" w:type="dxa"/>
            <w:shd w:val="clear" w:color="auto" w:fill="auto"/>
            <w:noWrap/>
            <w:vAlign w:val="center"/>
            <w:hideMark/>
          </w:tcPr>
          <w:p w14:paraId="0AD323D1"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Red de Área Local (LAN, por sus siglas en inglés)</w:t>
            </w:r>
          </w:p>
        </w:tc>
      </w:tr>
      <w:tr w:rsidR="00422CA2" w:rsidRPr="00422CA2" w14:paraId="09304E3A" w14:textId="77777777" w:rsidTr="0068389F">
        <w:trPr>
          <w:trHeight w:val="300"/>
          <w:jc w:val="center"/>
        </w:trPr>
        <w:tc>
          <w:tcPr>
            <w:tcW w:w="907" w:type="dxa"/>
            <w:shd w:val="clear" w:color="auto" w:fill="auto"/>
            <w:noWrap/>
            <w:vAlign w:val="center"/>
            <w:hideMark/>
          </w:tcPr>
          <w:p w14:paraId="02EDF0A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NCAI</w:t>
            </w:r>
          </w:p>
        </w:tc>
        <w:tc>
          <w:tcPr>
            <w:tcW w:w="7439" w:type="dxa"/>
            <w:shd w:val="clear" w:color="auto" w:fill="auto"/>
            <w:noWrap/>
            <w:vAlign w:val="center"/>
            <w:hideMark/>
          </w:tcPr>
          <w:p w14:paraId="7D3584B0"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Nodo de Conexión de Acceso Indirecto</w:t>
            </w:r>
          </w:p>
        </w:tc>
      </w:tr>
      <w:tr w:rsidR="00422CA2" w:rsidRPr="00422CA2" w14:paraId="77B1A69B" w14:textId="77777777" w:rsidTr="0068389F">
        <w:trPr>
          <w:trHeight w:val="300"/>
          <w:jc w:val="center"/>
        </w:trPr>
        <w:tc>
          <w:tcPr>
            <w:tcW w:w="907" w:type="dxa"/>
            <w:shd w:val="clear" w:color="auto" w:fill="auto"/>
            <w:noWrap/>
            <w:vAlign w:val="center"/>
            <w:hideMark/>
          </w:tcPr>
          <w:p w14:paraId="1D35BC0C"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NIS</w:t>
            </w:r>
          </w:p>
        </w:tc>
        <w:tc>
          <w:tcPr>
            <w:tcW w:w="7439" w:type="dxa"/>
            <w:shd w:val="clear" w:color="auto" w:fill="auto"/>
            <w:noWrap/>
            <w:vAlign w:val="center"/>
            <w:hideMark/>
          </w:tcPr>
          <w:p w14:paraId="317BDBF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Número de Identificación de Solicitud</w:t>
            </w:r>
          </w:p>
        </w:tc>
      </w:tr>
      <w:tr w:rsidR="00422CA2" w:rsidRPr="00422CA2" w14:paraId="5C3DB2D1" w14:textId="77777777" w:rsidTr="0068389F">
        <w:trPr>
          <w:trHeight w:val="300"/>
          <w:jc w:val="center"/>
        </w:trPr>
        <w:tc>
          <w:tcPr>
            <w:tcW w:w="907" w:type="dxa"/>
            <w:shd w:val="clear" w:color="auto" w:fill="auto"/>
            <w:noWrap/>
            <w:vAlign w:val="center"/>
            <w:hideMark/>
          </w:tcPr>
          <w:p w14:paraId="75518463"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NTP</w:t>
            </w:r>
          </w:p>
        </w:tc>
        <w:tc>
          <w:tcPr>
            <w:tcW w:w="7439" w:type="dxa"/>
            <w:shd w:val="clear" w:color="auto" w:fill="auto"/>
            <w:noWrap/>
            <w:vAlign w:val="center"/>
            <w:hideMark/>
          </w:tcPr>
          <w:p w14:paraId="5350C260"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Punto de Terminación de la Red (NTP, por sus siglas en inglés)</w:t>
            </w:r>
          </w:p>
        </w:tc>
      </w:tr>
      <w:tr w:rsidR="00422CA2" w:rsidRPr="00422CA2" w14:paraId="5B757AA1" w14:textId="77777777" w:rsidTr="0068389F">
        <w:trPr>
          <w:trHeight w:val="300"/>
          <w:jc w:val="center"/>
        </w:trPr>
        <w:tc>
          <w:tcPr>
            <w:tcW w:w="907" w:type="dxa"/>
            <w:shd w:val="clear" w:color="auto" w:fill="auto"/>
            <w:noWrap/>
            <w:vAlign w:val="center"/>
            <w:hideMark/>
          </w:tcPr>
          <w:p w14:paraId="4601E2E1"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OLT</w:t>
            </w:r>
          </w:p>
        </w:tc>
        <w:tc>
          <w:tcPr>
            <w:tcW w:w="7439" w:type="dxa"/>
            <w:shd w:val="clear" w:color="auto" w:fill="auto"/>
            <w:noWrap/>
            <w:vAlign w:val="center"/>
            <w:hideMark/>
          </w:tcPr>
          <w:p w14:paraId="51699B3E"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Terminal de Línea Óptica (OLT, por sus siglas en inglés)</w:t>
            </w:r>
          </w:p>
        </w:tc>
      </w:tr>
      <w:tr w:rsidR="00422CA2" w:rsidRPr="00422CA2" w14:paraId="132A8817" w14:textId="77777777" w:rsidTr="0068389F">
        <w:trPr>
          <w:trHeight w:val="300"/>
          <w:jc w:val="center"/>
        </w:trPr>
        <w:tc>
          <w:tcPr>
            <w:tcW w:w="907" w:type="dxa"/>
            <w:shd w:val="clear" w:color="auto" w:fill="auto"/>
            <w:noWrap/>
            <w:vAlign w:val="center"/>
            <w:hideMark/>
          </w:tcPr>
          <w:p w14:paraId="44EE5BEA"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ONT</w:t>
            </w:r>
          </w:p>
        </w:tc>
        <w:tc>
          <w:tcPr>
            <w:tcW w:w="7439" w:type="dxa"/>
            <w:shd w:val="clear" w:color="auto" w:fill="auto"/>
            <w:noWrap/>
            <w:vAlign w:val="center"/>
            <w:hideMark/>
          </w:tcPr>
          <w:p w14:paraId="0748E94B"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 xml:space="preserve">Terminal de Red Óptica (ONT, por sus siglas en inglés) </w:t>
            </w:r>
          </w:p>
        </w:tc>
      </w:tr>
      <w:tr w:rsidR="00422CA2" w:rsidRPr="00422CA2" w14:paraId="0A8125B0" w14:textId="77777777" w:rsidTr="0068389F">
        <w:trPr>
          <w:trHeight w:val="300"/>
          <w:jc w:val="center"/>
        </w:trPr>
        <w:tc>
          <w:tcPr>
            <w:tcW w:w="907" w:type="dxa"/>
            <w:shd w:val="clear" w:color="auto" w:fill="auto"/>
            <w:noWrap/>
            <w:vAlign w:val="center"/>
          </w:tcPr>
          <w:p w14:paraId="72F95EA4" w14:textId="54AEBDF5" w:rsidR="005D7076" w:rsidRPr="00422CA2" w:rsidRDefault="005D7076" w:rsidP="0068389F">
            <w:pPr>
              <w:rPr>
                <w:rFonts w:ascii="ITC Avant Garde" w:hAnsi="ITC Avant Garde"/>
                <w:b/>
                <w:sz w:val="20"/>
                <w:szCs w:val="18"/>
                <w:lang w:eastAsia="es-MX"/>
              </w:rPr>
            </w:pPr>
            <w:r w:rsidRPr="00422CA2">
              <w:rPr>
                <w:rFonts w:ascii="ITC Avant Garde" w:hAnsi="ITC Avant Garde"/>
                <w:b/>
                <w:sz w:val="20"/>
                <w:szCs w:val="18"/>
                <w:lang w:eastAsia="es-MX"/>
              </w:rPr>
              <w:t>OREDA</w:t>
            </w:r>
          </w:p>
        </w:tc>
        <w:tc>
          <w:tcPr>
            <w:tcW w:w="7439" w:type="dxa"/>
            <w:shd w:val="clear" w:color="auto" w:fill="auto"/>
            <w:noWrap/>
            <w:vAlign w:val="center"/>
          </w:tcPr>
          <w:p w14:paraId="63B0A39A" w14:textId="27473A6C" w:rsidR="005D7076" w:rsidRPr="00422CA2" w:rsidRDefault="005D7076" w:rsidP="005D7076">
            <w:pPr>
              <w:rPr>
                <w:rFonts w:ascii="ITC Avant Garde" w:hAnsi="ITC Avant Garde"/>
                <w:sz w:val="20"/>
                <w:szCs w:val="18"/>
                <w:lang w:eastAsia="es-MX"/>
              </w:rPr>
            </w:pPr>
            <w:r w:rsidRPr="00422CA2">
              <w:rPr>
                <w:rFonts w:ascii="ITC Avant Garde" w:hAnsi="ITC Avant Garde"/>
                <w:sz w:val="20"/>
                <w:szCs w:val="18"/>
                <w:lang w:eastAsia="es-MX"/>
              </w:rPr>
              <w:t>Oferta de Referencia para la Desagregación del Bucle Local</w:t>
            </w:r>
          </w:p>
        </w:tc>
      </w:tr>
      <w:tr w:rsidR="00422CA2" w:rsidRPr="00422CA2" w14:paraId="3634AB50" w14:textId="77777777" w:rsidTr="0068389F">
        <w:trPr>
          <w:trHeight w:val="300"/>
          <w:jc w:val="center"/>
        </w:trPr>
        <w:tc>
          <w:tcPr>
            <w:tcW w:w="907" w:type="dxa"/>
            <w:shd w:val="clear" w:color="auto" w:fill="auto"/>
            <w:noWrap/>
            <w:vAlign w:val="center"/>
            <w:hideMark/>
          </w:tcPr>
          <w:p w14:paraId="61B3836A"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OSI</w:t>
            </w:r>
          </w:p>
        </w:tc>
        <w:tc>
          <w:tcPr>
            <w:tcW w:w="7439" w:type="dxa"/>
            <w:shd w:val="clear" w:color="auto" w:fill="auto"/>
            <w:noWrap/>
            <w:vAlign w:val="center"/>
            <w:hideMark/>
          </w:tcPr>
          <w:p w14:paraId="3EC5680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Interconexión de Sistemas Abiertos (OSI, por sus siglas en inglés)</w:t>
            </w:r>
          </w:p>
        </w:tc>
      </w:tr>
      <w:tr w:rsidR="00422CA2" w:rsidRPr="00422CA2" w14:paraId="58FE5B33" w14:textId="77777777" w:rsidTr="0068389F">
        <w:trPr>
          <w:trHeight w:val="300"/>
          <w:jc w:val="center"/>
        </w:trPr>
        <w:tc>
          <w:tcPr>
            <w:tcW w:w="907" w:type="dxa"/>
            <w:shd w:val="clear" w:color="auto" w:fill="auto"/>
            <w:noWrap/>
            <w:vAlign w:val="center"/>
            <w:hideMark/>
          </w:tcPr>
          <w:p w14:paraId="1D9CDC9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pCAI</w:t>
            </w:r>
          </w:p>
        </w:tc>
        <w:tc>
          <w:tcPr>
            <w:tcW w:w="7439" w:type="dxa"/>
            <w:shd w:val="clear" w:color="auto" w:fill="auto"/>
            <w:noWrap/>
            <w:vAlign w:val="center"/>
            <w:hideMark/>
          </w:tcPr>
          <w:p w14:paraId="25C6DC4E"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Puerto de Conexión de Acceso Indirecto</w:t>
            </w:r>
          </w:p>
        </w:tc>
      </w:tr>
      <w:tr w:rsidR="00422CA2" w:rsidRPr="00422CA2" w14:paraId="3F3EE97C" w14:textId="77777777" w:rsidTr="0068389F">
        <w:trPr>
          <w:trHeight w:val="300"/>
          <w:jc w:val="center"/>
        </w:trPr>
        <w:tc>
          <w:tcPr>
            <w:tcW w:w="907" w:type="dxa"/>
            <w:shd w:val="clear" w:color="auto" w:fill="auto"/>
            <w:noWrap/>
            <w:vAlign w:val="center"/>
            <w:hideMark/>
          </w:tcPr>
          <w:p w14:paraId="30FD9C9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POTS</w:t>
            </w:r>
          </w:p>
        </w:tc>
        <w:tc>
          <w:tcPr>
            <w:tcW w:w="7439" w:type="dxa"/>
            <w:shd w:val="clear" w:color="auto" w:fill="auto"/>
            <w:noWrap/>
            <w:vAlign w:val="center"/>
            <w:hideMark/>
          </w:tcPr>
          <w:p w14:paraId="0C6CA69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Telefónico Simple (POTS, por sus siglas en inglés)</w:t>
            </w:r>
          </w:p>
        </w:tc>
      </w:tr>
      <w:tr w:rsidR="00422CA2" w:rsidRPr="00422CA2" w14:paraId="48E3EB2F" w14:textId="77777777" w:rsidTr="0068389F">
        <w:trPr>
          <w:trHeight w:val="300"/>
          <w:jc w:val="center"/>
        </w:trPr>
        <w:tc>
          <w:tcPr>
            <w:tcW w:w="907" w:type="dxa"/>
            <w:shd w:val="clear" w:color="auto" w:fill="auto"/>
            <w:noWrap/>
            <w:vAlign w:val="center"/>
            <w:hideMark/>
          </w:tcPr>
          <w:p w14:paraId="6B900798"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PCT</w:t>
            </w:r>
          </w:p>
        </w:tc>
        <w:tc>
          <w:tcPr>
            <w:tcW w:w="7439" w:type="dxa"/>
            <w:shd w:val="clear" w:color="auto" w:fill="auto"/>
            <w:noWrap/>
            <w:vAlign w:val="center"/>
            <w:hideMark/>
          </w:tcPr>
          <w:p w14:paraId="0F805259"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Punto de Conexión Terminal</w:t>
            </w:r>
          </w:p>
        </w:tc>
      </w:tr>
      <w:tr w:rsidR="00422CA2" w:rsidRPr="00422CA2" w14:paraId="0CB8D5E9" w14:textId="77777777" w:rsidTr="0068389F">
        <w:trPr>
          <w:trHeight w:val="300"/>
          <w:jc w:val="center"/>
        </w:trPr>
        <w:tc>
          <w:tcPr>
            <w:tcW w:w="907" w:type="dxa"/>
            <w:shd w:val="clear" w:color="auto" w:fill="auto"/>
            <w:noWrap/>
            <w:vAlign w:val="center"/>
            <w:hideMark/>
          </w:tcPr>
          <w:p w14:paraId="6AC25585"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PTR</w:t>
            </w:r>
          </w:p>
        </w:tc>
        <w:tc>
          <w:tcPr>
            <w:tcW w:w="7439" w:type="dxa"/>
            <w:shd w:val="clear" w:color="auto" w:fill="auto"/>
            <w:noWrap/>
            <w:vAlign w:val="center"/>
            <w:hideMark/>
          </w:tcPr>
          <w:p w14:paraId="3C57BB4A"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Punto de Terminación de la Red</w:t>
            </w:r>
          </w:p>
        </w:tc>
      </w:tr>
      <w:tr w:rsidR="00422CA2" w:rsidRPr="00422CA2" w14:paraId="660017A6" w14:textId="77777777" w:rsidTr="0068389F">
        <w:trPr>
          <w:trHeight w:val="300"/>
          <w:jc w:val="center"/>
        </w:trPr>
        <w:tc>
          <w:tcPr>
            <w:tcW w:w="907" w:type="dxa"/>
            <w:shd w:val="clear" w:color="auto" w:fill="auto"/>
            <w:noWrap/>
            <w:vAlign w:val="center"/>
            <w:hideMark/>
          </w:tcPr>
          <w:p w14:paraId="29F2FED2"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PVC</w:t>
            </w:r>
          </w:p>
        </w:tc>
        <w:tc>
          <w:tcPr>
            <w:tcW w:w="7439" w:type="dxa"/>
            <w:shd w:val="clear" w:color="auto" w:fill="auto"/>
            <w:noWrap/>
            <w:vAlign w:val="center"/>
            <w:hideMark/>
          </w:tcPr>
          <w:p w14:paraId="6A269A73"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Cloruro de Polivinilo</w:t>
            </w:r>
          </w:p>
        </w:tc>
      </w:tr>
      <w:tr w:rsidR="00422CA2" w:rsidRPr="00422CA2" w14:paraId="4B25DD14" w14:textId="77777777" w:rsidTr="0068389F">
        <w:trPr>
          <w:trHeight w:val="300"/>
          <w:jc w:val="center"/>
        </w:trPr>
        <w:tc>
          <w:tcPr>
            <w:tcW w:w="907" w:type="dxa"/>
            <w:shd w:val="clear" w:color="auto" w:fill="auto"/>
            <w:noWrap/>
            <w:vAlign w:val="center"/>
            <w:hideMark/>
          </w:tcPr>
          <w:p w14:paraId="2C982E65"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SAIB</w:t>
            </w:r>
          </w:p>
        </w:tc>
        <w:tc>
          <w:tcPr>
            <w:tcW w:w="7439" w:type="dxa"/>
            <w:shd w:val="clear" w:color="auto" w:fill="auto"/>
            <w:noWrap/>
            <w:vAlign w:val="center"/>
            <w:hideMark/>
          </w:tcPr>
          <w:p w14:paraId="6538B28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Acceso Indirecto al Bucle Local</w:t>
            </w:r>
          </w:p>
        </w:tc>
      </w:tr>
      <w:tr w:rsidR="00422CA2" w:rsidRPr="00422CA2" w14:paraId="6872C7BA" w14:textId="77777777" w:rsidTr="0068389F">
        <w:trPr>
          <w:trHeight w:val="300"/>
          <w:jc w:val="center"/>
        </w:trPr>
        <w:tc>
          <w:tcPr>
            <w:tcW w:w="907" w:type="dxa"/>
            <w:shd w:val="clear" w:color="auto" w:fill="auto"/>
            <w:noWrap/>
            <w:vAlign w:val="center"/>
            <w:hideMark/>
          </w:tcPr>
          <w:p w14:paraId="069F21A9"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SCD</w:t>
            </w:r>
          </w:p>
        </w:tc>
        <w:tc>
          <w:tcPr>
            <w:tcW w:w="7439" w:type="dxa"/>
            <w:shd w:val="clear" w:color="auto" w:fill="auto"/>
            <w:noWrap/>
            <w:vAlign w:val="center"/>
            <w:hideMark/>
          </w:tcPr>
          <w:p w14:paraId="21DAF842"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Coubicación para Desagregación</w:t>
            </w:r>
          </w:p>
        </w:tc>
      </w:tr>
      <w:tr w:rsidR="00422CA2" w:rsidRPr="00422CA2" w14:paraId="32AECA90" w14:textId="77777777" w:rsidTr="0068389F">
        <w:trPr>
          <w:trHeight w:val="300"/>
          <w:jc w:val="center"/>
        </w:trPr>
        <w:tc>
          <w:tcPr>
            <w:tcW w:w="907" w:type="dxa"/>
            <w:shd w:val="clear" w:color="auto" w:fill="auto"/>
            <w:noWrap/>
            <w:vAlign w:val="center"/>
            <w:hideMark/>
          </w:tcPr>
          <w:p w14:paraId="16651CEA"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SDCBL</w:t>
            </w:r>
          </w:p>
        </w:tc>
        <w:tc>
          <w:tcPr>
            <w:tcW w:w="7439" w:type="dxa"/>
            <w:shd w:val="clear" w:color="auto" w:fill="auto"/>
            <w:noWrap/>
            <w:vAlign w:val="center"/>
            <w:hideMark/>
          </w:tcPr>
          <w:p w14:paraId="4012F78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Desagregación Compartida del Bucle Local</w:t>
            </w:r>
          </w:p>
        </w:tc>
      </w:tr>
      <w:tr w:rsidR="00422CA2" w:rsidRPr="00422CA2" w14:paraId="6B1B9CC4" w14:textId="77777777" w:rsidTr="0068389F">
        <w:trPr>
          <w:trHeight w:val="300"/>
          <w:jc w:val="center"/>
        </w:trPr>
        <w:tc>
          <w:tcPr>
            <w:tcW w:w="907" w:type="dxa"/>
            <w:shd w:val="clear" w:color="auto" w:fill="auto"/>
            <w:noWrap/>
            <w:vAlign w:val="center"/>
            <w:hideMark/>
          </w:tcPr>
          <w:p w14:paraId="769DCBF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SDCSBL</w:t>
            </w:r>
          </w:p>
        </w:tc>
        <w:tc>
          <w:tcPr>
            <w:tcW w:w="7439" w:type="dxa"/>
            <w:shd w:val="clear" w:color="auto" w:fill="auto"/>
            <w:noWrap/>
            <w:vAlign w:val="center"/>
            <w:hideMark/>
          </w:tcPr>
          <w:p w14:paraId="1EA64116"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Desagregación Compartida del Sub-Bucle Local</w:t>
            </w:r>
          </w:p>
        </w:tc>
      </w:tr>
      <w:tr w:rsidR="00422CA2" w:rsidRPr="00422CA2" w14:paraId="24140A80" w14:textId="77777777" w:rsidTr="0068389F">
        <w:trPr>
          <w:trHeight w:val="300"/>
          <w:jc w:val="center"/>
        </w:trPr>
        <w:tc>
          <w:tcPr>
            <w:tcW w:w="907" w:type="dxa"/>
            <w:shd w:val="clear" w:color="auto" w:fill="auto"/>
            <w:noWrap/>
            <w:vAlign w:val="center"/>
            <w:hideMark/>
          </w:tcPr>
          <w:p w14:paraId="1D59F8C0"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SDTBL</w:t>
            </w:r>
          </w:p>
        </w:tc>
        <w:tc>
          <w:tcPr>
            <w:tcW w:w="7439" w:type="dxa"/>
            <w:shd w:val="clear" w:color="auto" w:fill="auto"/>
            <w:noWrap/>
            <w:vAlign w:val="center"/>
            <w:hideMark/>
          </w:tcPr>
          <w:p w14:paraId="1FA8A6CF"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Desagregación Total del Bucle Local</w:t>
            </w:r>
          </w:p>
        </w:tc>
      </w:tr>
      <w:tr w:rsidR="00422CA2" w:rsidRPr="00422CA2" w14:paraId="74937F51" w14:textId="77777777" w:rsidTr="0068389F">
        <w:trPr>
          <w:trHeight w:val="300"/>
          <w:jc w:val="center"/>
        </w:trPr>
        <w:tc>
          <w:tcPr>
            <w:tcW w:w="907" w:type="dxa"/>
            <w:shd w:val="clear" w:color="auto" w:fill="auto"/>
            <w:noWrap/>
            <w:vAlign w:val="center"/>
            <w:hideMark/>
          </w:tcPr>
          <w:p w14:paraId="2FE385ED"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SDTSBL</w:t>
            </w:r>
          </w:p>
        </w:tc>
        <w:tc>
          <w:tcPr>
            <w:tcW w:w="7439" w:type="dxa"/>
            <w:shd w:val="clear" w:color="auto" w:fill="auto"/>
            <w:noWrap/>
            <w:vAlign w:val="center"/>
            <w:hideMark/>
          </w:tcPr>
          <w:p w14:paraId="46959C21"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Desagregación Total del Sub-Bucle Local</w:t>
            </w:r>
          </w:p>
        </w:tc>
      </w:tr>
      <w:tr w:rsidR="00422CA2" w:rsidRPr="00422CA2" w14:paraId="503D46C2" w14:textId="77777777" w:rsidTr="0068389F">
        <w:trPr>
          <w:trHeight w:val="300"/>
          <w:jc w:val="center"/>
        </w:trPr>
        <w:tc>
          <w:tcPr>
            <w:tcW w:w="907" w:type="dxa"/>
            <w:shd w:val="clear" w:color="auto" w:fill="auto"/>
            <w:noWrap/>
            <w:vAlign w:val="center"/>
            <w:hideMark/>
          </w:tcPr>
          <w:p w14:paraId="598844C1"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SEG</w:t>
            </w:r>
          </w:p>
        </w:tc>
        <w:tc>
          <w:tcPr>
            <w:tcW w:w="7439" w:type="dxa"/>
            <w:shd w:val="clear" w:color="auto" w:fill="auto"/>
            <w:noWrap/>
            <w:vAlign w:val="center"/>
            <w:hideMark/>
          </w:tcPr>
          <w:p w14:paraId="5BC2838B"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Sistema Electrónico de Gestión</w:t>
            </w:r>
          </w:p>
        </w:tc>
      </w:tr>
      <w:tr w:rsidR="00422CA2" w:rsidRPr="00422CA2" w14:paraId="7A5CF093" w14:textId="77777777" w:rsidTr="0068389F">
        <w:trPr>
          <w:trHeight w:val="300"/>
          <w:jc w:val="center"/>
        </w:trPr>
        <w:tc>
          <w:tcPr>
            <w:tcW w:w="907" w:type="dxa"/>
            <w:shd w:val="clear" w:color="auto" w:fill="auto"/>
            <w:noWrap/>
            <w:vAlign w:val="center"/>
            <w:hideMark/>
          </w:tcPr>
          <w:p w14:paraId="2CEF7FEC"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SLA</w:t>
            </w:r>
          </w:p>
        </w:tc>
        <w:tc>
          <w:tcPr>
            <w:tcW w:w="7439" w:type="dxa"/>
            <w:shd w:val="clear" w:color="auto" w:fill="auto"/>
            <w:noWrap/>
            <w:vAlign w:val="center"/>
            <w:hideMark/>
          </w:tcPr>
          <w:p w14:paraId="7B0B44D7"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Acuerdos de Nivel de Servicio (SLA, por sus siglas en inglés)</w:t>
            </w:r>
          </w:p>
        </w:tc>
      </w:tr>
      <w:tr w:rsidR="00422CA2" w:rsidRPr="00422CA2" w14:paraId="07B94C93" w14:textId="77777777" w:rsidTr="0068389F">
        <w:trPr>
          <w:trHeight w:val="300"/>
          <w:jc w:val="center"/>
        </w:trPr>
        <w:tc>
          <w:tcPr>
            <w:tcW w:w="907" w:type="dxa"/>
            <w:shd w:val="clear" w:color="auto" w:fill="auto"/>
            <w:noWrap/>
            <w:vAlign w:val="center"/>
            <w:hideMark/>
          </w:tcPr>
          <w:p w14:paraId="5A863D00"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SRL</w:t>
            </w:r>
          </w:p>
        </w:tc>
        <w:tc>
          <w:tcPr>
            <w:tcW w:w="7439" w:type="dxa"/>
            <w:shd w:val="clear" w:color="auto" w:fill="auto"/>
            <w:noWrap/>
            <w:vAlign w:val="center"/>
            <w:hideMark/>
          </w:tcPr>
          <w:p w14:paraId="6ADEFDBE"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Servicio de Reventa de Línea</w:t>
            </w:r>
          </w:p>
        </w:tc>
      </w:tr>
      <w:tr w:rsidR="00422CA2" w:rsidRPr="00422CA2" w14:paraId="1B522922" w14:textId="77777777" w:rsidTr="0068389F">
        <w:trPr>
          <w:trHeight w:val="300"/>
          <w:jc w:val="center"/>
        </w:trPr>
        <w:tc>
          <w:tcPr>
            <w:tcW w:w="907" w:type="dxa"/>
            <w:shd w:val="clear" w:color="auto" w:fill="auto"/>
            <w:noWrap/>
            <w:vAlign w:val="center"/>
          </w:tcPr>
          <w:p w14:paraId="75CCD55E" w14:textId="3912BE99" w:rsidR="00300FC0" w:rsidRPr="00422CA2" w:rsidRDefault="00300FC0" w:rsidP="0068389F">
            <w:pPr>
              <w:rPr>
                <w:rFonts w:ascii="ITC Avant Garde" w:hAnsi="ITC Avant Garde"/>
                <w:b/>
                <w:sz w:val="20"/>
                <w:szCs w:val="18"/>
                <w:lang w:eastAsia="es-MX"/>
              </w:rPr>
            </w:pPr>
            <w:r w:rsidRPr="00422CA2">
              <w:rPr>
                <w:rFonts w:ascii="ITC Avant Garde" w:hAnsi="ITC Avant Garde"/>
                <w:b/>
                <w:sz w:val="20"/>
                <w:szCs w:val="18"/>
                <w:lang w:eastAsia="es-MX"/>
              </w:rPr>
              <w:t>SRLT</w:t>
            </w:r>
          </w:p>
        </w:tc>
        <w:tc>
          <w:tcPr>
            <w:tcW w:w="7439" w:type="dxa"/>
            <w:shd w:val="clear" w:color="auto" w:fill="auto"/>
            <w:noWrap/>
            <w:vAlign w:val="center"/>
          </w:tcPr>
          <w:p w14:paraId="4E227793" w14:textId="5615AC44" w:rsidR="00300FC0" w:rsidRPr="00422CA2" w:rsidRDefault="00300FC0" w:rsidP="0068389F">
            <w:pPr>
              <w:rPr>
                <w:rFonts w:ascii="ITC Avant Garde" w:hAnsi="ITC Avant Garde"/>
                <w:sz w:val="20"/>
                <w:szCs w:val="18"/>
                <w:lang w:eastAsia="es-MX"/>
              </w:rPr>
            </w:pPr>
            <w:r w:rsidRPr="00422CA2">
              <w:rPr>
                <w:rFonts w:ascii="ITC Avant Garde" w:hAnsi="ITC Avant Garde"/>
                <w:sz w:val="20"/>
                <w:szCs w:val="18"/>
                <w:lang w:eastAsia="es-MX"/>
              </w:rPr>
              <w:t>Servicio de Reventa de Línea Telefónica</w:t>
            </w:r>
          </w:p>
        </w:tc>
      </w:tr>
      <w:tr w:rsidR="00422CA2" w:rsidRPr="00422CA2" w14:paraId="6F8AE410" w14:textId="77777777" w:rsidTr="0068389F">
        <w:trPr>
          <w:trHeight w:val="300"/>
          <w:jc w:val="center"/>
        </w:trPr>
        <w:tc>
          <w:tcPr>
            <w:tcW w:w="907" w:type="dxa"/>
            <w:shd w:val="clear" w:color="auto" w:fill="auto"/>
            <w:noWrap/>
            <w:vAlign w:val="center"/>
          </w:tcPr>
          <w:p w14:paraId="5C434064" w14:textId="1F26CCE6" w:rsidR="00300FC0" w:rsidRPr="00422CA2" w:rsidRDefault="00300FC0" w:rsidP="0068389F">
            <w:pPr>
              <w:rPr>
                <w:rFonts w:ascii="ITC Avant Garde" w:hAnsi="ITC Avant Garde"/>
                <w:b/>
                <w:sz w:val="20"/>
                <w:szCs w:val="18"/>
                <w:lang w:eastAsia="es-MX"/>
              </w:rPr>
            </w:pPr>
            <w:r w:rsidRPr="00422CA2">
              <w:rPr>
                <w:rFonts w:ascii="ITC Avant Garde" w:hAnsi="ITC Avant Garde"/>
                <w:b/>
                <w:sz w:val="20"/>
                <w:szCs w:val="18"/>
                <w:lang w:eastAsia="es-MX"/>
              </w:rPr>
              <w:lastRenderedPageBreak/>
              <w:t>SRI</w:t>
            </w:r>
          </w:p>
        </w:tc>
        <w:tc>
          <w:tcPr>
            <w:tcW w:w="7439" w:type="dxa"/>
            <w:shd w:val="clear" w:color="auto" w:fill="auto"/>
            <w:noWrap/>
            <w:vAlign w:val="center"/>
          </w:tcPr>
          <w:p w14:paraId="1B0A271B" w14:textId="4DA6C1D1" w:rsidR="00300FC0" w:rsidRPr="00422CA2" w:rsidRDefault="00300FC0" w:rsidP="0068389F">
            <w:pPr>
              <w:rPr>
                <w:rFonts w:ascii="ITC Avant Garde" w:hAnsi="ITC Avant Garde"/>
                <w:sz w:val="20"/>
                <w:szCs w:val="18"/>
                <w:lang w:eastAsia="es-MX"/>
              </w:rPr>
            </w:pPr>
            <w:r w:rsidRPr="00422CA2">
              <w:rPr>
                <w:rFonts w:ascii="ITC Avant Garde" w:hAnsi="ITC Avant Garde"/>
                <w:sz w:val="20"/>
                <w:szCs w:val="18"/>
                <w:lang w:eastAsia="es-MX"/>
              </w:rPr>
              <w:t>Servicio de Reventa Infinitum</w:t>
            </w:r>
          </w:p>
        </w:tc>
      </w:tr>
      <w:tr w:rsidR="00422CA2" w:rsidRPr="00422CA2" w14:paraId="74271804" w14:textId="77777777" w:rsidTr="0068389F">
        <w:trPr>
          <w:trHeight w:val="300"/>
          <w:jc w:val="center"/>
        </w:trPr>
        <w:tc>
          <w:tcPr>
            <w:tcW w:w="907" w:type="dxa"/>
            <w:shd w:val="clear" w:color="auto" w:fill="auto"/>
            <w:noWrap/>
            <w:vAlign w:val="center"/>
          </w:tcPr>
          <w:p w14:paraId="5360B614" w14:textId="2E8F5AD0" w:rsidR="00300FC0" w:rsidRPr="00422CA2" w:rsidRDefault="00300FC0" w:rsidP="0068389F">
            <w:pPr>
              <w:rPr>
                <w:rFonts w:ascii="ITC Avant Garde" w:hAnsi="ITC Avant Garde"/>
                <w:b/>
                <w:sz w:val="20"/>
                <w:szCs w:val="18"/>
                <w:lang w:eastAsia="es-MX"/>
              </w:rPr>
            </w:pPr>
            <w:r w:rsidRPr="00422CA2">
              <w:rPr>
                <w:rFonts w:ascii="ITC Avant Garde" w:hAnsi="ITC Avant Garde"/>
                <w:b/>
                <w:sz w:val="20"/>
                <w:szCs w:val="18"/>
                <w:lang w:eastAsia="es-MX"/>
              </w:rPr>
              <w:t>SRPI</w:t>
            </w:r>
          </w:p>
        </w:tc>
        <w:tc>
          <w:tcPr>
            <w:tcW w:w="7439" w:type="dxa"/>
            <w:shd w:val="clear" w:color="auto" w:fill="auto"/>
            <w:noWrap/>
            <w:vAlign w:val="center"/>
          </w:tcPr>
          <w:p w14:paraId="403609E9" w14:textId="3BA1F9CB" w:rsidR="00300FC0" w:rsidRPr="00422CA2" w:rsidRDefault="00300FC0" w:rsidP="0068389F">
            <w:pPr>
              <w:rPr>
                <w:rFonts w:ascii="ITC Avant Garde" w:hAnsi="ITC Avant Garde"/>
                <w:sz w:val="20"/>
                <w:szCs w:val="18"/>
                <w:lang w:eastAsia="es-MX"/>
              </w:rPr>
            </w:pPr>
            <w:r w:rsidRPr="00422CA2">
              <w:rPr>
                <w:rFonts w:ascii="ITC Avant Garde" w:hAnsi="ITC Avant Garde"/>
                <w:sz w:val="20"/>
                <w:szCs w:val="18"/>
                <w:lang w:eastAsia="es-MX"/>
              </w:rPr>
              <w:t>Servicio de Reventa de Paquetes Infinitum</w:t>
            </w:r>
          </w:p>
        </w:tc>
      </w:tr>
      <w:tr w:rsidR="00422CA2" w:rsidRPr="00422CA2" w14:paraId="7E3E4F76" w14:textId="77777777" w:rsidTr="0068389F">
        <w:trPr>
          <w:trHeight w:val="300"/>
          <w:jc w:val="center"/>
        </w:trPr>
        <w:tc>
          <w:tcPr>
            <w:tcW w:w="907" w:type="dxa"/>
            <w:shd w:val="clear" w:color="auto" w:fill="auto"/>
            <w:noWrap/>
            <w:vAlign w:val="center"/>
          </w:tcPr>
          <w:p w14:paraId="7CEE3776" w14:textId="7097C66C" w:rsidR="000D4212" w:rsidRPr="00422CA2" w:rsidRDefault="000D4212" w:rsidP="0068389F">
            <w:pPr>
              <w:rPr>
                <w:rFonts w:ascii="ITC Avant Garde" w:hAnsi="ITC Avant Garde"/>
                <w:b/>
                <w:sz w:val="20"/>
                <w:szCs w:val="18"/>
                <w:lang w:eastAsia="es-MX"/>
              </w:rPr>
            </w:pPr>
            <w:r w:rsidRPr="00422CA2">
              <w:rPr>
                <w:rFonts w:ascii="ITC Avant Garde" w:hAnsi="ITC Avant Garde"/>
                <w:b/>
                <w:sz w:val="20"/>
                <w:szCs w:val="18"/>
                <w:lang w:eastAsia="es-MX"/>
              </w:rPr>
              <w:t>TBA</w:t>
            </w:r>
          </w:p>
        </w:tc>
        <w:tc>
          <w:tcPr>
            <w:tcW w:w="7439" w:type="dxa"/>
            <w:shd w:val="clear" w:color="auto" w:fill="auto"/>
            <w:noWrap/>
            <w:vAlign w:val="center"/>
          </w:tcPr>
          <w:p w14:paraId="59D2922B" w14:textId="09A4144D" w:rsidR="000D4212" w:rsidRPr="00422CA2" w:rsidRDefault="000D4212" w:rsidP="0068389F">
            <w:pPr>
              <w:rPr>
                <w:rFonts w:ascii="ITC Avant Garde" w:hAnsi="ITC Avant Garde"/>
                <w:sz w:val="20"/>
                <w:szCs w:val="18"/>
                <w:lang w:eastAsia="es-MX"/>
              </w:rPr>
            </w:pPr>
            <w:r w:rsidRPr="00422CA2">
              <w:rPr>
                <w:rFonts w:ascii="ITC Avant Garde" w:hAnsi="ITC Avant Garde"/>
                <w:sz w:val="20"/>
                <w:szCs w:val="18"/>
                <w:lang w:eastAsia="es-MX"/>
              </w:rPr>
              <w:t>Terminal de Banda Ancha</w:t>
            </w:r>
          </w:p>
        </w:tc>
      </w:tr>
      <w:tr w:rsidR="00422CA2" w:rsidRPr="00422CA2" w14:paraId="22BDBFEB" w14:textId="77777777" w:rsidTr="0068389F">
        <w:trPr>
          <w:trHeight w:val="300"/>
          <w:jc w:val="center"/>
        </w:trPr>
        <w:tc>
          <w:tcPr>
            <w:tcW w:w="907" w:type="dxa"/>
            <w:shd w:val="clear" w:color="auto" w:fill="auto"/>
            <w:noWrap/>
            <w:vAlign w:val="center"/>
            <w:hideMark/>
          </w:tcPr>
          <w:p w14:paraId="6ABB6244"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VLAN</w:t>
            </w:r>
          </w:p>
        </w:tc>
        <w:tc>
          <w:tcPr>
            <w:tcW w:w="7439" w:type="dxa"/>
            <w:shd w:val="clear" w:color="auto" w:fill="auto"/>
            <w:noWrap/>
            <w:vAlign w:val="center"/>
            <w:hideMark/>
          </w:tcPr>
          <w:p w14:paraId="31B5B3C1"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Red de Área Local Virtual (VLAN, por sus siglas en inglés)</w:t>
            </w:r>
          </w:p>
        </w:tc>
      </w:tr>
      <w:tr w:rsidR="00422CA2" w:rsidRPr="00422CA2" w14:paraId="6B3E5915" w14:textId="77777777" w:rsidTr="0068389F">
        <w:trPr>
          <w:trHeight w:val="300"/>
          <w:jc w:val="center"/>
        </w:trPr>
        <w:tc>
          <w:tcPr>
            <w:tcW w:w="907" w:type="dxa"/>
            <w:shd w:val="clear" w:color="auto" w:fill="auto"/>
            <w:noWrap/>
            <w:vAlign w:val="center"/>
            <w:hideMark/>
          </w:tcPr>
          <w:p w14:paraId="647854D0" w14:textId="77777777" w:rsidR="0068389F" w:rsidRPr="00422CA2" w:rsidRDefault="0068389F" w:rsidP="0068389F">
            <w:pPr>
              <w:rPr>
                <w:rFonts w:ascii="ITC Avant Garde" w:hAnsi="ITC Avant Garde"/>
                <w:b/>
                <w:sz w:val="20"/>
                <w:szCs w:val="18"/>
                <w:lang w:eastAsia="es-MX"/>
              </w:rPr>
            </w:pPr>
            <w:r w:rsidRPr="00422CA2">
              <w:rPr>
                <w:rFonts w:ascii="ITC Avant Garde" w:hAnsi="ITC Avant Garde"/>
                <w:b/>
                <w:sz w:val="20"/>
                <w:szCs w:val="18"/>
                <w:lang w:eastAsia="es-MX"/>
              </w:rPr>
              <w:t>VoIP</w:t>
            </w:r>
          </w:p>
        </w:tc>
        <w:tc>
          <w:tcPr>
            <w:tcW w:w="7439" w:type="dxa"/>
            <w:shd w:val="clear" w:color="auto" w:fill="auto"/>
            <w:noWrap/>
            <w:vAlign w:val="center"/>
            <w:hideMark/>
          </w:tcPr>
          <w:p w14:paraId="775AA379" w14:textId="77777777" w:rsidR="0068389F" w:rsidRPr="00422CA2" w:rsidRDefault="0068389F" w:rsidP="0068389F">
            <w:pPr>
              <w:rPr>
                <w:rFonts w:ascii="ITC Avant Garde" w:hAnsi="ITC Avant Garde"/>
                <w:sz w:val="20"/>
                <w:szCs w:val="18"/>
                <w:lang w:eastAsia="es-MX"/>
              </w:rPr>
            </w:pPr>
            <w:r w:rsidRPr="00422CA2">
              <w:rPr>
                <w:rFonts w:ascii="ITC Avant Garde" w:hAnsi="ITC Avant Garde"/>
                <w:sz w:val="20"/>
                <w:szCs w:val="18"/>
                <w:lang w:eastAsia="es-MX"/>
              </w:rPr>
              <w:t>Voz sobre Protocolo de Internet (VoIP, por sus siglas en inglés)</w:t>
            </w:r>
          </w:p>
        </w:tc>
      </w:tr>
    </w:tbl>
    <w:p w14:paraId="79FF88FE" w14:textId="77777777" w:rsidR="0068389F" w:rsidRPr="00422CA2" w:rsidRDefault="0068389F" w:rsidP="0068389F">
      <w:pPr>
        <w:rPr>
          <w:rFonts w:ascii="ITC Avant Garde" w:hAnsi="ITC Avant Garde"/>
        </w:rPr>
        <w:sectPr w:rsidR="0068389F" w:rsidRPr="00422CA2" w:rsidSect="00EE3826">
          <w:pgSz w:w="12242" w:h="15842" w:code="1"/>
          <w:pgMar w:top="1417" w:right="1701" w:bottom="1417" w:left="1701" w:header="567" w:footer="567" w:gutter="0"/>
          <w:cols w:space="720"/>
          <w:docGrid w:linePitch="326"/>
        </w:sectPr>
      </w:pPr>
    </w:p>
    <w:p w14:paraId="1B13C4F2" w14:textId="77777777" w:rsidR="0068389F" w:rsidRPr="00422CA2" w:rsidRDefault="0068389F" w:rsidP="0068389F">
      <w:pPr>
        <w:spacing w:line="360" w:lineRule="auto"/>
        <w:contextualSpacing/>
        <w:jc w:val="both"/>
        <w:rPr>
          <w:rFonts w:ascii="ITC Avant Garde" w:hAnsi="ITC Avant Garde" w:cs="Arial"/>
          <w:sz w:val="22"/>
          <w:szCs w:val="22"/>
        </w:rPr>
        <w:sectPr w:rsidR="0068389F" w:rsidRPr="00422CA2" w:rsidSect="00273F89">
          <w:type w:val="continuous"/>
          <w:pgSz w:w="12242" w:h="15842" w:code="1"/>
          <w:pgMar w:top="1417" w:right="1701" w:bottom="1417" w:left="1701" w:header="567" w:footer="567" w:gutter="0"/>
          <w:cols w:num="2" w:space="720"/>
          <w:docGrid w:linePitch="326"/>
        </w:sectPr>
      </w:pPr>
    </w:p>
    <w:p w14:paraId="34CB8FD7" w14:textId="77777777" w:rsidR="0068389F" w:rsidRPr="00422CA2" w:rsidRDefault="0068389F" w:rsidP="00CD03BB">
      <w:pPr>
        <w:rPr>
          <w:rFonts w:ascii="ITC Avant Garde" w:hAnsi="ITC Avant Garde"/>
        </w:rPr>
      </w:pPr>
    </w:p>
    <w:p w14:paraId="40E855C8" w14:textId="32AA50F3" w:rsidR="00530A32" w:rsidRPr="00422CA2" w:rsidRDefault="0021257F">
      <w:pPr>
        <w:pStyle w:val="Ttulo1"/>
      </w:pPr>
      <w:bookmarkStart w:id="39" w:name="_Toc436840862"/>
      <w:bookmarkStart w:id="40" w:name="_Toc436846299"/>
      <w:bookmarkStart w:id="41" w:name="_Toc436848249"/>
      <w:bookmarkStart w:id="42" w:name="_Toc436856497"/>
      <w:bookmarkStart w:id="43" w:name="_Toc436862643"/>
      <w:bookmarkStart w:id="44" w:name="_Toc436866293"/>
      <w:bookmarkStart w:id="45" w:name="_Toc436870872"/>
      <w:bookmarkStart w:id="46" w:name="_Toc436875864"/>
      <w:bookmarkStart w:id="47" w:name="_Toc437602052"/>
      <w:bookmarkStart w:id="48" w:name="_Toc375583284"/>
      <w:r w:rsidRPr="00422CA2">
        <w:t xml:space="preserve">1. </w:t>
      </w:r>
      <w:r w:rsidR="00011A1B" w:rsidRPr="00422CA2">
        <w:t>Introducción y Generales</w:t>
      </w:r>
      <w:bookmarkEnd w:id="39"/>
      <w:bookmarkEnd w:id="40"/>
      <w:bookmarkEnd w:id="41"/>
      <w:bookmarkEnd w:id="42"/>
      <w:bookmarkEnd w:id="43"/>
      <w:bookmarkEnd w:id="44"/>
      <w:bookmarkEnd w:id="45"/>
      <w:bookmarkEnd w:id="46"/>
      <w:bookmarkEnd w:id="47"/>
    </w:p>
    <w:p w14:paraId="40E855C9" w14:textId="242BE236" w:rsidR="00832B68" w:rsidRPr="00422CA2" w:rsidRDefault="00011A1B" w:rsidP="00787BAC">
      <w:pPr>
        <w:pStyle w:val="Texto1"/>
        <w:spacing w:after="200" w:line="276" w:lineRule="auto"/>
        <w:ind w:left="0"/>
        <w:rPr>
          <w:rFonts w:ascii="ITC Avant Garde" w:hAnsi="ITC Avant Garde"/>
          <w:sz w:val="22"/>
          <w:szCs w:val="22"/>
        </w:rPr>
      </w:pPr>
      <w:r w:rsidRPr="00422CA2">
        <w:rPr>
          <w:rFonts w:ascii="ITC Avant Garde" w:hAnsi="ITC Avant Garde"/>
          <w:sz w:val="22"/>
          <w:szCs w:val="22"/>
          <w:lang w:val="es-MX"/>
        </w:rPr>
        <w:t xml:space="preserve">La OREDA tiene como objetivo establecer los términos y condiciones para los servicios de Desagregación del </w:t>
      </w:r>
      <w:r w:rsidRPr="00422CA2">
        <w:rPr>
          <w:rFonts w:ascii="ITC Avant Garde" w:hAnsi="ITC Avant Garde"/>
          <w:sz w:val="22"/>
          <w:szCs w:val="22"/>
        </w:rPr>
        <w:t xml:space="preserve">Bucle Local, de tal forma que los Concesionarios Solicitantes (CS) con Título de Concesión para operar redes públicas de Telecomunicaciones puedan proveer servicios de Telecomunicaciones a usuarios finales mediante los servicios contenidos en esta </w:t>
      </w:r>
      <w:r w:rsidR="00CA026A">
        <w:rPr>
          <w:rFonts w:ascii="ITC Avant Garde" w:hAnsi="ITC Avant Garde"/>
          <w:sz w:val="22"/>
          <w:szCs w:val="22"/>
        </w:rPr>
        <w:t>OREDA</w:t>
      </w:r>
      <w:r w:rsidRPr="00422CA2">
        <w:rPr>
          <w:rFonts w:ascii="ITC Avant Garde" w:hAnsi="ITC Avant Garde"/>
          <w:sz w:val="22"/>
          <w:szCs w:val="22"/>
        </w:rPr>
        <w:t xml:space="preserve">. </w:t>
      </w:r>
    </w:p>
    <w:p w14:paraId="40E855CB" w14:textId="76390B68" w:rsidR="00832B68" w:rsidRPr="00422CA2" w:rsidRDefault="00011A1B" w:rsidP="00787BAC">
      <w:pPr>
        <w:pStyle w:val="Texto1"/>
        <w:spacing w:after="200" w:line="276" w:lineRule="auto"/>
        <w:ind w:left="0"/>
        <w:rPr>
          <w:rFonts w:ascii="ITC Avant Garde" w:hAnsi="ITC Avant Garde"/>
          <w:sz w:val="22"/>
          <w:szCs w:val="22"/>
        </w:rPr>
      </w:pPr>
      <w:r w:rsidRPr="00422CA2">
        <w:rPr>
          <w:rFonts w:ascii="ITC Avant Garde" w:hAnsi="ITC Avant Garde"/>
          <w:sz w:val="22"/>
          <w:szCs w:val="22"/>
        </w:rPr>
        <w:t xml:space="preserve">Los </w:t>
      </w:r>
      <w:r w:rsidRPr="00422CA2">
        <w:rPr>
          <w:rFonts w:ascii="ITC Avant Garde" w:hAnsi="ITC Avant Garde"/>
          <w:b/>
          <w:sz w:val="22"/>
          <w:szCs w:val="22"/>
        </w:rPr>
        <w:t xml:space="preserve">Servicios de Desagregación del Bucle Local </w:t>
      </w:r>
      <w:r w:rsidRPr="00422CA2">
        <w:rPr>
          <w:rFonts w:ascii="ITC Avant Garde" w:hAnsi="ITC Avant Garde"/>
          <w:sz w:val="22"/>
          <w:szCs w:val="22"/>
        </w:rPr>
        <w:t xml:space="preserve">contenidos en la </w:t>
      </w:r>
      <w:r w:rsidR="00CA026A">
        <w:rPr>
          <w:rFonts w:ascii="ITC Avant Garde" w:hAnsi="ITC Avant Garde"/>
          <w:sz w:val="22"/>
          <w:szCs w:val="22"/>
        </w:rPr>
        <w:t>OREDA</w:t>
      </w:r>
      <w:r w:rsidRPr="00422CA2">
        <w:rPr>
          <w:rFonts w:ascii="ITC Avant Garde" w:hAnsi="ITC Avant Garde"/>
          <w:sz w:val="22"/>
          <w:szCs w:val="22"/>
        </w:rPr>
        <w:t xml:space="preserve"> son:</w:t>
      </w:r>
    </w:p>
    <w:p w14:paraId="40E855CC" w14:textId="77777777" w:rsidR="00832B68"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Servicio de Reventa (SRL)</w:t>
      </w:r>
    </w:p>
    <w:p w14:paraId="40E855CD"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Reventa de Línea Telefónica (SRLT)</w:t>
      </w:r>
    </w:p>
    <w:p w14:paraId="40E855CE"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Reventa de Infinitum (SRI)</w:t>
      </w:r>
    </w:p>
    <w:p w14:paraId="40E855CF" w14:textId="77777777" w:rsidR="00DB072C"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Reventa de Paquetes Infinitum (SRPI)</w:t>
      </w:r>
    </w:p>
    <w:p w14:paraId="40E855D0" w14:textId="77777777" w:rsidR="00832B68"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 xml:space="preserve">Acceso Indirecto al Bucle (SAIB); </w:t>
      </w:r>
    </w:p>
    <w:p w14:paraId="40E855D1" w14:textId="77777777" w:rsidR="00A31E2B"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Servicios de Desagregación</w:t>
      </w:r>
    </w:p>
    <w:p w14:paraId="40E855D2" w14:textId="77777777" w:rsidR="00530A32"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Desagregación Total del Bucle (SDTBL);</w:t>
      </w:r>
    </w:p>
    <w:p w14:paraId="40E855D3" w14:textId="77777777" w:rsidR="00C53C5D"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Desagregación Compartida del Bucle (SDCBL);</w:t>
      </w:r>
    </w:p>
    <w:p w14:paraId="40E855D4" w14:textId="77777777" w:rsidR="00530A32"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Desagregación Total del Sub Bucle (SDTSBL);</w:t>
      </w:r>
    </w:p>
    <w:p w14:paraId="40E855D5" w14:textId="77777777" w:rsidR="00530A32"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Desagregación Compartida del Sub Bucle (SDCSBL);</w:t>
      </w:r>
    </w:p>
    <w:p w14:paraId="40E855D6" w14:textId="77777777" w:rsidR="00832B68"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Coubicación para Desagregación;</w:t>
      </w:r>
    </w:p>
    <w:p w14:paraId="40E855D7"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Coubicación Básica (CB)</w:t>
      </w:r>
    </w:p>
    <w:p w14:paraId="40E855D8"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Coubicación Equipada (CEq)</w:t>
      </w:r>
    </w:p>
    <w:p w14:paraId="40E855D9" w14:textId="77777777" w:rsidR="00E87127"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Coubicación Cerrada (CC)</w:t>
      </w:r>
    </w:p>
    <w:p w14:paraId="40E855DB" w14:textId="5861B04B" w:rsidR="00832B68" w:rsidRPr="00422CA2" w:rsidRDefault="00556413" w:rsidP="00787BAC">
      <w:pPr>
        <w:spacing w:after="200" w:line="276" w:lineRule="auto"/>
        <w:jc w:val="both"/>
        <w:rPr>
          <w:rFonts w:ascii="ITC Avant Garde" w:hAnsi="ITC Avant Garde"/>
          <w:sz w:val="22"/>
          <w:szCs w:val="22"/>
        </w:rPr>
      </w:pPr>
      <w:r w:rsidRPr="00422CA2">
        <w:rPr>
          <w:rFonts w:ascii="ITC Avant Garde" w:hAnsi="ITC Avant Garde"/>
          <w:sz w:val="22"/>
          <w:szCs w:val="22"/>
        </w:rPr>
        <w:t>E</w:t>
      </w:r>
      <w:r w:rsidR="00011A1B" w:rsidRPr="00422CA2">
        <w:rPr>
          <w:rFonts w:ascii="ITC Avant Garde" w:hAnsi="ITC Avant Garde"/>
          <w:sz w:val="22"/>
          <w:szCs w:val="22"/>
        </w:rPr>
        <w:t xml:space="preserve">n la </w:t>
      </w:r>
      <w:r w:rsidR="00CA026A">
        <w:rPr>
          <w:rFonts w:ascii="ITC Avant Garde" w:hAnsi="ITC Avant Garde"/>
          <w:sz w:val="22"/>
          <w:szCs w:val="22"/>
        </w:rPr>
        <w:t>OREDA</w:t>
      </w:r>
      <w:r w:rsidRPr="00422CA2">
        <w:rPr>
          <w:rFonts w:ascii="ITC Avant Garde" w:hAnsi="ITC Avant Garde"/>
          <w:sz w:val="22"/>
          <w:szCs w:val="22"/>
        </w:rPr>
        <w:t xml:space="preserve"> </w:t>
      </w:r>
      <w:r w:rsidR="00011A1B" w:rsidRPr="00422CA2">
        <w:rPr>
          <w:rFonts w:ascii="ITC Avant Garde" w:hAnsi="ITC Avant Garde"/>
          <w:sz w:val="22"/>
          <w:szCs w:val="22"/>
        </w:rPr>
        <w:t xml:space="preserve">se encuentran los </w:t>
      </w:r>
      <w:r w:rsidR="00011A1B" w:rsidRPr="00422CA2">
        <w:rPr>
          <w:rFonts w:ascii="ITC Avant Garde" w:hAnsi="ITC Avant Garde"/>
          <w:b/>
          <w:sz w:val="22"/>
          <w:szCs w:val="22"/>
        </w:rPr>
        <w:t xml:space="preserve">servicios auxiliares </w:t>
      </w:r>
      <w:r w:rsidR="00011A1B" w:rsidRPr="00422CA2">
        <w:rPr>
          <w:rFonts w:ascii="ITC Avant Garde" w:hAnsi="ITC Avant Garde"/>
          <w:sz w:val="22"/>
          <w:szCs w:val="22"/>
        </w:rPr>
        <w:t>que servirán de apoyo a los Servicios de Desagregación:</w:t>
      </w:r>
    </w:p>
    <w:p w14:paraId="40E855DC" w14:textId="77777777" w:rsidR="00664862"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Cableado Multipar</w:t>
      </w:r>
    </w:p>
    <w:p w14:paraId="40E855DD" w14:textId="4BE201CB" w:rsidR="00832B68"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t>Anexo de Caja de Distribución;</w:t>
      </w:r>
    </w:p>
    <w:p w14:paraId="40E855DE" w14:textId="77777777" w:rsidR="00832B68" w:rsidRPr="00422CA2" w:rsidRDefault="00011A1B" w:rsidP="00787BAC">
      <w:pPr>
        <w:pStyle w:val="Prrafodelista"/>
        <w:numPr>
          <w:ilvl w:val="0"/>
          <w:numId w:val="28"/>
        </w:num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Servicio de Concentración y Distribución (SCyD)</w:t>
      </w:r>
    </w:p>
    <w:p w14:paraId="40E855DF"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Concentración Local</w:t>
      </w:r>
    </w:p>
    <w:p w14:paraId="40E855E0"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Concentración Regional</w:t>
      </w:r>
    </w:p>
    <w:p w14:paraId="40E855E1" w14:textId="77777777" w:rsidR="00832B68" w:rsidRPr="00422CA2" w:rsidRDefault="00011A1B" w:rsidP="00787BAC">
      <w:pPr>
        <w:pStyle w:val="Prrafodelista"/>
        <w:numPr>
          <w:ilvl w:val="1"/>
          <w:numId w:val="28"/>
        </w:numPr>
        <w:spacing w:after="200" w:line="276" w:lineRule="auto"/>
        <w:jc w:val="both"/>
        <w:rPr>
          <w:rFonts w:ascii="ITC Avant Garde" w:hAnsi="ITC Avant Garde"/>
          <w:sz w:val="22"/>
          <w:szCs w:val="22"/>
        </w:rPr>
      </w:pPr>
      <w:r w:rsidRPr="00422CA2">
        <w:rPr>
          <w:rFonts w:ascii="ITC Avant Garde" w:hAnsi="ITC Avant Garde"/>
          <w:sz w:val="22"/>
          <w:szCs w:val="22"/>
        </w:rPr>
        <w:t>Concentración Nacional</w:t>
      </w:r>
    </w:p>
    <w:p w14:paraId="40E855E3" w14:textId="5D2DA283" w:rsidR="00D57040" w:rsidRPr="00422CA2" w:rsidRDefault="00556413" w:rsidP="00787BA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w:t>
      </w:r>
      <w:r w:rsidR="00011A1B" w:rsidRPr="00422CA2">
        <w:rPr>
          <w:rFonts w:ascii="ITC Avant Garde" w:hAnsi="ITC Avant Garde"/>
          <w:sz w:val="22"/>
          <w:szCs w:val="22"/>
          <w:lang w:val="es-MX"/>
        </w:rPr>
        <w:t xml:space="preserve">l CS podrá contratar el servicio opcional de instalación de Cableado Interior de forma complementaria a cualquier servicio que se hubiera contratado por un CS respecto a esta </w:t>
      </w:r>
      <w:r w:rsidR="00CA026A">
        <w:rPr>
          <w:rFonts w:ascii="ITC Avant Garde" w:hAnsi="ITC Avant Garde"/>
          <w:sz w:val="22"/>
          <w:szCs w:val="22"/>
          <w:lang w:val="es-MX"/>
        </w:rPr>
        <w:t>OREDA</w:t>
      </w:r>
      <w:r w:rsidR="00011A1B" w:rsidRPr="00422CA2">
        <w:rPr>
          <w:rFonts w:ascii="ITC Avant Garde" w:hAnsi="ITC Avant Garde"/>
          <w:sz w:val="22"/>
          <w:szCs w:val="22"/>
          <w:lang w:val="es-MX"/>
        </w:rPr>
        <w:t>, las condiciones particulares en que se prestará dicho servicio se establecen en la sección 4.4 de este documento.</w:t>
      </w:r>
    </w:p>
    <w:p w14:paraId="40E855E5" w14:textId="36637CD5" w:rsidR="001A1C19" w:rsidRPr="00422CA2" w:rsidRDefault="00011A1B" w:rsidP="00787BA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a petición de los CS podrá proveer</w:t>
      </w:r>
      <w:r w:rsidR="00556413" w:rsidRPr="00422CA2">
        <w:rPr>
          <w:rFonts w:ascii="ITC Avant Garde" w:hAnsi="ITC Avant Garde"/>
          <w:sz w:val="22"/>
          <w:szCs w:val="22"/>
          <w:lang w:val="es-MX"/>
        </w:rPr>
        <w:t xml:space="preserve"> y/o </w:t>
      </w:r>
      <w:r w:rsidRPr="00422CA2">
        <w:rPr>
          <w:rFonts w:ascii="ITC Avant Garde" w:hAnsi="ITC Avant Garde"/>
          <w:sz w:val="22"/>
          <w:szCs w:val="22"/>
          <w:lang w:val="es-MX"/>
        </w:rPr>
        <w:t>instalar los Módem</w:t>
      </w:r>
      <w:r w:rsidR="00556413" w:rsidRPr="00422CA2">
        <w:rPr>
          <w:rFonts w:ascii="ITC Avant Garde" w:hAnsi="ITC Avant Garde"/>
          <w:sz w:val="22"/>
          <w:szCs w:val="22"/>
          <w:lang w:val="es-MX"/>
        </w:rPr>
        <w:t xml:space="preserve"> y/o </w:t>
      </w:r>
      <w:r w:rsidRPr="00422CA2">
        <w:rPr>
          <w:rFonts w:ascii="ITC Avant Garde" w:hAnsi="ITC Avant Garde"/>
          <w:sz w:val="22"/>
          <w:szCs w:val="22"/>
          <w:lang w:val="es-MX"/>
        </w:rPr>
        <w:t>ONT en el domicilio del usuario, en las mismas condiciones que Telmex lo hace para sus usuarios, de conformidad con la siguiente tabla:</w:t>
      </w:r>
    </w:p>
    <w:tbl>
      <w:tblPr>
        <w:tblStyle w:val="Tablaconcuadrcula"/>
        <w:tblW w:w="0" w:type="auto"/>
        <w:jc w:val="center"/>
        <w:tblLook w:val="04A0" w:firstRow="1" w:lastRow="0" w:firstColumn="1" w:lastColumn="0" w:noHBand="0" w:noVBand="1"/>
      </w:tblPr>
      <w:tblGrid>
        <w:gridCol w:w="4931"/>
        <w:gridCol w:w="1985"/>
        <w:gridCol w:w="1882"/>
      </w:tblGrid>
      <w:tr w:rsidR="00422CA2" w:rsidRPr="00422CA2" w14:paraId="40E855E9" w14:textId="77777777" w:rsidTr="00F81625">
        <w:trPr>
          <w:jc w:val="center"/>
        </w:trPr>
        <w:tc>
          <w:tcPr>
            <w:tcW w:w="4931" w:type="dxa"/>
            <w:shd w:val="clear" w:color="auto" w:fill="0070C0"/>
          </w:tcPr>
          <w:p w14:paraId="40E855E6" w14:textId="77777777" w:rsidR="00530A32" w:rsidRPr="00422CA2" w:rsidRDefault="00011A1B" w:rsidP="00697D1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Servicio</w:t>
            </w:r>
          </w:p>
        </w:tc>
        <w:tc>
          <w:tcPr>
            <w:tcW w:w="1985" w:type="dxa"/>
            <w:shd w:val="clear" w:color="auto" w:fill="0070C0"/>
          </w:tcPr>
          <w:p w14:paraId="40E855E7" w14:textId="77777777" w:rsidR="00530A32" w:rsidRPr="00422CA2" w:rsidRDefault="00011A1B" w:rsidP="00697D1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Módem</w:t>
            </w:r>
          </w:p>
        </w:tc>
        <w:tc>
          <w:tcPr>
            <w:tcW w:w="1882" w:type="dxa"/>
            <w:shd w:val="clear" w:color="auto" w:fill="0070C0"/>
          </w:tcPr>
          <w:p w14:paraId="40E855E8" w14:textId="77777777" w:rsidR="00530A32" w:rsidRPr="00422CA2" w:rsidRDefault="00011A1B" w:rsidP="00697D1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ONT</w:t>
            </w:r>
          </w:p>
        </w:tc>
      </w:tr>
      <w:tr w:rsidR="00422CA2" w:rsidRPr="00422CA2" w14:paraId="40E855ED" w14:textId="77777777" w:rsidTr="00F81625">
        <w:trPr>
          <w:jc w:val="center"/>
        </w:trPr>
        <w:tc>
          <w:tcPr>
            <w:tcW w:w="4931" w:type="dxa"/>
          </w:tcPr>
          <w:p w14:paraId="40E855EA" w14:textId="77777777" w:rsidR="00530A32" w:rsidRPr="00422CA2" w:rsidRDefault="00011A1B" w:rsidP="00697D1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t>Servicios de Reventa</w:t>
            </w:r>
          </w:p>
        </w:tc>
        <w:tc>
          <w:tcPr>
            <w:tcW w:w="1985" w:type="dxa"/>
          </w:tcPr>
          <w:p w14:paraId="40E855EB" w14:textId="77777777" w:rsidR="00530A32" w:rsidRPr="00422CA2" w:rsidRDefault="00011A1B" w:rsidP="00697D1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Proveer/Instalar</w:t>
            </w:r>
          </w:p>
        </w:tc>
        <w:tc>
          <w:tcPr>
            <w:tcW w:w="1882" w:type="dxa"/>
          </w:tcPr>
          <w:p w14:paraId="40E855EC" w14:textId="77777777" w:rsidR="00530A32" w:rsidRPr="00422CA2" w:rsidRDefault="00011A1B" w:rsidP="00697D1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Proveer/Instalar</w:t>
            </w:r>
          </w:p>
        </w:tc>
      </w:tr>
      <w:tr w:rsidR="00422CA2" w:rsidRPr="00422CA2" w14:paraId="40E855F1" w14:textId="77777777" w:rsidTr="00F81625">
        <w:trPr>
          <w:jc w:val="center"/>
        </w:trPr>
        <w:tc>
          <w:tcPr>
            <w:tcW w:w="4931" w:type="dxa"/>
          </w:tcPr>
          <w:p w14:paraId="40E855EE" w14:textId="77777777" w:rsidR="00530A32" w:rsidRPr="00422CA2" w:rsidRDefault="00011A1B" w:rsidP="00697D1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t>SAIB</w:t>
            </w:r>
          </w:p>
        </w:tc>
        <w:tc>
          <w:tcPr>
            <w:tcW w:w="1985" w:type="dxa"/>
          </w:tcPr>
          <w:p w14:paraId="40E855EF" w14:textId="77777777" w:rsidR="00530A32" w:rsidRPr="00422CA2" w:rsidRDefault="00011A1B" w:rsidP="00697D1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Proveer</w:t>
            </w:r>
          </w:p>
        </w:tc>
        <w:tc>
          <w:tcPr>
            <w:tcW w:w="1882" w:type="dxa"/>
          </w:tcPr>
          <w:p w14:paraId="40E855F0" w14:textId="77777777" w:rsidR="00530A32" w:rsidRPr="00422CA2" w:rsidRDefault="00011A1B" w:rsidP="00697D1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Proveer/Instalar</w:t>
            </w:r>
          </w:p>
        </w:tc>
      </w:tr>
    </w:tbl>
    <w:p w14:paraId="40E855F6" w14:textId="74463754" w:rsidR="00530A32" w:rsidRPr="00422CA2" w:rsidRDefault="00C61E66" w:rsidP="002166B7">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1. </w:t>
      </w:r>
      <w:r w:rsidR="00011A1B" w:rsidRPr="00422CA2">
        <w:rPr>
          <w:rFonts w:ascii="ITC Avant Garde" w:hAnsi="ITC Avant Garde"/>
          <w:sz w:val="18"/>
          <w:szCs w:val="18"/>
          <w:lang w:val="es-MX"/>
        </w:rPr>
        <w:t>Casos de entrega de Módem</w:t>
      </w:r>
    </w:p>
    <w:p w14:paraId="40E855F7" w14:textId="77777777" w:rsidR="00530A32" w:rsidRPr="00422CA2" w:rsidRDefault="00011A1B"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Las condiciones particulares en que se prestará dicho servicio se establecen en la sección relativa a Módem/ONT para cada Servicio.</w:t>
      </w:r>
    </w:p>
    <w:p w14:paraId="40E855F9" w14:textId="0151FADA" w:rsidR="00CC7872" w:rsidRPr="00422CA2" w:rsidRDefault="00011A1B"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Telmex atenderá todas las solicitudes que le sean presentadas por los CS relativas a la presente </w:t>
      </w:r>
      <w:r w:rsidR="00CA026A">
        <w:rPr>
          <w:rFonts w:ascii="ITC Avant Garde" w:hAnsi="ITC Avant Garde"/>
          <w:sz w:val="22"/>
          <w:szCs w:val="22"/>
          <w:lang w:val="es-MX"/>
        </w:rPr>
        <w:t>OREDA</w:t>
      </w:r>
      <w:r w:rsidR="00556413" w:rsidRPr="00422CA2">
        <w:rPr>
          <w:rFonts w:ascii="ITC Avant Garde" w:hAnsi="ITC Avant Garde"/>
          <w:sz w:val="22"/>
          <w:szCs w:val="22"/>
          <w:lang w:val="es-MX"/>
        </w:rPr>
        <w:t xml:space="preserve"> en los términos y condiciones estipulados</w:t>
      </w:r>
      <w:r w:rsidRPr="00422CA2">
        <w:rPr>
          <w:rFonts w:ascii="ITC Avant Garde" w:hAnsi="ITC Avant Garde"/>
          <w:sz w:val="22"/>
          <w:szCs w:val="22"/>
          <w:lang w:val="es-MX"/>
        </w:rPr>
        <w:t>, salvo cuando no sea factible su atención y esto sea demostrado.</w:t>
      </w:r>
    </w:p>
    <w:p w14:paraId="40E855FB" w14:textId="77777777" w:rsidR="00530A32" w:rsidRPr="00422CA2" w:rsidRDefault="00011A1B" w:rsidP="004129D1">
      <w:pPr>
        <w:pStyle w:val="Ttulo1"/>
      </w:pPr>
      <w:bookmarkStart w:id="49" w:name="_Toc436840863"/>
      <w:bookmarkStart w:id="50" w:name="_Toc436846300"/>
      <w:bookmarkStart w:id="51" w:name="_Toc436848250"/>
      <w:bookmarkStart w:id="52" w:name="_Toc436856498"/>
      <w:bookmarkStart w:id="53" w:name="_Toc436862644"/>
      <w:bookmarkStart w:id="54" w:name="_Toc436866294"/>
      <w:bookmarkStart w:id="55" w:name="_Toc436870873"/>
      <w:bookmarkStart w:id="56" w:name="_Toc436875865"/>
      <w:bookmarkStart w:id="57" w:name="_Toc437602053"/>
      <w:r w:rsidRPr="00422CA2">
        <w:t>1.1</w:t>
      </w:r>
      <w:r w:rsidR="00326841" w:rsidRPr="00422CA2">
        <w:t>.</w:t>
      </w:r>
      <w:r w:rsidRPr="00422CA2">
        <w:tab/>
        <w:t>Prerrequisitos</w:t>
      </w:r>
      <w:bookmarkEnd w:id="49"/>
      <w:bookmarkEnd w:id="50"/>
      <w:bookmarkEnd w:id="51"/>
      <w:bookmarkEnd w:id="52"/>
      <w:bookmarkEnd w:id="53"/>
      <w:bookmarkEnd w:id="54"/>
      <w:bookmarkEnd w:id="55"/>
      <w:bookmarkEnd w:id="56"/>
      <w:bookmarkEnd w:id="57"/>
    </w:p>
    <w:p w14:paraId="40E855FC" w14:textId="5F04C886" w:rsidR="00544FA5" w:rsidRPr="00422CA2" w:rsidRDefault="00011A1B"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contratar los servicios objeto de la </w:t>
      </w:r>
      <w:r w:rsidR="00CA026A">
        <w:rPr>
          <w:rFonts w:ascii="ITC Avant Garde" w:hAnsi="ITC Avant Garde"/>
          <w:sz w:val="22"/>
          <w:szCs w:val="22"/>
          <w:lang w:val="es-MX"/>
        </w:rPr>
        <w:t>OREDA</w:t>
      </w:r>
      <w:r w:rsidRPr="00422CA2">
        <w:rPr>
          <w:rFonts w:ascii="ITC Avant Garde" w:hAnsi="ITC Avant Garde"/>
          <w:sz w:val="22"/>
          <w:szCs w:val="22"/>
          <w:lang w:val="es-MX"/>
        </w:rPr>
        <w:t xml:space="preserve"> </w:t>
      </w:r>
      <w:r w:rsidR="00D84EC1" w:rsidRPr="00422CA2">
        <w:rPr>
          <w:rFonts w:ascii="ITC Avant Garde" w:hAnsi="ITC Avant Garde"/>
          <w:sz w:val="22"/>
          <w:szCs w:val="22"/>
          <w:lang w:val="es-MX"/>
        </w:rPr>
        <w:t>el</w:t>
      </w:r>
      <w:r w:rsidR="00E95C4B" w:rsidRPr="00422CA2">
        <w:rPr>
          <w:rFonts w:ascii="ITC Avant Garde" w:hAnsi="ITC Avant Garde"/>
          <w:sz w:val="22"/>
          <w:szCs w:val="22"/>
          <w:lang w:val="es-MX"/>
        </w:rPr>
        <w:t xml:space="preserve"> </w:t>
      </w:r>
      <w:r w:rsidR="00036FA4" w:rsidRPr="00422CA2">
        <w:rPr>
          <w:rFonts w:ascii="ITC Avant Garde" w:hAnsi="ITC Avant Garde"/>
          <w:sz w:val="22"/>
          <w:szCs w:val="22"/>
          <w:lang w:val="es-MX"/>
        </w:rPr>
        <w:t>CS</w:t>
      </w:r>
      <w:r w:rsidRPr="00422CA2">
        <w:rPr>
          <w:rFonts w:ascii="ITC Avant Garde" w:hAnsi="ITC Avant Garde"/>
          <w:sz w:val="22"/>
          <w:szCs w:val="22"/>
          <w:lang w:val="es-MX"/>
        </w:rPr>
        <w:t xml:space="preserve"> deberá</w:t>
      </w:r>
      <w:r w:rsidR="005C624A" w:rsidRPr="00422CA2">
        <w:rPr>
          <w:rFonts w:ascii="ITC Avant Garde" w:hAnsi="ITC Avant Garde"/>
          <w:sz w:val="22"/>
          <w:szCs w:val="22"/>
          <w:lang w:val="es-MX"/>
        </w:rPr>
        <w:t>:</w:t>
      </w:r>
      <w:r w:rsidRPr="00422CA2">
        <w:rPr>
          <w:rFonts w:ascii="ITC Avant Garde" w:hAnsi="ITC Avant Garde"/>
          <w:sz w:val="22"/>
          <w:szCs w:val="22"/>
          <w:lang w:val="es-MX"/>
        </w:rPr>
        <w:t xml:space="preserve"> </w:t>
      </w:r>
      <w:r w:rsidR="00D84EC1" w:rsidRPr="00422CA2">
        <w:rPr>
          <w:rFonts w:ascii="ITC Avant Garde" w:hAnsi="ITC Avant Garde"/>
          <w:sz w:val="22"/>
          <w:szCs w:val="22"/>
          <w:lang w:val="es-MX"/>
        </w:rPr>
        <w:t xml:space="preserve">ser titular </w:t>
      </w:r>
      <w:r w:rsidR="004A25A6" w:rsidRPr="00422CA2">
        <w:rPr>
          <w:rFonts w:ascii="ITC Avant Garde" w:hAnsi="ITC Avant Garde"/>
          <w:sz w:val="22"/>
          <w:szCs w:val="22"/>
          <w:lang w:val="es-MX"/>
        </w:rPr>
        <w:t xml:space="preserve">de concesión para operar redes públicas de telecomunicaciones otorgado por conducto de la Secretaría de Comunicaciones y Transportes o del Instituto Federal de Telecomunicaciones, el cual deberá </w:t>
      </w:r>
      <w:r w:rsidR="00AA04C8" w:rsidRPr="00422CA2">
        <w:rPr>
          <w:rFonts w:ascii="ITC Avant Garde" w:hAnsi="ITC Avant Garde"/>
          <w:sz w:val="22"/>
          <w:szCs w:val="22"/>
          <w:lang w:val="es-MX"/>
        </w:rPr>
        <w:t>estar</w:t>
      </w:r>
      <w:r w:rsidR="004A25A6" w:rsidRPr="00422CA2">
        <w:rPr>
          <w:rFonts w:ascii="ITC Avant Garde" w:hAnsi="ITC Avant Garde"/>
          <w:sz w:val="22"/>
          <w:szCs w:val="22"/>
          <w:lang w:val="es-MX"/>
        </w:rPr>
        <w:t xml:space="preserve"> vigente</w:t>
      </w:r>
      <w:r w:rsidR="005C624A" w:rsidRPr="00422CA2">
        <w:rPr>
          <w:rFonts w:ascii="ITC Avant Garde" w:hAnsi="ITC Avant Garde"/>
          <w:sz w:val="22"/>
          <w:szCs w:val="22"/>
          <w:lang w:val="es-MX"/>
        </w:rPr>
        <w:t>;</w:t>
      </w:r>
      <w:r w:rsidRPr="00422CA2">
        <w:rPr>
          <w:rFonts w:ascii="ITC Avant Garde" w:hAnsi="ITC Avant Garde"/>
          <w:sz w:val="22"/>
          <w:szCs w:val="22"/>
          <w:lang w:val="es-MX"/>
        </w:rPr>
        <w:t xml:space="preserve"> firmar el </w:t>
      </w:r>
      <w:r w:rsidRPr="00422CA2">
        <w:rPr>
          <w:rFonts w:ascii="ITC Avant Garde" w:hAnsi="ITC Avant Garde"/>
          <w:sz w:val="22"/>
          <w:szCs w:val="22"/>
        </w:rPr>
        <w:t>Convenio para la Prestación de Servicios de Desagregación, en lo sucesivo “Convenio”</w:t>
      </w:r>
      <w:r w:rsidR="005C624A" w:rsidRPr="00422CA2">
        <w:rPr>
          <w:rFonts w:ascii="ITC Avant Garde" w:hAnsi="ITC Avant Garde"/>
          <w:sz w:val="22"/>
          <w:szCs w:val="22"/>
        </w:rPr>
        <w:t>;</w:t>
      </w:r>
      <w:r w:rsidRPr="00422CA2">
        <w:rPr>
          <w:rFonts w:ascii="ITC Avant Garde" w:hAnsi="ITC Avant Garde"/>
          <w:sz w:val="22"/>
          <w:szCs w:val="22"/>
        </w:rPr>
        <w:t xml:space="preserve"> </w:t>
      </w:r>
      <w:r w:rsidRPr="00422CA2">
        <w:rPr>
          <w:rFonts w:ascii="ITC Avant Garde" w:hAnsi="ITC Avant Garde"/>
          <w:sz w:val="22"/>
          <w:szCs w:val="22"/>
          <w:lang w:val="es-MX"/>
        </w:rPr>
        <w:t>y solicitar los servicios mediante el Sistema de Captura o el SEG</w:t>
      </w:r>
      <w:r w:rsidR="005C624A" w:rsidRPr="00422CA2">
        <w:rPr>
          <w:rFonts w:ascii="ITC Avant Garde" w:hAnsi="ITC Avant Garde"/>
          <w:sz w:val="22"/>
          <w:szCs w:val="22"/>
          <w:lang w:val="es-MX"/>
        </w:rPr>
        <w:t>,</w:t>
      </w:r>
      <w:r w:rsidRPr="00422CA2">
        <w:rPr>
          <w:rFonts w:ascii="ITC Avant Garde" w:hAnsi="ITC Avant Garde"/>
          <w:sz w:val="22"/>
          <w:szCs w:val="22"/>
          <w:lang w:val="es-MX"/>
        </w:rPr>
        <w:t xml:space="preserve"> cuando </w:t>
      </w:r>
      <w:r w:rsidR="00C61E66" w:rsidRPr="00422CA2">
        <w:rPr>
          <w:rFonts w:ascii="ITC Avant Garde" w:hAnsi="ITC Avant Garde"/>
          <w:sz w:val="22"/>
          <w:szCs w:val="22"/>
          <w:lang w:val="es-MX"/>
        </w:rPr>
        <w:t>este último</w:t>
      </w:r>
      <w:r w:rsidRPr="00422CA2">
        <w:rPr>
          <w:rFonts w:ascii="ITC Avant Garde" w:hAnsi="ITC Avant Garde"/>
          <w:sz w:val="22"/>
          <w:szCs w:val="22"/>
          <w:lang w:val="es-MX"/>
        </w:rPr>
        <w:t xml:space="preserve"> entre en operación</w:t>
      </w:r>
      <w:r w:rsidR="005C624A" w:rsidRPr="00422CA2">
        <w:rPr>
          <w:rFonts w:ascii="ITC Avant Garde" w:hAnsi="ITC Avant Garde"/>
          <w:sz w:val="22"/>
          <w:szCs w:val="22"/>
          <w:lang w:val="es-MX"/>
        </w:rPr>
        <w:t>,</w:t>
      </w:r>
      <w:r w:rsidRPr="00422CA2">
        <w:rPr>
          <w:rFonts w:ascii="ITC Avant Garde" w:hAnsi="ITC Avant Garde"/>
          <w:sz w:val="22"/>
          <w:szCs w:val="22"/>
          <w:lang w:val="es-MX"/>
        </w:rPr>
        <w:t xml:space="preserve"> o a través de los formatos establecidos</w:t>
      </w:r>
      <w:r w:rsidR="00392319" w:rsidRPr="00422CA2">
        <w:rPr>
          <w:rFonts w:ascii="ITC Avant Garde" w:hAnsi="ITC Avant Garde"/>
          <w:sz w:val="22"/>
          <w:szCs w:val="22"/>
          <w:lang w:val="es-MX"/>
        </w:rPr>
        <w:t xml:space="preserve"> en la presente </w:t>
      </w:r>
      <w:r w:rsidR="00CA026A">
        <w:rPr>
          <w:rFonts w:ascii="ITC Avant Garde" w:hAnsi="ITC Avant Garde"/>
          <w:sz w:val="22"/>
          <w:szCs w:val="22"/>
          <w:lang w:val="es-MX"/>
        </w:rPr>
        <w:t>OREDA</w:t>
      </w:r>
      <w:r w:rsidR="00392319" w:rsidRPr="00422CA2">
        <w:rPr>
          <w:rFonts w:ascii="ITC Avant Garde" w:hAnsi="ITC Avant Garde"/>
          <w:sz w:val="22"/>
          <w:szCs w:val="22"/>
          <w:lang w:val="es-MX"/>
        </w:rPr>
        <w:t>.</w:t>
      </w:r>
      <w:r w:rsidRPr="00422CA2">
        <w:rPr>
          <w:rFonts w:ascii="ITC Avant Garde" w:hAnsi="ITC Avant Garde"/>
          <w:sz w:val="22"/>
          <w:szCs w:val="22"/>
          <w:lang w:val="es-MX"/>
        </w:rPr>
        <w:t xml:space="preserve"> </w:t>
      </w:r>
    </w:p>
    <w:p w14:paraId="40E855FE" w14:textId="77777777" w:rsidR="00F507CC" w:rsidRPr="00422CA2" w:rsidRDefault="00011A1B"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la provisión de los servicios de desagregación es necesario que el CS realice la contratación de los servicios auxiliares necesarios para cada tipo de desagregación, así como la habilitación de sus equipos; de tal forma que el CS </w:t>
      </w:r>
      <w:r w:rsidRPr="00422CA2">
        <w:rPr>
          <w:rFonts w:ascii="ITC Avant Garde" w:hAnsi="ITC Avant Garde"/>
          <w:sz w:val="22"/>
          <w:szCs w:val="22"/>
          <w:lang w:val="es-MX"/>
        </w:rPr>
        <w:lastRenderedPageBreak/>
        <w:t>pueda recibir a los usuarios finales desagregados, de acuerdo con la siguiente tabla:</w:t>
      </w:r>
    </w:p>
    <w:tbl>
      <w:tblPr>
        <w:tblStyle w:val="Tablaconcuadrcula"/>
        <w:tblW w:w="0" w:type="auto"/>
        <w:jc w:val="center"/>
        <w:tblLayout w:type="fixed"/>
        <w:tblLook w:val="04A0" w:firstRow="1" w:lastRow="0" w:firstColumn="1" w:lastColumn="0" w:noHBand="0" w:noVBand="1"/>
      </w:tblPr>
      <w:tblGrid>
        <w:gridCol w:w="3598"/>
        <w:gridCol w:w="709"/>
        <w:gridCol w:w="850"/>
        <w:gridCol w:w="851"/>
        <w:gridCol w:w="850"/>
        <w:gridCol w:w="993"/>
        <w:gridCol w:w="992"/>
      </w:tblGrid>
      <w:tr w:rsidR="00422CA2" w:rsidRPr="00422CA2" w14:paraId="40E85607" w14:textId="77777777" w:rsidTr="00697D1C">
        <w:trPr>
          <w:jc w:val="center"/>
        </w:trPr>
        <w:tc>
          <w:tcPr>
            <w:tcW w:w="3598" w:type="dxa"/>
            <w:tcBorders>
              <w:bottom w:val="single" w:sz="4" w:space="0" w:color="auto"/>
              <w:tl2br w:val="nil"/>
            </w:tcBorders>
            <w:shd w:val="clear" w:color="auto" w:fill="0070C0"/>
            <w:vAlign w:val="center"/>
          </w:tcPr>
          <w:p w14:paraId="40E85600" w14:textId="77777777" w:rsidR="00530A32" w:rsidRPr="00422CA2" w:rsidRDefault="00011A1B" w:rsidP="00697D1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Servicio donde aplica</w:t>
            </w:r>
          </w:p>
        </w:tc>
        <w:tc>
          <w:tcPr>
            <w:tcW w:w="709" w:type="dxa"/>
            <w:tcBorders>
              <w:bottom w:val="single" w:sz="4" w:space="0" w:color="auto"/>
            </w:tcBorders>
            <w:shd w:val="clear" w:color="auto" w:fill="0070C0"/>
            <w:vAlign w:val="center"/>
          </w:tcPr>
          <w:p w14:paraId="40E85601"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SRL</w:t>
            </w:r>
          </w:p>
        </w:tc>
        <w:tc>
          <w:tcPr>
            <w:tcW w:w="850" w:type="dxa"/>
            <w:tcBorders>
              <w:bottom w:val="single" w:sz="4" w:space="0" w:color="auto"/>
            </w:tcBorders>
            <w:shd w:val="clear" w:color="auto" w:fill="0070C0"/>
            <w:vAlign w:val="center"/>
          </w:tcPr>
          <w:p w14:paraId="40E85602"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SAIB</w:t>
            </w:r>
          </w:p>
        </w:tc>
        <w:tc>
          <w:tcPr>
            <w:tcW w:w="851" w:type="dxa"/>
            <w:tcBorders>
              <w:bottom w:val="single" w:sz="4" w:space="0" w:color="auto"/>
            </w:tcBorders>
            <w:shd w:val="clear" w:color="auto" w:fill="0070C0"/>
            <w:vAlign w:val="center"/>
          </w:tcPr>
          <w:p w14:paraId="40E85603"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SDTBL</w:t>
            </w:r>
          </w:p>
        </w:tc>
        <w:tc>
          <w:tcPr>
            <w:tcW w:w="850" w:type="dxa"/>
            <w:tcBorders>
              <w:bottom w:val="single" w:sz="4" w:space="0" w:color="auto"/>
            </w:tcBorders>
            <w:shd w:val="clear" w:color="auto" w:fill="0070C0"/>
            <w:vAlign w:val="center"/>
          </w:tcPr>
          <w:p w14:paraId="40E85604"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SDTSBL</w:t>
            </w:r>
          </w:p>
        </w:tc>
        <w:tc>
          <w:tcPr>
            <w:tcW w:w="993" w:type="dxa"/>
            <w:tcBorders>
              <w:bottom w:val="single" w:sz="4" w:space="0" w:color="auto"/>
            </w:tcBorders>
            <w:shd w:val="clear" w:color="auto" w:fill="0070C0"/>
            <w:vAlign w:val="center"/>
          </w:tcPr>
          <w:p w14:paraId="40E85605"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SDCBL</w:t>
            </w:r>
          </w:p>
        </w:tc>
        <w:tc>
          <w:tcPr>
            <w:tcW w:w="992" w:type="dxa"/>
            <w:tcBorders>
              <w:bottom w:val="single" w:sz="4" w:space="0" w:color="auto"/>
            </w:tcBorders>
            <w:shd w:val="clear" w:color="auto" w:fill="0070C0"/>
            <w:vAlign w:val="center"/>
          </w:tcPr>
          <w:p w14:paraId="40E85606" w14:textId="77777777" w:rsidR="00530A32" w:rsidRPr="00422CA2" w:rsidRDefault="00011A1B" w:rsidP="00697D1C">
            <w:pPr>
              <w:spacing w:before="60" w:after="60" w:line="276" w:lineRule="auto"/>
              <w:jc w:val="center"/>
              <w:rPr>
                <w:rFonts w:ascii="ITC Avant Garde" w:hAnsi="ITC Avant Garde"/>
                <w:b/>
                <w:spacing w:val="-6"/>
                <w:sz w:val="20"/>
                <w:szCs w:val="20"/>
                <w:lang w:val="es-MX"/>
              </w:rPr>
            </w:pPr>
            <w:r w:rsidRPr="00422CA2">
              <w:rPr>
                <w:rFonts w:ascii="ITC Avant Garde" w:hAnsi="ITC Avant Garde"/>
                <w:b/>
                <w:spacing w:val="-6"/>
                <w:sz w:val="20"/>
                <w:szCs w:val="20"/>
                <w:lang w:val="es-MX"/>
              </w:rPr>
              <w:t>SDCSBL</w:t>
            </w:r>
          </w:p>
        </w:tc>
      </w:tr>
      <w:tr w:rsidR="00422CA2" w:rsidRPr="00422CA2" w14:paraId="40E8560F" w14:textId="77777777" w:rsidTr="00697D1C">
        <w:trPr>
          <w:jc w:val="center"/>
        </w:trPr>
        <w:tc>
          <w:tcPr>
            <w:tcW w:w="3598" w:type="dxa"/>
            <w:tcBorders>
              <w:top w:val="single" w:sz="4" w:space="0" w:color="auto"/>
            </w:tcBorders>
            <w:vAlign w:val="center"/>
          </w:tcPr>
          <w:p w14:paraId="40E85608" w14:textId="288110E7" w:rsidR="00530A32" w:rsidRPr="00422CA2" w:rsidRDefault="00011A1B" w:rsidP="00697D1C">
            <w:pPr>
              <w:spacing w:before="60" w:after="60" w:line="276" w:lineRule="auto"/>
              <w:rPr>
                <w:rFonts w:ascii="ITC Avant Garde" w:hAnsi="ITC Avant Garde"/>
                <w:sz w:val="20"/>
                <w:szCs w:val="20"/>
                <w:lang w:val="es-MX"/>
              </w:rPr>
            </w:pPr>
            <w:r w:rsidRPr="00422CA2">
              <w:rPr>
                <w:rFonts w:ascii="ITC Avant Garde" w:hAnsi="ITC Avant Garde"/>
                <w:sz w:val="20"/>
                <w:szCs w:val="20"/>
                <w:lang w:val="es-MX"/>
              </w:rPr>
              <w:t>Coubicación para Desagregación o Ubicación Distante</w:t>
            </w:r>
          </w:p>
        </w:tc>
        <w:tc>
          <w:tcPr>
            <w:tcW w:w="709" w:type="dxa"/>
            <w:tcBorders>
              <w:top w:val="single" w:sz="4" w:space="0" w:color="auto"/>
            </w:tcBorders>
            <w:vAlign w:val="center"/>
          </w:tcPr>
          <w:p w14:paraId="40E85609"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tcBorders>
              <w:top w:val="single" w:sz="4" w:space="0" w:color="auto"/>
            </w:tcBorders>
            <w:vAlign w:val="center"/>
          </w:tcPr>
          <w:p w14:paraId="40E8560A"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851" w:type="dxa"/>
            <w:tcBorders>
              <w:top w:val="single" w:sz="4" w:space="0" w:color="auto"/>
            </w:tcBorders>
            <w:vAlign w:val="center"/>
          </w:tcPr>
          <w:p w14:paraId="40E8560B"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850" w:type="dxa"/>
            <w:tcBorders>
              <w:top w:val="single" w:sz="4" w:space="0" w:color="auto"/>
            </w:tcBorders>
            <w:vAlign w:val="center"/>
          </w:tcPr>
          <w:p w14:paraId="40E8560C"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993" w:type="dxa"/>
            <w:tcBorders>
              <w:top w:val="single" w:sz="4" w:space="0" w:color="auto"/>
            </w:tcBorders>
            <w:vAlign w:val="center"/>
          </w:tcPr>
          <w:p w14:paraId="40E8560D"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992" w:type="dxa"/>
            <w:tcBorders>
              <w:top w:val="single" w:sz="4" w:space="0" w:color="auto"/>
            </w:tcBorders>
            <w:vAlign w:val="center"/>
          </w:tcPr>
          <w:p w14:paraId="40E8560E"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r>
      <w:tr w:rsidR="00422CA2" w:rsidRPr="00422CA2" w14:paraId="40E85617" w14:textId="77777777" w:rsidTr="00697D1C">
        <w:trPr>
          <w:jc w:val="center"/>
        </w:trPr>
        <w:tc>
          <w:tcPr>
            <w:tcW w:w="3598" w:type="dxa"/>
            <w:vAlign w:val="center"/>
          </w:tcPr>
          <w:p w14:paraId="40E85610" w14:textId="77777777" w:rsidR="00530A32" w:rsidRPr="00422CA2" w:rsidRDefault="00011A1B" w:rsidP="00697D1C">
            <w:pPr>
              <w:spacing w:before="60" w:after="60" w:line="276" w:lineRule="auto"/>
              <w:rPr>
                <w:rFonts w:ascii="ITC Avant Garde" w:hAnsi="ITC Avant Garde"/>
                <w:sz w:val="20"/>
                <w:szCs w:val="20"/>
                <w:lang w:val="es-MX"/>
              </w:rPr>
            </w:pPr>
            <w:r w:rsidRPr="00422CA2">
              <w:rPr>
                <w:rFonts w:ascii="ITC Avant Garde" w:hAnsi="ITC Avant Garde"/>
                <w:sz w:val="20"/>
                <w:szCs w:val="20"/>
                <w:lang w:val="es-MX"/>
              </w:rPr>
              <w:t>Servicio de Concentración y Distribución</w:t>
            </w:r>
          </w:p>
        </w:tc>
        <w:tc>
          <w:tcPr>
            <w:tcW w:w="709" w:type="dxa"/>
            <w:vAlign w:val="center"/>
          </w:tcPr>
          <w:p w14:paraId="40E85611"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vAlign w:val="center"/>
          </w:tcPr>
          <w:p w14:paraId="40E85612"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851" w:type="dxa"/>
            <w:vAlign w:val="center"/>
          </w:tcPr>
          <w:p w14:paraId="40E85613"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vAlign w:val="center"/>
          </w:tcPr>
          <w:p w14:paraId="40E85614"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993" w:type="dxa"/>
            <w:vAlign w:val="center"/>
          </w:tcPr>
          <w:p w14:paraId="40E85615"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992" w:type="dxa"/>
            <w:vAlign w:val="center"/>
          </w:tcPr>
          <w:p w14:paraId="40E85616"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r>
      <w:tr w:rsidR="00422CA2" w:rsidRPr="00422CA2" w14:paraId="40E8561F" w14:textId="77777777" w:rsidTr="00697D1C">
        <w:trPr>
          <w:jc w:val="center"/>
        </w:trPr>
        <w:tc>
          <w:tcPr>
            <w:tcW w:w="3598" w:type="dxa"/>
            <w:vAlign w:val="center"/>
          </w:tcPr>
          <w:p w14:paraId="40E85618" w14:textId="77777777" w:rsidR="00530A32" w:rsidRPr="00422CA2" w:rsidRDefault="00011A1B" w:rsidP="00697D1C">
            <w:pPr>
              <w:spacing w:before="60" w:after="60" w:line="276" w:lineRule="auto"/>
              <w:rPr>
                <w:rFonts w:ascii="ITC Avant Garde" w:hAnsi="ITC Avant Garde"/>
                <w:sz w:val="20"/>
                <w:szCs w:val="20"/>
                <w:lang w:val="es-MX"/>
              </w:rPr>
            </w:pPr>
            <w:r w:rsidRPr="00422CA2">
              <w:rPr>
                <w:rFonts w:ascii="ITC Avant Garde" w:hAnsi="ITC Avant Garde"/>
                <w:sz w:val="20"/>
                <w:szCs w:val="20"/>
                <w:lang w:val="es-MX"/>
              </w:rPr>
              <w:t>Cableado Multipar</w:t>
            </w:r>
          </w:p>
        </w:tc>
        <w:tc>
          <w:tcPr>
            <w:tcW w:w="709" w:type="dxa"/>
            <w:vAlign w:val="center"/>
          </w:tcPr>
          <w:p w14:paraId="40E85619"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vAlign w:val="center"/>
          </w:tcPr>
          <w:p w14:paraId="40E8561A"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1" w:type="dxa"/>
            <w:vAlign w:val="center"/>
          </w:tcPr>
          <w:p w14:paraId="40E8561B"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850" w:type="dxa"/>
            <w:vAlign w:val="center"/>
          </w:tcPr>
          <w:p w14:paraId="40E8561C"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993" w:type="dxa"/>
            <w:vAlign w:val="center"/>
          </w:tcPr>
          <w:p w14:paraId="40E8561D"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992" w:type="dxa"/>
            <w:vAlign w:val="center"/>
          </w:tcPr>
          <w:p w14:paraId="40E8561E"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r>
      <w:tr w:rsidR="00422CA2" w:rsidRPr="00422CA2" w14:paraId="40E85627" w14:textId="77777777" w:rsidTr="00697D1C">
        <w:trPr>
          <w:jc w:val="center"/>
        </w:trPr>
        <w:tc>
          <w:tcPr>
            <w:tcW w:w="3598" w:type="dxa"/>
            <w:vAlign w:val="center"/>
          </w:tcPr>
          <w:p w14:paraId="40E85620" w14:textId="168DCC0B" w:rsidR="00530A32" w:rsidRPr="00422CA2" w:rsidRDefault="00011A1B" w:rsidP="00697D1C">
            <w:pPr>
              <w:spacing w:before="60" w:after="60" w:line="276" w:lineRule="auto"/>
              <w:rPr>
                <w:rFonts w:ascii="ITC Avant Garde" w:hAnsi="ITC Avant Garde"/>
                <w:sz w:val="20"/>
                <w:szCs w:val="20"/>
                <w:lang w:val="es-MX"/>
              </w:rPr>
            </w:pPr>
            <w:r w:rsidRPr="00422CA2">
              <w:rPr>
                <w:rFonts w:ascii="ITC Avant Garde" w:hAnsi="ITC Avant Garde"/>
                <w:sz w:val="20"/>
                <w:szCs w:val="20"/>
                <w:lang w:val="es-MX"/>
              </w:rPr>
              <w:t>Anexo de Caja de Distribución</w:t>
            </w:r>
          </w:p>
        </w:tc>
        <w:tc>
          <w:tcPr>
            <w:tcW w:w="709" w:type="dxa"/>
            <w:vAlign w:val="center"/>
          </w:tcPr>
          <w:p w14:paraId="40E85621"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vAlign w:val="center"/>
          </w:tcPr>
          <w:p w14:paraId="40E85622"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1" w:type="dxa"/>
            <w:vAlign w:val="center"/>
          </w:tcPr>
          <w:p w14:paraId="40E85623"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850" w:type="dxa"/>
            <w:vAlign w:val="center"/>
          </w:tcPr>
          <w:p w14:paraId="40E85624"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c>
          <w:tcPr>
            <w:tcW w:w="993" w:type="dxa"/>
            <w:vAlign w:val="center"/>
          </w:tcPr>
          <w:p w14:paraId="40E85625" w14:textId="77777777" w:rsidR="00530A32" w:rsidRPr="00422CA2" w:rsidRDefault="00530A32" w:rsidP="00697D1C">
            <w:pPr>
              <w:spacing w:before="60" w:after="60" w:line="276" w:lineRule="auto"/>
              <w:jc w:val="center"/>
              <w:rPr>
                <w:rFonts w:ascii="ITC Avant Garde" w:hAnsi="ITC Avant Garde"/>
                <w:spacing w:val="-6"/>
                <w:sz w:val="20"/>
                <w:szCs w:val="20"/>
                <w:lang w:val="es-MX"/>
              </w:rPr>
            </w:pPr>
          </w:p>
        </w:tc>
        <w:tc>
          <w:tcPr>
            <w:tcW w:w="992" w:type="dxa"/>
            <w:vAlign w:val="center"/>
          </w:tcPr>
          <w:p w14:paraId="40E85626" w14:textId="77777777" w:rsidR="00530A32" w:rsidRPr="00422CA2" w:rsidRDefault="00011A1B" w:rsidP="00697D1C">
            <w:pPr>
              <w:spacing w:before="60" w:after="60" w:line="276" w:lineRule="auto"/>
              <w:jc w:val="center"/>
              <w:rPr>
                <w:rFonts w:ascii="ITC Avant Garde" w:hAnsi="ITC Avant Garde"/>
                <w:spacing w:val="-6"/>
                <w:sz w:val="20"/>
                <w:szCs w:val="20"/>
                <w:lang w:val="es-MX"/>
              </w:rPr>
            </w:pPr>
            <w:r w:rsidRPr="00422CA2">
              <w:rPr>
                <w:rFonts w:ascii="ITC Avant Garde" w:hAnsi="ITC Avant Garde"/>
                <w:spacing w:val="-6"/>
                <w:sz w:val="20"/>
                <w:szCs w:val="20"/>
                <w:lang w:val="es-MX"/>
              </w:rPr>
              <w:t>X</w:t>
            </w:r>
          </w:p>
        </w:tc>
      </w:tr>
    </w:tbl>
    <w:p w14:paraId="40E85628" w14:textId="5D37D2E3" w:rsidR="00530A32" w:rsidRPr="00422CA2" w:rsidRDefault="00C61E66" w:rsidP="002166B7">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2 </w:t>
      </w:r>
      <w:r w:rsidR="00011A1B" w:rsidRPr="00422CA2">
        <w:rPr>
          <w:rFonts w:ascii="ITC Avant Garde" w:hAnsi="ITC Avant Garde"/>
          <w:sz w:val="18"/>
          <w:szCs w:val="18"/>
          <w:lang w:val="es-MX"/>
        </w:rPr>
        <w:t xml:space="preserve">Prerrequisitos  </w:t>
      </w:r>
      <w:r w:rsidR="006B1225" w:rsidRPr="00422CA2">
        <w:rPr>
          <w:rFonts w:ascii="ITC Avant Garde" w:hAnsi="ITC Avant Garde"/>
          <w:sz w:val="18"/>
          <w:szCs w:val="18"/>
          <w:lang w:val="es-MX"/>
        </w:rPr>
        <w:t>para la prestación de servicios de desagregación</w:t>
      </w:r>
      <w:r w:rsidR="00011A1B" w:rsidRPr="00422CA2">
        <w:rPr>
          <w:rFonts w:ascii="ITC Avant Garde" w:hAnsi="ITC Avant Garde"/>
          <w:sz w:val="18"/>
          <w:szCs w:val="18"/>
          <w:lang w:val="es-MX"/>
        </w:rPr>
        <w:t>.</w:t>
      </w:r>
    </w:p>
    <w:p w14:paraId="5426E88C" w14:textId="73BEAC56" w:rsidR="007632EB" w:rsidRPr="00422CA2" w:rsidRDefault="007632EB"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Si el CS  ya cuenta previamente con alguno de los prerrequisitos señalados en la tabla anteriormente presentada, estos se podrán usar para dar cumplimiento de dicho prerrequisito al momento de contratar nuevos servicios o ampliar los ya brindados, siempre y cuando sea factible hacer uso de </w:t>
      </w:r>
      <w:r w:rsidR="00C61E66" w:rsidRPr="00422CA2">
        <w:rPr>
          <w:rFonts w:ascii="ITC Avant Garde" w:hAnsi="ITC Avant Garde"/>
          <w:sz w:val="22"/>
          <w:szCs w:val="22"/>
          <w:lang w:val="es-MX"/>
        </w:rPr>
        <w:t>éstos</w:t>
      </w:r>
      <w:r w:rsidRPr="00422CA2">
        <w:rPr>
          <w:rFonts w:ascii="ITC Avant Garde" w:hAnsi="ITC Avant Garde"/>
          <w:sz w:val="22"/>
          <w:szCs w:val="22"/>
          <w:lang w:val="es-MX"/>
        </w:rPr>
        <w:t>.</w:t>
      </w:r>
    </w:p>
    <w:p w14:paraId="2F54C50D" w14:textId="357456BE" w:rsidR="00492ADE" w:rsidRPr="00422CA2" w:rsidRDefault="00F318A6" w:rsidP="00697D1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consecuencia</w:t>
      </w:r>
      <w:r w:rsidR="002020D5" w:rsidRPr="00422CA2">
        <w:rPr>
          <w:rFonts w:ascii="ITC Avant Garde" w:hAnsi="ITC Avant Garde"/>
          <w:sz w:val="22"/>
          <w:szCs w:val="22"/>
          <w:lang w:val="es-MX"/>
        </w:rPr>
        <w:t xml:space="preserve"> y </w:t>
      </w:r>
      <w:r w:rsidR="007632EB" w:rsidRPr="00422CA2">
        <w:rPr>
          <w:rFonts w:ascii="ITC Avant Garde" w:hAnsi="ITC Avant Garde"/>
          <w:sz w:val="22"/>
          <w:szCs w:val="22"/>
          <w:lang w:val="es-MX"/>
        </w:rPr>
        <w:t>caso de que el CS ya cuente en el sitio de interés con una Coubicación contratada para Interconexión, se encuentre compartiendo Coubicación con otro CS (tanto de Interconexión como de Desagregación) o que ya cuente con Coubicación para Desagregación, se entenderá que está cubierto el prerrequisito de Coubicación para Desagregación, siempre que sea factible hacer uso de estos espacios</w:t>
      </w:r>
      <w:r w:rsidR="002020D5" w:rsidRPr="00422CA2">
        <w:rPr>
          <w:rFonts w:ascii="ITC Avant Garde" w:hAnsi="ITC Avant Garde"/>
          <w:sz w:val="22"/>
          <w:szCs w:val="22"/>
          <w:lang w:val="es-MX"/>
        </w:rPr>
        <w:t>.</w:t>
      </w:r>
    </w:p>
    <w:p w14:paraId="40E8562B" w14:textId="77777777" w:rsidR="00530A32" w:rsidRPr="00422CA2" w:rsidRDefault="00011A1B" w:rsidP="004129D1">
      <w:pPr>
        <w:pStyle w:val="Ttulo1"/>
      </w:pPr>
      <w:bookmarkStart w:id="58" w:name="_Toc436840864"/>
      <w:bookmarkStart w:id="59" w:name="_Toc436846301"/>
      <w:bookmarkStart w:id="60" w:name="_Toc436848251"/>
      <w:bookmarkStart w:id="61" w:name="_Toc436856499"/>
      <w:bookmarkStart w:id="62" w:name="_Toc436862645"/>
      <w:bookmarkStart w:id="63" w:name="_Toc436866295"/>
      <w:bookmarkStart w:id="64" w:name="_Toc436870874"/>
      <w:bookmarkStart w:id="65" w:name="_Toc436875866"/>
      <w:bookmarkStart w:id="66" w:name="_Toc437602054"/>
      <w:r w:rsidRPr="00422CA2">
        <w:t>1.2</w:t>
      </w:r>
      <w:r w:rsidR="00326841" w:rsidRPr="00422CA2">
        <w:t>.</w:t>
      </w:r>
      <w:r w:rsidRPr="00422CA2">
        <w:tab/>
        <w:t>Pronóstico de servicio.</w:t>
      </w:r>
      <w:bookmarkEnd w:id="58"/>
      <w:bookmarkEnd w:id="59"/>
      <w:bookmarkEnd w:id="60"/>
      <w:bookmarkEnd w:id="61"/>
      <w:bookmarkEnd w:id="62"/>
      <w:bookmarkEnd w:id="63"/>
      <w:bookmarkEnd w:id="64"/>
      <w:bookmarkEnd w:id="65"/>
      <w:bookmarkEnd w:id="66"/>
    </w:p>
    <w:p w14:paraId="12586CC6" w14:textId="74E65D32" w:rsidR="00220D97" w:rsidRDefault="00220D97" w:rsidP="00220D97">
      <w:pPr>
        <w:pStyle w:val="IFTnormal"/>
      </w:pPr>
      <w:r w:rsidRPr="00422CA2">
        <w:t>El CS, de acuerdo a las mejores prácticas internacionales</w:t>
      </w:r>
      <w:r w:rsidRPr="00422CA2">
        <w:rPr>
          <w:rStyle w:val="Refdenotaalpie"/>
          <w:lang w:val="es-ES"/>
        </w:rPr>
        <w:footnoteReference w:id="2"/>
      </w:r>
      <w:r w:rsidRPr="00422CA2">
        <w:t xml:space="preserve"> para los procesos de suministro de servicios (configuración de servicios, gestión de problemas, análisis de calidad de servicios y tarificación), podrá entregar un pronóstico para los servicios de desagregación, (e</w:t>
      </w:r>
      <w:r w:rsidRPr="00422CA2">
        <w:rPr>
          <w:rStyle w:val="Refdenotaalpie"/>
          <w:vertAlign w:val="baseline"/>
        </w:rPr>
        <w:t>xcepto para el Servicio de Reventa de Línea y el Servicio de Acceso Indirecto al Bucle Local</w:t>
      </w:r>
      <w:r w:rsidRPr="00422CA2">
        <w:t xml:space="preserve">), así como podrá entregarlo para los servicios auxiliares, sin que la entrega de </w:t>
      </w:r>
      <w:r w:rsidR="00944FCE" w:rsidRPr="00422CA2">
        <w:t xml:space="preserve">pronósticos para servicios auxiliares </w:t>
      </w:r>
      <w:r w:rsidRPr="00422CA2">
        <w:t>afecte los parámetros de calidad, ni constituyan una condicionante al servicio, su entrega se realizará conforme a lo siguiente:</w:t>
      </w:r>
    </w:p>
    <w:p w14:paraId="0B2D8497" w14:textId="77777777" w:rsidR="00C82861" w:rsidRPr="00422CA2" w:rsidRDefault="00C82861" w:rsidP="00220D97">
      <w:pPr>
        <w:pStyle w:val="IFTnorm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2"/>
        <w:gridCol w:w="4846"/>
      </w:tblGrid>
      <w:tr w:rsidR="00422CA2" w:rsidRPr="00422CA2" w14:paraId="40E85630" w14:textId="77777777" w:rsidTr="001B728B">
        <w:trPr>
          <w:jc w:val="center"/>
        </w:trPr>
        <w:tc>
          <w:tcPr>
            <w:tcW w:w="2082" w:type="dxa"/>
            <w:shd w:val="clear" w:color="auto" w:fill="0070C0"/>
            <w:vAlign w:val="center"/>
          </w:tcPr>
          <w:p w14:paraId="40E8562E" w14:textId="36FD1E9C" w:rsidR="00530A32" w:rsidRPr="00422CA2" w:rsidRDefault="00220D97" w:rsidP="00697D1C">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sz w:val="22"/>
                <w:szCs w:val="22"/>
                <w:lang w:val="es-MX"/>
              </w:rPr>
              <w:lastRenderedPageBreak/>
              <w:t xml:space="preserve"> </w:t>
            </w:r>
            <w:r w:rsidR="00011A1B" w:rsidRPr="00422CA2">
              <w:rPr>
                <w:rFonts w:ascii="ITC Avant Garde" w:hAnsi="ITC Avant Garde" w:cs="Arial"/>
                <w:b/>
                <w:sz w:val="20"/>
              </w:rPr>
              <w:t>Fecha límite</w:t>
            </w:r>
          </w:p>
        </w:tc>
        <w:tc>
          <w:tcPr>
            <w:tcW w:w="4846" w:type="dxa"/>
            <w:shd w:val="clear" w:color="auto" w:fill="0070C0"/>
            <w:vAlign w:val="center"/>
          </w:tcPr>
          <w:p w14:paraId="40E8562F" w14:textId="77777777" w:rsidR="00530A32" w:rsidRPr="00422CA2" w:rsidRDefault="00011A1B" w:rsidP="00697D1C">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b/>
                <w:sz w:val="20"/>
              </w:rPr>
              <w:t>Periodo de aprovisionamiento</w:t>
            </w:r>
          </w:p>
        </w:tc>
      </w:tr>
      <w:tr w:rsidR="00422CA2" w:rsidRPr="00422CA2" w14:paraId="40E85633" w14:textId="77777777" w:rsidTr="00F1613B">
        <w:trPr>
          <w:jc w:val="center"/>
        </w:trPr>
        <w:tc>
          <w:tcPr>
            <w:tcW w:w="2082" w:type="dxa"/>
            <w:vAlign w:val="center"/>
          </w:tcPr>
          <w:p w14:paraId="40E85631"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30 de junio</w:t>
            </w:r>
          </w:p>
        </w:tc>
        <w:tc>
          <w:tcPr>
            <w:tcW w:w="4846" w:type="dxa"/>
            <w:vAlign w:val="center"/>
          </w:tcPr>
          <w:p w14:paraId="40E85632"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Enero-junio del año inmediato posterior.</w:t>
            </w:r>
          </w:p>
        </w:tc>
      </w:tr>
      <w:tr w:rsidR="00422CA2" w:rsidRPr="00422CA2" w14:paraId="40E85636" w14:textId="77777777" w:rsidTr="00F1613B">
        <w:trPr>
          <w:jc w:val="center"/>
        </w:trPr>
        <w:tc>
          <w:tcPr>
            <w:tcW w:w="2082" w:type="dxa"/>
            <w:vAlign w:val="center"/>
          </w:tcPr>
          <w:p w14:paraId="40E85634"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31 de diciembre</w:t>
            </w:r>
          </w:p>
        </w:tc>
        <w:tc>
          <w:tcPr>
            <w:tcW w:w="4846" w:type="dxa"/>
            <w:vAlign w:val="center"/>
          </w:tcPr>
          <w:p w14:paraId="40E85635"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Julio-diciembre del año inmediato posterior.</w:t>
            </w:r>
          </w:p>
        </w:tc>
      </w:tr>
    </w:tbl>
    <w:p w14:paraId="40E85637" w14:textId="5B072B2C" w:rsidR="00C839AE" w:rsidRPr="00422CA2" w:rsidRDefault="00712AA4" w:rsidP="002166B7">
      <w:pPr>
        <w:spacing w:before="120" w:after="200" w:line="276" w:lineRule="auto"/>
        <w:ind w:left="708" w:firstLine="285"/>
        <w:jc w:val="center"/>
        <w:rPr>
          <w:rFonts w:ascii="ITC Avant Garde" w:hAnsi="ITC Avant Garde"/>
          <w:sz w:val="18"/>
          <w:szCs w:val="18"/>
          <w:lang w:val="es-MX"/>
        </w:rPr>
      </w:pPr>
      <w:r w:rsidRPr="00422CA2">
        <w:rPr>
          <w:rFonts w:ascii="ITC Avant Garde" w:hAnsi="ITC Avant Garde"/>
          <w:sz w:val="18"/>
          <w:szCs w:val="18"/>
          <w:lang w:val="es-MX"/>
        </w:rPr>
        <w:t xml:space="preserve">Tabla 3 </w:t>
      </w:r>
      <w:r w:rsidR="00011A1B" w:rsidRPr="00422CA2">
        <w:rPr>
          <w:rFonts w:ascii="ITC Avant Garde" w:hAnsi="ITC Avant Garde"/>
          <w:sz w:val="18"/>
          <w:szCs w:val="18"/>
          <w:lang w:val="es-MX"/>
        </w:rPr>
        <w:t>Fechas para pronósticos del servicio.</w:t>
      </w:r>
    </w:p>
    <w:p w14:paraId="40E85638" w14:textId="77777777" w:rsidR="00C839AE" w:rsidRPr="00422CA2" w:rsidRDefault="00011A1B" w:rsidP="00697D1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Asimismo, los CS podrán ajustar sus pronósticos conforme a lo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2"/>
        <w:gridCol w:w="4846"/>
      </w:tblGrid>
      <w:tr w:rsidR="00422CA2" w:rsidRPr="00422CA2" w14:paraId="40E8563B" w14:textId="77777777" w:rsidTr="001B728B">
        <w:trPr>
          <w:jc w:val="center"/>
        </w:trPr>
        <w:tc>
          <w:tcPr>
            <w:tcW w:w="2082" w:type="dxa"/>
            <w:shd w:val="clear" w:color="auto" w:fill="0070C0"/>
            <w:vAlign w:val="center"/>
          </w:tcPr>
          <w:p w14:paraId="40E85639" w14:textId="77777777" w:rsidR="00530A32" w:rsidRPr="00422CA2" w:rsidRDefault="00011A1B" w:rsidP="00697D1C">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b/>
                <w:sz w:val="20"/>
              </w:rPr>
              <w:t>Fecha límite</w:t>
            </w:r>
          </w:p>
        </w:tc>
        <w:tc>
          <w:tcPr>
            <w:tcW w:w="4846" w:type="dxa"/>
            <w:shd w:val="clear" w:color="auto" w:fill="0070C0"/>
            <w:vAlign w:val="center"/>
          </w:tcPr>
          <w:p w14:paraId="40E8563A" w14:textId="77777777" w:rsidR="00530A32" w:rsidRPr="00422CA2" w:rsidRDefault="00011A1B" w:rsidP="00697D1C">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b/>
                <w:sz w:val="20"/>
              </w:rPr>
              <w:t>Periodo de ajuste de pronóstico</w:t>
            </w:r>
          </w:p>
        </w:tc>
      </w:tr>
      <w:tr w:rsidR="00422CA2" w:rsidRPr="00422CA2" w14:paraId="40E8563E" w14:textId="77777777" w:rsidTr="00F1613B">
        <w:trPr>
          <w:jc w:val="center"/>
        </w:trPr>
        <w:tc>
          <w:tcPr>
            <w:tcW w:w="2082" w:type="dxa"/>
            <w:vAlign w:val="center"/>
          </w:tcPr>
          <w:p w14:paraId="40E8563C"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30 de Septiembre</w:t>
            </w:r>
          </w:p>
        </w:tc>
        <w:tc>
          <w:tcPr>
            <w:tcW w:w="4846" w:type="dxa"/>
            <w:vAlign w:val="center"/>
          </w:tcPr>
          <w:p w14:paraId="40E8563D"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Enero-junio del año inmediato posterior.</w:t>
            </w:r>
          </w:p>
        </w:tc>
      </w:tr>
      <w:tr w:rsidR="00422CA2" w:rsidRPr="00422CA2" w14:paraId="40E85641" w14:textId="77777777" w:rsidTr="00F1613B">
        <w:trPr>
          <w:jc w:val="center"/>
        </w:trPr>
        <w:tc>
          <w:tcPr>
            <w:tcW w:w="2082" w:type="dxa"/>
            <w:vAlign w:val="center"/>
          </w:tcPr>
          <w:p w14:paraId="40E8563F" w14:textId="77777777"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31 de Marzo</w:t>
            </w:r>
          </w:p>
        </w:tc>
        <w:tc>
          <w:tcPr>
            <w:tcW w:w="4846" w:type="dxa"/>
            <w:vAlign w:val="center"/>
          </w:tcPr>
          <w:p w14:paraId="40E85640" w14:textId="7AEEEF1F" w:rsidR="00530A32" w:rsidRPr="00422CA2" w:rsidRDefault="00011A1B" w:rsidP="00697D1C">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 xml:space="preserve">Julio-diciembre del año </w:t>
            </w:r>
            <w:r w:rsidR="00555FA6" w:rsidRPr="00422CA2">
              <w:rPr>
                <w:rFonts w:ascii="ITC Avant Garde" w:hAnsi="ITC Avant Garde" w:cs="Arial"/>
                <w:sz w:val="20"/>
              </w:rPr>
              <w:t>corriente</w:t>
            </w:r>
            <w:r w:rsidRPr="00422CA2">
              <w:rPr>
                <w:rFonts w:ascii="ITC Avant Garde" w:hAnsi="ITC Avant Garde" w:cs="Arial"/>
                <w:sz w:val="20"/>
              </w:rPr>
              <w:t>.</w:t>
            </w:r>
          </w:p>
        </w:tc>
      </w:tr>
    </w:tbl>
    <w:p w14:paraId="40E85642" w14:textId="13374144" w:rsidR="00FA1C46" w:rsidRPr="00422CA2" w:rsidRDefault="00712AA4" w:rsidP="002166B7">
      <w:pPr>
        <w:spacing w:before="120" w:after="200" w:line="276" w:lineRule="auto"/>
        <w:ind w:left="708" w:firstLine="285"/>
        <w:jc w:val="center"/>
        <w:rPr>
          <w:rFonts w:ascii="ITC Avant Garde" w:hAnsi="ITC Avant Garde"/>
          <w:sz w:val="18"/>
          <w:szCs w:val="18"/>
          <w:lang w:val="es-MX"/>
        </w:rPr>
      </w:pPr>
      <w:r w:rsidRPr="00422CA2">
        <w:rPr>
          <w:rFonts w:ascii="ITC Avant Garde" w:hAnsi="ITC Avant Garde"/>
          <w:sz w:val="18"/>
          <w:szCs w:val="18"/>
          <w:lang w:val="es-MX"/>
        </w:rPr>
        <w:t xml:space="preserve">Tabla 4 </w:t>
      </w:r>
      <w:r w:rsidR="00011A1B" w:rsidRPr="00422CA2">
        <w:rPr>
          <w:rFonts w:ascii="ITC Avant Garde" w:hAnsi="ITC Avant Garde"/>
          <w:sz w:val="18"/>
          <w:szCs w:val="18"/>
          <w:lang w:val="es-MX"/>
        </w:rPr>
        <w:t>Fechas para ajustar los pronósticos del servicio.</w:t>
      </w:r>
    </w:p>
    <w:p w14:paraId="40E85643" w14:textId="49A0CA8E" w:rsidR="005479C0" w:rsidRPr="00422CA2" w:rsidRDefault="00011A1B" w:rsidP="00697D1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Si los pronósticos no son entregados dentro de la fecha indicada, se considerarán como no entregados. Sin embargo, en ningún caso la provisión de los servicios de </w:t>
      </w:r>
      <w:r w:rsidR="00B86D0A" w:rsidRPr="00422CA2">
        <w:rPr>
          <w:rFonts w:ascii="ITC Avant Garde" w:hAnsi="ITC Avant Garde"/>
          <w:sz w:val="22"/>
          <w:szCs w:val="22"/>
          <w:lang w:val="es-ES"/>
        </w:rPr>
        <w:t>d</w:t>
      </w:r>
      <w:r w:rsidRPr="00422CA2">
        <w:rPr>
          <w:rFonts w:ascii="ITC Avant Garde" w:hAnsi="ITC Avant Garde"/>
          <w:sz w:val="22"/>
          <w:szCs w:val="22"/>
          <w:lang w:val="es-ES"/>
        </w:rPr>
        <w:t>esagregación estará condicionada a la entrega de pronósticos.</w:t>
      </w:r>
    </w:p>
    <w:p w14:paraId="40E85645" w14:textId="77777777" w:rsidR="00601BA1" w:rsidRPr="00422CA2" w:rsidRDefault="00011A1B" w:rsidP="00697D1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La granularidad que deberán tener los pronósticos entregados por los Concesionarios Solicitantes, será al menos la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2"/>
        <w:gridCol w:w="4846"/>
      </w:tblGrid>
      <w:tr w:rsidR="00422CA2" w:rsidRPr="00422CA2" w14:paraId="40E85648" w14:textId="77777777" w:rsidTr="001B728B">
        <w:trPr>
          <w:jc w:val="center"/>
        </w:trPr>
        <w:tc>
          <w:tcPr>
            <w:tcW w:w="2612" w:type="dxa"/>
            <w:shd w:val="clear" w:color="auto" w:fill="0070C0"/>
            <w:vAlign w:val="center"/>
          </w:tcPr>
          <w:p w14:paraId="40E85646" w14:textId="77777777" w:rsidR="00530A32" w:rsidRPr="00422CA2" w:rsidRDefault="00011A1B" w:rsidP="00B303D2">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b/>
                <w:sz w:val="20"/>
              </w:rPr>
              <w:t>Servicio</w:t>
            </w:r>
          </w:p>
        </w:tc>
        <w:tc>
          <w:tcPr>
            <w:tcW w:w="4846" w:type="dxa"/>
            <w:shd w:val="clear" w:color="auto" w:fill="0070C0"/>
            <w:vAlign w:val="center"/>
          </w:tcPr>
          <w:p w14:paraId="40E85647" w14:textId="77777777" w:rsidR="00530A32" w:rsidRPr="00422CA2" w:rsidRDefault="00011A1B" w:rsidP="00B303D2">
            <w:pPr>
              <w:pStyle w:val="Texto"/>
              <w:spacing w:before="60" w:after="60" w:line="276" w:lineRule="auto"/>
              <w:ind w:firstLine="0"/>
              <w:jc w:val="center"/>
              <w:rPr>
                <w:rFonts w:ascii="ITC Avant Garde" w:hAnsi="ITC Avant Garde" w:cs="Arial"/>
                <w:b/>
                <w:sz w:val="20"/>
              </w:rPr>
            </w:pPr>
            <w:r w:rsidRPr="00422CA2">
              <w:rPr>
                <w:rFonts w:ascii="ITC Avant Garde" w:hAnsi="ITC Avant Garde" w:cs="Arial"/>
                <w:b/>
                <w:sz w:val="20"/>
              </w:rPr>
              <w:t>Granularidad</w:t>
            </w:r>
          </w:p>
        </w:tc>
      </w:tr>
      <w:tr w:rsidR="00422CA2" w:rsidRPr="00422CA2" w14:paraId="40E8564B" w14:textId="77777777" w:rsidTr="001B728B">
        <w:trPr>
          <w:jc w:val="center"/>
        </w:trPr>
        <w:tc>
          <w:tcPr>
            <w:tcW w:w="2612" w:type="dxa"/>
            <w:vAlign w:val="center"/>
          </w:tcPr>
          <w:p w14:paraId="40E85649"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SDTBL y SDCBL</w:t>
            </w:r>
          </w:p>
        </w:tc>
        <w:tc>
          <w:tcPr>
            <w:tcW w:w="4846" w:type="dxa"/>
            <w:vAlign w:val="center"/>
          </w:tcPr>
          <w:p w14:paraId="40E8564A"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Número de Bucles por Central Telefónica o Instalación Equivalente</w:t>
            </w:r>
          </w:p>
        </w:tc>
      </w:tr>
      <w:tr w:rsidR="00422CA2" w:rsidRPr="00422CA2" w14:paraId="40E8564E" w14:textId="77777777" w:rsidTr="001B728B">
        <w:trPr>
          <w:jc w:val="center"/>
        </w:trPr>
        <w:tc>
          <w:tcPr>
            <w:tcW w:w="2612" w:type="dxa"/>
            <w:vAlign w:val="center"/>
          </w:tcPr>
          <w:p w14:paraId="40E8564C"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SDTSBL y SDCSBL</w:t>
            </w:r>
          </w:p>
        </w:tc>
        <w:tc>
          <w:tcPr>
            <w:tcW w:w="4846" w:type="dxa"/>
            <w:vAlign w:val="center"/>
          </w:tcPr>
          <w:p w14:paraId="40E8564D"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Número de Sub-bucles asociados a Central Telefónica o instalación equivalente</w:t>
            </w:r>
          </w:p>
        </w:tc>
      </w:tr>
      <w:tr w:rsidR="00422CA2" w:rsidRPr="00422CA2" w14:paraId="40E85651" w14:textId="77777777" w:rsidTr="001B728B">
        <w:trPr>
          <w:jc w:val="center"/>
        </w:trPr>
        <w:tc>
          <w:tcPr>
            <w:tcW w:w="2612" w:type="dxa"/>
            <w:vAlign w:val="center"/>
          </w:tcPr>
          <w:p w14:paraId="40E8564F"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Servicio de Coubicación para Desagregación</w:t>
            </w:r>
          </w:p>
        </w:tc>
        <w:tc>
          <w:tcPr>
            <w:tcW w:w="4846" w:type="dxa"/>
            <w:vAlign w:val="center"/>
          </w:tcPr>
          <w:p w14:paraId="40E85650" w14:textId="77777777" w:rsidR="00530A32" w:rsidRPr="00422CA2" w:rsidRDefault="00011A1B" w:rsidP="00B303D2">
            <w:pPr>
              <w:pStyle w:val="Texto"/>
              <w:spacing w:before="60" w:after="60" w:line="276" w:lineRule="auto"/>
              <w:ind w:firstLine="0"/>
              <w:jc w:val="left"/>
              <w:rPr>
                <w:rFonts w:ascii="ITC Avant Garde" w:hAnsi="ITC Avant Garde" w:cs="Arial"/>
                <w:sz w:val="20"/>
              </w:rPr>
            </w:pPr>
            <w:r w:rsidRPr="00422CA2">
              <w:rPr>
                <w:rFonts w:ascii="ITC Avant Garde" w:hAnsi="ITC Avant Garde" w:cs="Arial"/>
                <w:sz w:val="20"/>
              </w:rPr>
              <w:t>Número de Centrales Telefónicas o instalaciones equivalentes</w:t>
            </w:r>
          </w:p>
        </w:tc>
      </w:tr>
    </w:tbl>
    <w:p w14:paraId="40E85652" w14:textId="1607302F" w:rsidR="00530A32" w:rsidRPr="00422CA2" w:rsidRDefault="00712AA4" w:rsidP="002166B7">
      <w:pPr>
        <w:spacing w:before="120" w:after="200" w:line="276" w:lineRule="auto"/>
        <w:ind w:left="708" w:firstLine="1"/>
        <w:jc w:val="center"/>
        <w:rPr>
          <w:rFonts w:ascii="ITC Avant Garde" w:hAnsi="ITC Avant Garde"/>
          <w:sz w:val="18"/>
          <w:szCs w:val="18"/>
          <w:lang w:val="es-MX"/>
        </w:rPr>
      </w:pPr>
      <w:r w:rsidRPr="00422CA2">
        <w:rPr>
          <w:rFonts w:ascii="ITC Avant Garde" w:hAnsi="ITC Avant Garde"/>
          <w:sz w:val="18"/>
          <w:szCs w:val="18"/>
          <w:lang w:val="es-MX"/>
        </w:rPr>
        <w:t xml:space="preserve">Tabla 5 </w:t>
      </w:r>
      <w:r w:rsidR="00011A1B" w:rsidRPr="00422CA2">
        <w:rPr>
          <w:rFonts w:ascii="ITC Avant Garde" w:hAnsi="ITC Avant Garde"/>
          <w:sz w:val="18"/>
          <w:szCs w:val="18"/>
          <w:lang w:val="es-MX"/>
        </w:rPr>
        <w:t>Granularidad de Pronósticos</w:t>
      </w:r>
    </w:p>
    <w:p w14:paraId="40E85653" w14:textId="77777777" w:rsidR="00175577" w:rsidRPr="00422CA2" w:rsidRDefault="00011A1B" w:rsidP="00B303D2">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 caso de que los servicios solicitados excedan un 20% o más a los pronosticados, los servicios excedentes serán instalados en un plazo definido por mutuo acuerdo bajo el esquema fecha compromiso (Due Date), y delimitado a un máximo de 150% de los plazos originales de entrega. Situación que será informada al Instituto, junto con las nuevas fechas de entrega.</w:t>
      </w:r>
    </w:p>
    <w:p w14:paraId="40E85655" w14:textId="1699CD45" w:rsidR="00177F26" w:rsidRPr="00422CA2" w:rsidRDefault="00011A1B" w:rsidP="00B303D2">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En caso de que los servicios contratados en el año </w:t>
      </w:r>
      <w:r w:rsidR="00B439DB" w:rsidRPr="00422CA2">
        <w:rPr>
          <w:rFonts w:ascii="ITC Avant Garde" w:hAnsi="ITC Avant Garde"/>
          <w:sz w:val="22"/>
          <w:szCs w:val="22"/>
          <w:lang w:val="es-ES"/>
        </w:rPr>
        <w:t>anterior de referencia</w:t>
      </w:r>
      <w:r w:rsidRPr="00422CA2">
        <w:rPr>
          <w:rFonts w:ascii="ITC Avant Garde" w:hAnsi="ITC Avant Garde"/>
          <w:sz w:val="22"/>
          <w:szCs w:val="22"/>
          <w:lang w:val="es-ES"/>
        </w:rPr>
        <w:t xml:space="preserve"> N sean menores al 70% de lo pronosticado, se hará del conocimiento del Instituto y el </w:t>
      </w:r>
      <w:r w:rsidR="00847A6D" w:rsidRPr="00422CA2">
        <w:rPr>
          <w:rFonts w:ascii="ITC Avant Garde" w:hAnsi="ITC Avant Garde"/>
          <w:sz w:val="22"/>
          <w:szCs w:val="22"/>
          <w:lang w:val="es-ES"/>
        </w:rPr>
        <w:t>CS</w:t>
      </w:r>
      <w:r w:rsidRPr="00422CA2">
        <w:rPr>
          <w:rFonts w:ascii="ITC Avant Garde" w:hAnsi="ITC Avant Garde"/>
          <w:sz w:val="22"/>
          <w:szCs w:val="22"/>
          <w:lang w:val="es-ES"/>
        </w:rPr>
        <w:t xml:space="preserve"> </w:t>
      </w:r>
      <w:r w:rsidRPr="00422CA2">
        <w:rPr>
          <w:rFonts w:ascii="ITC Avant Garde" w:hAnsi="ITC Avant Garde"/>
          <w:sz w:val="22"/>
          <w:szCs w:val="22"/>
          <w:lang w:val="es-ES"/>
        </w:rPr>
        <w:lastRenderedPageBreak/>
        <w:t>considerará en el pronóstico del año N+1 un volumen de servicios no mayor al equivalente al 120% de los servicios realmente contratados en el año N.</w:t>
      </w:r>
    </w:p>
    <w:p w14:paraId="69A36042" w14:textId="01DEBF8F" w:rsidR="00E83D51" w:rsidRPr="00422CA2" w:rsidRDefault="006148C5" w:rsidP="00E83D51">
      <w:pPr>
        <w:spacing w:after="200" w:line="276" w:lineRule="auto"/>
        <w:jc w:val="both"/>
        <w:rPr>
          <w:rFonts w:ascii="ITC Avant Garde" w:hAnsi="ITC Avant Garde"/>
          <w:bCs/>
          <w:sz w:val="22"/>
          <w:szCs w:val="22"/>
        </w:rPr>
      </w:pPr>
      <w:r w:rsidRPr="00422CA2">
        <w:rPr>
          <w:rFonts w:ascii="ITC Avant Garde" w:hAnsi="ITC Avant Garde"/>
          <w:sz w:val="22"/>
          <w:szCs w:val="22"/>
          <w:lang w:val="es-ES"/>
        </w:rPr>
        <w:t xml:space="preserve">En su caso </w:t>
      </w:r>
      <w:r w:rsidR="00B50D55" w:rsidRPr="00422CA2">
        <w:rPr>
          <w:rFonts w:ascii="ITC Avant Garde" w:hAnsi="ITC Avant Garde"/>
          <w:sz w:val="22"/>
          <w:szCs w:val="22"/>
          <w:lang w:val="es-ES"/>
        </w:rPr>
        <w:t xml:space="preserve">los </w:t>
      </w:r>
      <w:r w:rsidR="00011A1B" w:rsidRPr="00422CA2">
        <w:rPr>
          <w:rFonts w:ascii="ITC Avant Garde" w:hAnsi="ITC Avant Garde"/>
          <w:sz w:val="22"/>
          <w:szCs w:val="22"/>
          <w:lang w:val="es-ES"/>
        </w:rPr>
        <w:t xml:space="preserve">pronósticos </w:t>
      </w:r>
      <w:r w:rsidRPr="00422CA2">
        <w:rPr>
          <w:rFonts w:ascii="ITC Avant Garde" w:hAnsi="ITC Avant Garde"/>
          <w:sz w:val="22"/>
          <w:szCs w:val="22"/>
          <w:lang w:val="es-ES"/>
        </w:rPr>
        <w:t xml:space="preserve">podrán </w:t>
      </w:r>
      <w:r w:rsidR="00011A1B" w:rsidRPr="00422CA2">
        <w:rPr>
          <w:rFonts w:ascii="ITC Avant Garde" w:hAnsi="ITC Avant Garde"/>
          <w:sz w:val="22"/>
          <w:szCs w:val="22"/>
          <w:lang w:val="es-ES"/>
        </w:rPr>
        <w:t xml:space="preserve">entregarse en los formatos definidos </w:t>
      </w:r>
      <w:r w:rsidR="00DA369A" w:rsidRPr="00422CA2">
        <w:rPr>
          <w:rFonts w:ascii="ITC Avant Garde" w:hAnsi="ITC Avant Garde"/>
          <w:sz w:val="22"/>
          <w:szCs w:val="22"/>
          <w:lang w:val="es-ES"/>
        </w:rPr>
        <w:t xml:space="preserve">en la presente sección </w:t>
      </w:r>
      <w:r w:rsidR="00011A1B" w:rsidRPr="00422CA2">
        <w:rPr>
          <w:rFonts w:ascii="ITC Avant Garde" w:hAnsi="ITC Avant Garde"/>
          <w:sz w:val="22"/>
          <w:szCs w:val="22"/>
          <w:lang w:val="es-ES"/>
        </w:rPr>
        <w:t xml:space="preserve">para la prestación de servicios de </w:t>
      </w:r>
      <w:r w:rsidR="00B86D0A" w:rsidRPr="00422CA2">
        <w:rPr>
          <w:rFonts w:ascii="ITC Avant Garde" w:hAnsi="ITC Avant Garde"/>
          <w:sz w:val="22"/>
          <w:szCs w:val="22"/>
          <w:lang w:val="es-ES"/>
        </w:rPr>
        <w:t>d</w:t>
      </w:r>
      <w:r w:rsidR="00011A1B" w:rsidRPr="00422CA2">
        <w:rPr>
          <w:rFonts w:ascii="ITC Avant Garde" w:hAnsi="ITC Avant Garde"/>
          <w:sz w:val="22"/>
          <w:szCs w:val="22"/>
          <w:lang w:val="es-ES"/>
        </w:rPr>
        <w:t xml:space="preserve">esagregación. </w:t>
      </w:r>
      <w:r w:rsidR="00011A1B" w:rsidRPr="00422CA2">
        <w:rPr>
          <w:rFonts w:ascii="ITC Avant Garde" w:hAnsi="ITC Avant Garde"/>
          <w:sz w:val="22"/>
          <w:szCs w:val="22"/>
        </w:rPr>
        <w:t>La primera entrega de pronósticos</w:t>
      </w:r>
      <w:r w:rsidR="00B50D55" w:rsidRPr="00422CA2">
        <w:rPr>
          <w:rFonts w:ascii="ITC Avant Garde" w:hAnsi="ITC Avant Garde"/>
          <w:sz w:val="22"/>
          <w:szCs w:val="22"/>
        </w:rPr>
        <w:t>, en su caso,</w:t>
      </w:r>
      <w:r w:rsidR="00011A1B" w:rsidRPr="00422CA2">
        <w:rPr>
          <w:rFonts w:ascii="ITC Avant Garde" w:hAnsi="ITC Avant Garde"/>
          <w:sz w:val="22"/>
          <w:szCs w:val="22"/>
        </w:rPr>
        <w:t xml:space="preserve"> se llevará a cabo a más tardar el 30 de junio siguiente a la publicación de esta </w:t>
      </w:r>
      <w:r w:rsidR="00CA026A">
        <w:rPr>
          <w:rFonts w:ascii="ITC Avant Garde" w:hAnsi="ITC Avant Garde"/>
          <w:sz w:val="22"/>
          <w:szCs w:val="22"/>
        </w:rPr>
        <w:t>OREDA</w:t>
      </w:r>
      <w:r w:rsidR="00011A1B" w:rsidRPr="00422CA2">
        <w:rPr>
          <w:rFonts w:ascii="ITC Avant Garde" w:hAnsi="ITC Avant Garde"/>
          <w:sz w:val="22"/>
          <w:szCs w:val="22"/>
        </w:rPr>
        <w:t xml:space="preserve">. </w:t>
      </w:r>
      <w:r w:rsidR="00E83D51" w:rsidRPr="00422CA2">
        <w:rPr>
          <w:rFonts w:ascii="ITC Avant Garde" w:hAnsi="ITC Avant Garde"/>
          <w:bCs/>
          <w:sz w:val="22"/>
          <w:szCs w:val="22"/>
        </w:rPr>
        <w:t xml:space="preserve">Por lo tanto los parámetros e indicadores de calidad de los </w:t>
      </w:r>
      <w:r w:rsidR="00B86D0A" w:rsidRPr="00422CA2">
        <w:rPr>
          <w:rFonts w:ascii="ITC Avant Garde" w:hAnsi="ITC Avant Garde"/>
          <w:bCs/>
          <w:sz w:val="22"/>
          <w:szCs w:val="22"/>
        </w:rPr>
        <w:t>s</w:t>
      </w:r>
      <w:r w:rsidR="00E83D51" w:rsidRPr="00422CA2">
        <w:rPr>
          <w:rFonts w:ascii="ITC Avant Garde" w:hAnsi="ITC Avant Garde"/>
          <w:bCs/>
          <w:sz w:val="22"/>
          <w:szCs w:val="22"/>
        </w:rPr>
        <w:t xml:space="preserve">ervicios de </w:t>
      </w:r>
      <w:r w:rsidR="00B86D0A" w:rsidRPr="00422CA2">
        <w:rPr>
          <w:rFonts w:ascii="ITC Avant Garde" w:hAnsi="ITC Avant Garde"/>
          <w:bCs/>
          <w:sz w:val="22"/>
          <w:szCs w:val="22"/>
        </w:rPr>
        <w:t>d</w:t>
      </w:r>
      <w:r w:rsidR="00E83D51" w:rsidRPr="00422CA2">
        <w:rPr>
          <w:rFonts w:ascii="ITC Avant Garde" w:hAnsi="ITC Avant Garde"/>
          <w:bCs/>
          <w:sz w:val="22"/>
          <w:szCs w:val="22"/>
        </w:rPr>
        <w:t xml:space="preserve">esagregación solicitados antes y hasta seis meses después de esta primera entrega no estarán vinculados a algún pronóstico, así como tampoco estarán vinculadas a algún pronóstico los parámetros e indicadores de calidad de los servicios que se soliciten antes y hasta seis meses en aquellas Centrales Telefónicas o </w:t>
      </w:r>
      <w:r w:rsidR="00496C1A" w:rsidRPr="00422CA2">
        <w:rPr>
          <w:rFonts w:ascii="ITC Avant Garde" w:hAnsi="ITC Avant Garde"/>
          <w:bCs/>
          <w:sz w:val="22"/>
          <w:szCs w:val="22"/>
        </w:rPr>
        <w:t xml:space="preserve">Instalaciones </w:t>
      </w:r>
      <w:r w:rsidR="00E83D51" w:rsidRPr="00422CA2">
        <w:rPr>
          <w:rFonts w:ascii="ITC Avant Garde" w:hAnsi="ITC Avant Garde"/>
          <w:bCs/>
          <w:sz w:val="22"/>
          <w:szCs w:val="22"/>
        </w:rPr>
        <w:t xml:space="preserve">Equivalentes que puedan iniciar la prestación de </w:t>
      </w:r>
      <w:r w:rsidR="00B86D0A" w:rsidRPr="00422CA2">
        <w:rPr>
          <w:rFonts w:ascii="ITC Avant Garde" w:hAnsi="ITC Avant Garde"/>
          <w:bCs/>
          <w:sz w:val="22"/>
          <w:szCs w:val="22"/>
        </w:rPr>
        <w:t>s</w:t>
      </w:r>
      <w:r w:rsidR="00E83D51" w:rsidRPr="00422CA2">
        <w:rPr>
          <w:rFonts w:ascii="ITC Avant Garde" w:hAnsi="ITC Avant Garde"/>
          <w:bCs/>
          <w:sz w:val="22"/>
          <w:szCs w:val="22"/>
        </w:rPr>
        <w:t xml:space="preserve">ervicios de </w:t>
      </w:r>
      <w:r w:rsidR="00F81625" w:rsidRPr="00422CA2">
        <w:rPr>
          <w:rFonts w:ascii="ITC Avant Garde" w:hAnsi="ITC Avant Garde"/>
          <w:bCs/>
          <w:sz w:val="22"/>
          <w:szCs w:val="22"/>
        </w:rPr>
        <w:t>d</w:t>
      </w:r>
      <w:r w:rsidR="00E83D51" w:rsidRPr="00422CA2">
        <w:rPr>
          <w:rFonts w:ascii="ITC Avant Garde" w:hAnsi="ITC Avant Garde"/>
          <w:bCs/>
          <w:sz w:val="22"/>
          <w:szCs w:val="22"/>
        </w:rPr>
        <w:t xml:space="preserve">esagregación después de publicada la </w:t>
      </w:r>
      <w:r w:rsidR="00CA026A">
        <w:rPr>
          <w:rFonts w:ascii="ITC Avant Garde" w:hAnsi="ITC Avant Garde"/>
          <w:bCs/>
          <w:sz w:val="22"/>
          <w:szCs w:val="22"/>
        </w:rPr>
        <w:t>OREDA</w:t>
      </w:r>
      <w:r w:rsidR="00E83D51" w:rsidRPr="00422CA2">
        <w:rPr>
          <w:rFonts w:ascii="ITC Avant Garde" w:hAnsi="ITC Avant Garde"/>
          <w:bCs/>
          <w:sz w:val="22"/>
          <w:szCs w:val="22"/>
        </w:rPr>
        <w:t>, en ciudades o localidades</w:t>
      </w:r>
      <w:r w:rsidR="00B50D55" w:rsidRPr="00422CA2">
        <w:rPr>
          <w:rFonts w:ascii="ITC Avant Garde" w:hAnsi="ITC Avant Garde"/>
          <w:bCs/>
          <w:sz w:val="22"/>
          <w:szCs w:val="22"/>
        </w:rPr>
        <w:t>, distintas</w:t>
      </w:r>
      <w:r w:rsidR="00E83D51" w:rsidRPr="00422CA2">
        <w:rPr>
          <w:rFonts w:ascii="ITC Avant Garde" w:hAnsi="ITC Avant Garde"/>
          <w:bCs/>
          <w:sz w:val="22"/>
          <w:szCs w:val="22"/>
        </w:rPr>
        <w:t xml:space="preserve"> a las indicadas en el apartado 2.</w:t>
      </w:r>
    </w:p>
    <w:p w14:paraId="0E3E2CEE" w14:textId="2458E536" w:rsidR="00D65244" w:rsidRPr="00422CA2" w:rsidRDefault="00D65244" w:rsidP="00B303D2">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L</w:t>
      </w:r>
      <w:r w:rsidR="00310817" w:rsidRPr="00422CA2">
        <w:rPr>
          <w:rFonts w:ascii="ITC Avant Garde" w:hAnsi="ITC Avant Garde"/>
          <w:sz w:val="22"/>
          <w:szCs w:val="22"/>
          <w:lang w:val="es-ES"/>
        </w:rPr>
        <w:t xml:space="preserve">a prestación de los servicios de Desagregación bajo ninguna circunstancia estará condicionada a la entrega de </w:t>
      </w:r>
      <w:r w:rsidR="00B578DD" w:rsidRPr="00422CA2">
        <w:rPr>
          <w:rFonts w:ascii="ITC Avant Garde" w:hAnsi="ITC Avant Garde"/>
          <w:sz w:val="22"/>
          <w:szCs w:val="22"/>
          <w:lang w:val="es-ES"/>
        </w:rPr>
        <w:t>pronósticos.</w:t>
      </w:r>
    </w:p>
    <w:p w14:paraId="40E85659" w14:textId="77777777" w:rsidR="00530A32" w:rsidRPr="00422CA2" w:rsidRDefault="003A2CCB" w:rsidP="004129D1">
      <w:pPr>
        <w:pStyle w:val="Ttulo1"/>
      </w:pPr>
      <w:bookmarkStart w:id="67" w:name="_Toc436840865"/>
      <w:bookmarkStart w:id="68" w:name="_Toc436846302"/>
      <w:bookmarkStart w:id="69" w:name="_Toc436848252"/>
      <w:bookmarkStart w:id="70" w:name="_Toc436856500"/>
      <w:bookmarkStart w:id="71" w:name="_Toc436862646"/>
      <w:bookmarkStart w:id="72" w:name="_Toc436866296"/>
      <w:bookmarkStart w:id="73" w:name="_Toc436870875"/>
      <w:bookmarkStart w:id="74" w:name="_Toc436875867"/>
      <w:bookmarkStart w:id="75" w:name="_Toc437602055"/>
      <w:r w:rsidRPr="00422CA2">
        <w:t>1.2.1</w:t>
      </w:r>
      <w:r w:rsidRPr="00422CA2">
        <w:tab/>
      </w:r>
      <w:r w:rsidR="00011A1B" w:rsidRPr="00422CA2">
        <w:t>Formato de Pronóstico de servicio.</w:t>
      </w:r>
      <w:bookmarkEnd w:id="67"/>
      <w:bookmarkEnd w:id="68"/>
      <w:bookmarkEnd w:id="69"/>
      <w:bookmarkEnd w:id="70"/>
      <w:bookmarkEnd w:id="71"/>
      <w:bookmarkEnd w:id="72"/>
      <w:bookmarkEnd w:id="73"/>
      <w:bookmarkEnd w:id="74"/>
      <w:bookmarkEnd w:id="75"/>
    </w:p>
    <w:p w14:paraId="40E85665" w14:textId="10BB027C" w:rsidR="0096318C" w:rsidRPr="00422CA2" w:rsidRDefault="00285D7C"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drawing>
          <wp:inline distT="0" distB="0" distL="0" distR="0" wp14:anchorId="2BAEA3B8" wp14:editId="2F1A8A0A">
            <wp:extent cx="5613400" cy="3926678"/>
            <wp:effectExtent l="19050" t="1905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3400" cy="3926678"/>
                    </a:xfrm>
                    <a:prstGeom prst="rect">
                      <a:avLst/>
                    </a:prstGeom>
                    <a:noFill/>
                    <a:ln>
                      <a:solidFill>
                        <a:schemeClr val="tx1"/>
                      </a:solidFill>
                    </a:ln>
                  </pic:spPr>
                </pic:pic>
              </a:graphicData>
            </a:graphic>
          </wp:inline>
        </w:drawing>
      </w:r>
    </w:p>
    <w:p w14:paraId="34A1176D" w14:textId="5CED08DF" w:rsidR="00285D7C" w:rsidRPr="00422CA2" w:rsidRDefault="00285D7C"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lastRenderedPageBreak/>
        <w:drawing>
          <wp:inline distT="0" distB="0" distL="0" distR="0" wp14:anchorId="4AAF750D" wp14:editId="0976D263">
            <wp:extent cx="5612765" cy="3898232"/>
            <wp:effectExtent l="19050" t="19050" r="6985"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7108" cy="3901248"/>
                    </a:xfrm>
                    <a:prstGeom prst="rect">
                      <a:avLst/>
                    </a:prstGeom>
                    <a:noFill/>
                    <a:ln>
                      <a:solidFill>
                        <a:schemeClr val="tx1"/>
                      </a:solidFill>
                    </a:ln>
                  </pic:spPr>
                </pic:pic>
              </a:graphicData>
            </a:graphic>
          </wp:inline>
        </w:drawing>
      </w:r>
    </w:p>
    <w:p w14:paraId="2927DE41" w14:textId="53049207" w:rsidR="00285D7C" w:rsidRPr="00422CA2" w:rsidRDefault="00285D7C"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lastRenderedPageBreak/>
        <w:drawing>
          <wp:inline distT="0" distB="0" distL="0" distR="0" wp14:anchorId="42E8CA23" wp14:editId="192B4F76">
            <wp:extent cx="5613091" cy="4042611"/>
            <wp:effectExtent l="19050" t="19050" r="698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5139" cy="4044086"/>
                    </a:xfrm>
                    <a:prstGeom prst="rect">
                      <a:avLst/>
                    </a:prstGeom>
                    <a:noFill/>
                    <a:ln>
                      <a:solidFill>
                        <a:schemeClr val="tx1"/>
                      </a:solidFill>
                    </a:ln>
                  </pic:spPr>
                </pic:pic>
              </a:graphicData>
            </a:graphic>
          </wp:inline>
        </w:drawing>
      </w:r>
    </w:p>
    <w:p w14:paraId="249E9895" w14:textId="1E97511A" w:rsidR="00285D7C" w:rsidRPr="00422CA2" w:rsidRDefault="00285D7C"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drawing>
          <wp:inline distT="0" distB="0" distL="0" distR="0" wp14:anchorId="58EBB92C" wp14:editId="0E1D57F2">
            <wp:extent cx="5613160" cy="3753853"/>
            <wp:effectExtent l="19050" t="19050" r="698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0835" cy="3758986"/>
                    </a:xfrm>
                    <a:prstGeom prst="rect">
                      <a:avLst/>
                    </a:prstGeom>
                    <a:noFill/>
                    <a:ln>
                      <a:solidFill>
                        <a:schemeClr val="tx1"/>
                      </a:solidFill>
                    </a:ln>
                  </pic:spPr>
                </pic:pic>
              </a:graphicData>
            </a:graphic>
          </wp:inline>
        </w:drawing>
      </w:r>
    </w:p>
    <w:p w14:paraId="143A19B8" w14:textId="64E7DEC9" w:rsidR="00285D7C" w:rsidRPr="00422CA2" w:rsidRDefault="005B0995"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lastRenderedPageBreak/>
        <w:drawing>
          <wp:inline distT="0" distB="0" distL="0" distR="0" wp14:anchorId="76A2D890" wp14:editId="21FDA477">
            <wp:extent cx="5613366" cy="3729789"/>
            <wp:effectExtent l="19050" t="19050" r="6985" b="444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1387" cy="3735119"/>
                    </a:xfrm>
                    <a:prstGeom prst="rect">
                      <a:avLst/>
                    </a:prstGeom>
                    <a:noFill/>
                    <a:ln>
                      <a:solidFill>
                        <a:schemeClr val="tx1"/>
                      </a:solidFill>
                    </a:ln>
                  </pic:spPr>
                </pic:pic>
              </a:graphicData>
            </a:graphic>
          </wp:inline>
        </w:drawing>
      </w:r>
    </w:p>
    <w:p w14:paraId="7BD29D6E" w14:textId="03D8878B" w:rsidR="005B0995" w:rsidRPr="00422CA2" w:rsidRDefault="005B0995" w:rsidP="00743FBE">
      <w:pPr>
        <w:spacing w:line="360" w:lineRule="auto"/>
        <w:contextualSpacing/>
        <w:jc w:val="both"/>
        <w:rPr>
          <w:rFonts w:ascii="ITC Avant Garde" w:hAnsi="ITC Avant Garde"/>
          <w:sz w:val="22"/>
          <w:szCs w:val="22"/>
          <w:lang w:val="es-ES"/>
        </w:rPr>
      </w:pPr>
      <w:r w:rsidRPr="00422CA2">
        <w:rPr>
          <w:rFonts w:ascii="ITC Avant Garde" w:hAnsi="ITC Avant Garde"/>
          <w:noProof/>
          <w:lang w:val="es-MX" w:eastAsia="es-MX"/>
        </w:rPr>
        <w:drawing>
          <wp:inline distT="0" distB="0" distL="0" distR="0" wp14:anchorId="598BBF50" wp14:editId="77635A54">
            <wp:extent cx="5613400" cy="3885779"/>
            <wp:effectExtent l="19050" t="19050" r="6350" b="63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3400" cy="3885779"/>
                    </a:xfrm>
                    <a:prstGeom prst="rect">
                      <a:avLst/>
                    </a:prstGeom>
                    <a:noFill/>
                    <a:ln>
                      <a:solidFill>
                        <a:schemeClr val="tx1"/>
                      </a:solidFill>
                    </a:ln>
                  </pic:spPr>
                </pic:pic>
              </a:graphicData>
            </a:graphic>
          </wp:inline>
        </w:drawing>
      </w:r>
    </w:p>
    <w:p w14:paraId="40E85666" w14:textId="77777777" w:rsidR="00530A32" w:rsidRPr="00422CA2" w:rsidRDefault="00011A1B" w:rsidP="004129D1">
      <w:pPr>
        <w:pStyle w:val="Ttulo1"/>
      </w:pPr>
      <w:bookmarkStart w:id="76" w:name="_Toc436840866"/>
      <w:bookmarkStart w:id="77" w:name="_Toc436846303"/>
      <w:bookmarkStart w:id="78" w:name="_Toc436848253"/>
      <w:bookmarkStart w:id="79" w:name="_Toc436856501"/>
      <w:bookmarkStart w:id="80" w:name="_Toc436862647"/>
      <w:bookmarkStart w:id="81" w:name="_Toc436866297"/>
      <w:bookmarkStart w:id="82" w:name="_Toc436870876"/>
      <w:bookmarkStart w:id="83" w:name="_Toc436875868"/>
      <w:bookmarkStart w:id="84" w:name="_Toc437602056"/>
      <w:r w:rsidRPr="00422CA2">
        <w:lastRenderedPageBreak/>
        <w:t>1.3</w:t>
      </w:r>
      <w:r w:rsidR="00326841" w:rsidRPr="00422CA2">
        <w:t>.</w:t>
      </w:r>
      <w:r w:rsidRPr="00422CA2">
        <w:tab/>
        <w:t>Situación de la Acometida del usuario final.</w:t>
      </w:r>
      <w:bookmarkEnd w:id="76"/>
      <w:bookmarkEnd w:id="77"/>
      <w:bookmarkEnd w:id="78"/>
      <w:bookmarkEnd w:id="79"/>
      <w:bookmarkEnd w:id="80"/>
      <w:bookmarkEnd w:id="81"/>
      <w:bookmarkEnd w:id="82"/>
      <w:bookmarkEnd w:id="83"/>
      <w:bookmarkEnd w:id="84"/>
    </w:p>
    <w:p w14:paraId="40E85667" w14:textId="2A3E6963" w:rsidR="00530A32" w:rsidRPr="00422CA2" w:rsidRDefault="00011A1B" w:rsidP="00B303D2">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lang w:val="es-ES"/>
        </w:rPr>
        <w:t xml:space="preserve">La acometida al domicilio del usuario final </w:t>
      </w:r>
      <w:r w:rsidRPr="00422CA2">
        <w:rPr>
          <w:rFonts w:ascii="ITC Avant Garde" w:hAnsi="ITC Avant Garde"/>
          <w:sz w:val="22"/>
          <w:szCs w:val="22"/>
        </w:rPr>
        <w:t>constituye la parte común de los servicios de desagregación y</w:t>
      </w:r>
      <w:r w:rsidRPr="00422CA2">
        <w:rPr>
          <w:rFonts w:ascii="ITC Avant Garde" w:hAnsi="ITC Avant Garde"/>
          <w:sz w:val="22"/>
          <w:szCs w:val="22"/>
          <w:lang w:val="es-ES"/>
        </w:rPr>
        <w:t xml:space="preserve"> presenta dos posibles escenarios con base en la relación contractual vigente. En la </w:t>
      </w:r>
      <w:r w:rsidR="00496C1A" w:rsidRPr="00422CA2">
        <w:rPr>
          <w:rFonts w:ascii="ITC Avant Garde" w:hAnsi="ITC Avant Garde"/>
          <w:sz w:val="22"/>
          <w:szCs w:val="22"/>
          <w:lang w:val="es-ES"/>
        </w:rPr>
        <w:t>siguiente</w:t>
      </w:r>
      <w:r w:rsidRPr="00422CA2">
        <w:rPr>
          <w:rFonts w:ascii="ITC Avant Garde" w:hAnsi="ITC Avant Garde"/>
          <w:sz w:val="22"/>
          <w:szCs w:val="22"/>
          <w:lang w:val="es-ES"/>
        </w:rPr>
        <w:t xml:space="preserve"> tabla se muestra el alcance del servicio en estos casos:</w:t>
      </w:r>
    </w:p>
    <w:tbl>
      <w:tblPr>
        <w:tblW w:w="493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6"/>
        <w:gridCol w:w="3041"/>
        <w:gridCol w:w="3046"/>
      </w:tblGrid>
      <w:tr w:rsidR="00422CA2" w:rsidRPr="00422CA2" w14:paraId="40E8566B" w14:textId="77777777" w:rsidTr="00E566FA">
        <w:trPr>
          <w:trHeight w:val="502"/>
          <w:tblHeader/>
        </w:trPr>
        <w:tc>
          <w:tcPr>
            <w:tcW w:w="1507" w:type="pct"/>
            <w:shd w:val="clear" w:color="auto" w:fill="548DD4" w:themeFill="text2" w:themeFillTint="99"/>
            <w:vAlign w:val="center"/>
          </w:tcPr>
          <w:p w14:paraId="40E85668" w14:textId="77777777" w:rsidR="00530A32" w:rsidRPr="00422CA2" w:rsidRDefault="00011A1B" w:rsidP="00B303D2">
            <w:pPr>
              <w:pStyle w:val="Texto1"/>
              <w:spacing w:before="60" w:after="60" w:line="276" w:lineRule="auto"/>
              <w:ind w:left="0"/>
              <w:jc w:val="center"/>
              <w:rPr>
                <w:rFonts w:ascii="ITC Avant Garde" w:hAnsi="ITC Avant Garde"/>
                <w:b/>
                <w:sz w:val="20"/>
                <w:szCs w:val="20"/>
                <w:lang w:val="es-ES"/>
              </w:rPr>
            </w:pPr>
            <w:r w:rsidRPr="00422CA2">
              <w:rPr>
                <w:rFonts w:ascii="ITC Avant Garde" w:hAnsi="ITC Avant Garde"/>
                <w:b/>
                <w:sz w:val="20"/>
                <w:szCs w:val="20"/>
                <w:lang w:val="es-ES"/>
              </w:rPr>
              <w:t>Relación contractual actual del servicio.</w:t>
            </w:r>
          </w:p>
        </w:tc>
        <w:tc>
          <w:tcPr>
            <w:tcW w:w="1745" w:type="pct"/>
            <w:shd w:val="clear" w:color="auto" w:fill="548DD4" w:themeFill="text2" w:themeFillTint="99"/>
            <w:vAlign w:val="center"/>
          </w:tcPr>
          <w:p w14:paraId="40E85669" w14:textId="77777777" w:rsidR="00530A32" w:rsidRPr="00422CA2" w:rsidRDefault="00011A1B" w:rsidP="00B303D2">
            <w:pPr>
              <w:pStyle w:val="Texto1"/>
              <w:spacing w:before="60" w:after="60" w:line="276" w:lineRule="auto"/>
              <w:ind w:left="0"/>
              <w:jc w:val="center"/>
              <w:rPr>
                <w:rFonts w:ascii="ITC Avant Garde" w:hAnsi="ITC Avant Garde"/>
                <w:b/>
                <w:sz w:val="20"/>
                <w:szCs w:val="20"/>
                <w:lang w:val="es-ES"/>
              </w:rPr>
            </w:pPr>
            <w:r w:rsidRPr="00422CA2">
              <w:rPr>
                <w:rFonts w:ascii="ITC Avant Garde" w:hAnsi="ITC Avant Garde"/>
                <w:b/>
                <w:sz w:val="20"/>
                <w:szCs w:val="20"/>
                <w:lang w:val="es-ES"/>
              </w:rPr>
              <w:t>Condición física de la acometida.</w:t>
            </w:r>
          </w:p>
        </w:tc>
        <w:tc>
          <w:tcPr>
            <w:tcW w:w="1748" w:type="pct"/>
            <w:shd w:val="clear" w:color="auto" w:fill="548DD4" w:themeFill="text2" w:themeFillTint="99"/>
            <w:vAlign w:val="center"/>
          </w:tcPr>
          <w:p w14:paraId="40E8566A" w14:textId="77777777" w:rsidR="00530A32" w:rsidRPr="00422CA2" w:rsidRDefault="00011A1B" w:rsidP="00B303D2">
            <w:pPr>
              <w:pStyle w:val="Texto1"/>
              <w:spacing w:before="60" w:after="60" w:line="276" w:lineRule="auto"/>
              <w:ind w:left="0"/>
              <w:jc w:val="center"/>
              <w:rPr>
                <w:rFonts w:ascii="ITC Avant Garde" w:hAnsi="ITC Avant Garde"/>
                <w:b/>
                <w:sz w:val="20"/>
                <w:szCs w:val="20"/>
                <w:lang w:val="es-ES"/>
              </w:rPr>
            </w:pPr>
            <w:r w:rsidRPr="00422CA2">
              <w:rPr>
                <w:rFonts w:ascii="ITC Avant Garde" w:hAnsi="ITC Avant Garde"/>
                <w:b/>
                <w:sz w:val="20"/>
                <w:szCs w:val="20"/>
                <w:lang w:val="es-ES"/>
              </w:rPr>
              <w:t>Responsabilidad de Telmex.</w:t>
            </w:r>
          </w:p>
        </w:tc>
      </w:tr>
      <w:tr w:rsidR="00422CA2" w:rsidRPr="00422CA2" w14:paraId="40E8566F" w14:textId="77777777" w:rsidTr="00B303D2">
        <w:trPr>
          <w:trHeight w:val="537"/>
        </w:trPr>
        <w:tc>
          <w:tcPr>
            <w:tcW w:w="1507" w:type="pct"/>
            <w:vAlign w:val="center"/>
          </w:tcPr>
          <w:p w14:paraId="40E8566C"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Existe servicio telefónico y/o de datos activo, provisto por Telmex.</w:t>
            </w:r>
          </w:p>
        </w:tc>
        <w:tc>
          <w:tcPr>
            <w:tcW w:w="1745" w:type="pct"/>
            <w:vAlign w:val="center"/>
          </w:tcPr>
          <w:p w14:paraId="40E8566D"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Existe acometida directa a la casa o edificio del usuario final.</w:t>
            </w:r>
          </w:p>
        </w:tc>
        <w:tc>
          <w:tcPr>
            <w:tcW w:w="1748" w:type="pct"/>
            <w:vAlign w:val="center"/>
          </w:tcPr>
          <w:p w14:paraId="7F2715CC"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 xml:space="preserve">El bucle se entrega con la acometida actual. </w:t>
            </w:r>
          </w:p>
          <w:p w14:paraId="40E8566E" w14:textId="6FFB4855" w:rsidR="00530A32" w:rsidRPr="00422CA2" w:rsidRDefault="00A96FBE"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El mantenimiento de la Acometida, ya sea para su reparación o reemplazo será responsabilidad de Telmex.</w:t>
            </w:r>
          </w:p>
        </w:tc>
      </w:tr>
      <w:tr w:rsidR="00422CA2" w:rsidRPr="00422CA2" w14:paraId="40E85674" w14:textId="77777777" w:rsidTr="00B303D2">
        <w:trPr>
          <w:trHeight w:val="537"/>
        </w:trPr>
        <w:tc>
          <w:tcPr>
            <w:tcW w:w="1507" w:type="pct"/>
            <w:vMerge w:val="restart"/>
            <w:vAlign w:val="center"/>
          </w:tcPr>
          <w:p w14:paraId="40E85670"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No existe servicio activo al momento de la solicitud de desagregación, pero existen facilidades de Bucle o Sub-bucle.</w:t>
            </w:r>
          </w:p>
        </w:tc>
        <w:tc>
          <w:tcPr>
            <w:tcW w:w="1745" w:type="pct"/>
            <w:vAlign w:val="center"/>
          </w:tcPr>
          <w:p w14:paraId="40E85671" w14:textId="35F2B8D3"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 xml:space="preserve">Existe acometida directa a la casa o edificio del usuario final. </w:t>
            </w:r>
          </w:p>
        </w:tc>
        <w:tc>
          <w:tcPr>
            <w:tcW w:w="1748" w:type="pct"/>
            <w:vAlign w:val="center"/>
          </w:tcPr>
          <w:p w14:paraId="40E85672"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El bucle se entrega con la acometida actual.</w:t>
            </w:r>
          </w:p>
          <w:p w14:paraId="60FAC8D5" w14:textId="7896C6AA"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Si la acometida no presenta continuidad hasta el PCT</w:t>
            </w:r>
            <w:r w:rsidR="00B439DB" w:rsidRPr="00422CA2">
              <w:rPr>
                <w:rFonts w:ascii="ITC Avant Garde" w:hAnsi="ITC Avant Garde"/>
                <w:sz w:val="20"/>
                <w:szCs w:val="20"/>
                <w:lang w:val="es-ES"/>
              </w:rPr>
              <w:t>, Telmex debe instalar</w:t>
            </w:r>
            <w:r w:rsidR="00F81625" w:rsidRPr="00422CA2">
              <w:rPr>
                <w:rFonts w:ascii="ITC Avant Garde" w:hAnsi="ITC Avant Garde"/>
                <w:sz w:val="20"/>
                <w:szCs w:val="20"/>
                <w:lang w:val="es-ES"/>
              </w:rPr>
              <w:t xml:space="preserve"> </w:t>
            </w:r>
            <w:r w:rsidRPr="00422CA2">
              <w:rPr>
                <w:rFonts w:ascii="ITC Avant Garde" w:hAnsi="ITC Avant Garde"/>
                <w:sz w:val="20"/>
                <w:szCs w:val="20"/>
                <w:lang w:val="es-ES"/>
              </w:rPr>
              <w:t xml:space="preserve">la acometida </w:t>
            </w:r>
            <w:r w:rsidRPr="00422CA2">
              <w:rPr>
                <w:rFonts w:ascii="ITC Avant Garde" w:hAnsi="ITC Avant Garde"/>
                <w:b/>
                <w:sz w:val="20"/>
                <w:szCs w:val="20"/>
                <w:lang w:val="es-ES"/>
              </w:rPr>
              <w:t xml:space="preserve">sin </w:t>
            </w:r>
            <w:r w:rsidRPr="00422CA2">
              <w:rPr>
                <w:rFonts w:ascii="ITC Avant Garde" w:hAnsi="ITC Avant Garde"/>
                <w:sz w:val="20"/>
                <w:szCs w:val="20"/>
                <w:lang w:val="es-ES"/>
              </w:rPr>
              <w:t>cargo al CS.</w:t>
            </w:r>
          </w:p>
          <w:p w14:paraId="40E85673" w14:textId="62B47BB5" w:rsidR="00530A32" w:rsidRPr="00422CA2" w:rsidRDefault="008627E5"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El mantenimiento de la Acometida, ya sea para su reparación o reemplazo será responsabilidad de Telmex.</w:t>
            </w:r>
          </w:p>
        </w:tc>
      </w:tr>
      <w:tr w:rsidR="00422CA2" w:rsidRPr="00422CA2" w14:paraId="40E85678" w14:textId="77777777" w:rsidTr="00B303D2">
        <w:trPr>
          <w:trHeight w:val="196"/>
        </w:trPr>
        <w:tc>
          <w:tcPr>
            <w:tcW w:w="1507" w:type="pct"/>
            <w:vMerge/>
            <w:vAlign w:val="center"/>
          </w:tcPr>
          <w:p w14:paraId="40E85675" w14:textId="77777777" w:rsidR="00530A32" w:rsidRPr="00422CA2" w:rsidRDefault="00530A32" w:rsidP="00B303D2">
            <w:pPr>
              <w:spacing w:before="60" w:after="60" w:line="276" w:lineRule="auto"/>
              <w:rPr>
                <w:rFonts w:ascii="ITC Avant Garde" w:hAnsi="ITC Avant Garde"/>
                <w:sz w:val="20"/>
                <w:szCs w:val="20"/>
                <w:lang w:val="es-ES"/>
              </w:rPr>
            </w:pPr>
          </w:p>
        </w:tc>
        <w:tc>
          <w:tcPr>
            <w:tcW w:w="1745" w:type="pct"/>
            <w:vAlign w:val="center"/>
          </w:tcPr>
          <w:p w14:paraId="40E85676" w14:textId="77777777" w:rsidR="00530A32" w:rsidRPr="00422CA2" w:rsidRDefault="00011A1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No existe acometida directa a la casa o edificio del usuario final.</w:t>
            </w:r>
          </w:p>
        </w:tc>
        <w:tc>
          <w:tcPr>
            <w:tcW w:w="1748" w:type="pct"/>
            <w:vAlign w:val="center"/>
          </w:tcPr>
          <w:p w14:paraId="7C3F60FC" w14:textId="4B504D0F" w:rsidR="00530A32" w:rsidRPr="00422CA2" w:rsidRDefault="00B439DB"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 xml:space="preserve">Telmex debe </w:t>
            </w:r>
            <w:r w:rsidR="00011A1B" w:rsidRPr="00422CA2">
              <w:rPr>
                <w:rFonts w:ascii="ITC Avant Garde" w:hAnsi="ITC Avant Garde"/>
                <w:sz w:val="20"/>
                <w:szCs w:val="20"/>
                <w:lang w:val="es-ES"/>
              </w:rPr>
              <w:t>instala</w:t>
            </w:r>
            <w:r w:rsidRPr="00422CA2">
              <w:rPr>
                <w:rFonts w:ascii="ITC Avant Garde" w:hAnsi="ITC Avant Garde"/>
                <w:sz w:val="20"/>
                <w:szCs w:val="20"/>
                <w:lang w:val="es-ES"/>
              </w:rPr>
              <w:t>r la</w:t>
            </w:r>
            <w:r w:rsidR="00011A1B" w:rsidRPr="00422CA2">
              <w:rPr>
                <w:rFonts w:ascii="ITC Avant Garde" w:hAnsi="ITC Avant Garde"/>
                <w:sz w:val="20"/>
                <w:szCs w:val="20"/>
                <w:lang w:val="es-ES"/>
              </w:rPr>
              <w:t xml:space="preserve"> acometida hasta </w:t>
            </w:r>
            <w:r w:rsidRPr="00422CA2">
              <w:rPr>
                <w:rFonts w:ascii="ITC Avant Garde" w:hAnsi="ITC Avant Garde"/>
                <w:sz w:val="20"/>
                <w:szCs w:val="20"/>
                <w:lang w:val="es-ES"/>
              </w:rPr>
              <w:t>el</w:t>
            </w:r>
            <w:r w:rsidR="00011A1B" w:rsidRPr="00422CA2">
              <w:rPr>
                <w:rFonts w:ascii="ITC Avant Garde" w:hAnsi="ITC Avant Garde"/>
                <w:sz w:val="20"/>
                <w:szCs w:val="20"/>
                <w:lang w:val="es-ES"/>
              </w:rPr>
              <w:t xml:space="preserve"> PCT, con cargo al CS. </w:t>
            </w:r>
          </w:p>
          <w:p w14:paraId="40E85677" w14:textId="05504EE6" w:rsidR="00530A32" w:rsidRPr="00422CA2" w:rsidRDefault="008627E5" w:rsidP="00B303D2">
            <w:pPr>
              <w:spacing w:before="60" w:after="60" w:line="276" w:lineRule="auto"/>
              <w:rPr>
                <w:rFonts w:ascii="ITC Avant Garde" w:hAnsi="ITC Avant Garde"/>
                <w:sz w:val="20"/>
                <w:szCs w:val="20"/>
                <w:lang w:val="es-ES"/>
              </w:rPr>
            </w:pPr>
            <w:r w:rsidRPr="00422CA2">
              <w:rPr>
                <w:rFonts w:ascii="ITC Avant Garde" w:hAnsi="ITC Avant Garde"/>
                <w:sz w:val="20"/>
                <w:szCs w:val="20"/>
                <w:lang w:val="es-ES"/>
              </w:rPr>
              <w:t>El mantenimiento de la Acometida, ya sea para su reparación o reemplazo será responsabilidad de Telmex.</w:t>
            </w:r>
          </w:p>
        </w:tc>
      </w:tr>
    </w:tbl>
    <w:p w14:paraId="40E85679" w14:textId="59DFD9DF" w:rsidR="00DF07CF" w:rsidRPr="00422CA2" w:rsidRDefault="00397F98" w:rsidP="002166B7">
      <w:pPr>
        <w:spacing w:before="120" w:after="200" w:line="276" w:lineRule="auto"/>
        <w:ind w:firstLine="1"/>
        <w:jc w:val="center"/>
        <w:rPr>
          <w:rFonts w:ascii="ITC Avant Garde" w:hAnsi="ITC Avant Garde"/>
          <w:sz w:val="18"/>
          <w:szCs w:val="18"/>
          <w:lang w:val="es-MX"/>
        </w:rPr>
      </w:pPr>
      <w:r w:rsidRPr="00422CA2">
        <w:rPr>
          <w:rFonts w:ascii="ITC Avant Garde" w:hAnsi="ITC Avant Garde"/>
          <w:sz w:val="18"/>
          <w:szCs w:val="18"/>
          <w:lang w:val="es-MX"/>
        </w:rPr>
        <w:t xml:space="preserve">Tabla 6 </w:t>
      </w:r>
      <w:r w:rsidR="00011A1B" w:rsidRPr="00422CA2">
        <w:rPr>
          <w:rFonts w:ascii="ITC Avant Garde" w:hAnsi="ITC Avant Garde"/>
          <w:sz w:val="18"/>
          <w:szCs w:val="18"/>
          <w:lang w:val="es-MX"/>
        </w:rPr>
        <w:t>Situación de la acometida al usuario final.</w:t>
      </w:r>
    </w:p>
    <w:p w14:paraId="07BD789E" w14:textId="34FF2311" w:rsidR="00B473FF" w:rsidRPr="00422CA2" w:rsidRDefault="00011A1B" w:rsidP="00B303D2">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lang w:val="es-ES"/>
        </w:rPr>
        <w:t xml:space="preserve">Cuando Telmex instale la acometida o sea necesario que adecue la acometida existente, el CS deberá </w:t>
      </w:r>
      <w:r w:rsidR="00220D97" w:rsidRPr="00422CA2">
        <w:rPr>
          <w:rFonts w:ascii="ITC Avant Garde" w:hAnsi="ITC Avant Garde"/>
          <w:sz w:val="22"/>
          <w:szCs w:val="22"/>
          <w:lang w:val="es-ES"/>
        </w:rPr>
        <w:t>procurar</w:t>
      </w:r>
      <w:r w:rsidRPr="00422CA2">
        <w:rPr>
          <w:rFonts w:ascii="ITC Avant Garde" w:hAnsi="ITC Avant Garde"/>
          <w:sz w:val="22"/>
          <w:szCs w:val="22"/>
          <w:lang w:val="es-ES"/>
        </w:rPr>
        <w:t xml:space="preserve"> que el usuario se encuentre en el domicilio, y que éste permitirá el acceso a Telmex. En caso de visita en falso el CS deberá pagar una contraprestación equivalente a la atención de falla en falso</w:t>
      </w:r>
      <w:r w:rsidR="006201BD" w:rsidRPr="00422CA2">
        <w:rPr>
          <w:rFonts w:ascii="ITC Avant Garde" w:hAnsi="ITC Avant Garde"/>
          <w:sz w:val="22"/>
          <w:szCs w:val="22"/>
          <w:lang w:val="es-ES"/>
        </w:rPr>
        <w:t xml:space="preserve"> y en caso de que no se instale la acometida por responsabilidad de Telmex, </w:t>
      </w:r>
      <w:r w:rsidR="00496C1A" w:rsidRPr="00422CA2">
        <w:rPr>
          <w:rFonts w:ascii="ITC Avant Garde" w:hAnsi="ITC Avant Garde"/>
          <w:sz w:val="22"/>
          <w:szCs w:val="22"/>
          <w:lang w:val="es-ES"/>
        </w:rPr>
        <w:t xml:space="preserve">éste </w:t>
      </w:r>
      <w:r w:rsidR="006201BD" w:rsidRPr="00422CA2">
        <w:rPr>
          <w:rFonts w:ascii="ITC Avant Garde" w:hAnsi="ITC Avant Garde"/>
          <w:sz w:val="22"/>
          <w:szCs w:val="22"/>
          <w:lang w:val="es-ES"/>
        </w:rPr>
        <w:t xml:space="preserve">se hará acreedor a la pena correspondiente según lo estipulado en el </w:t>
      </w:r>
      <w:r w:rsidR="00496C1A" w:rsidRPr="00422CA2">
        <w:rPr>
          <w:rFonts w:ascii="ITC Avant Garde" w:hAnsi="ITC Avant Garde"/>
          <w:sz w:val="22"/>
          <w:szCs w:val="22"/>
          <w:lang w:val="es-ES"/>
        </w:rPr>
        <w:t xml:space="preserve">Anexo </w:t>
      </w:r>
      <w:r w:rsidR="006201BD" w:rsidRPr="00422CA2">
        <w:rPr>
          <w:rFonts w:ascii="ITC Avant Garde" w:hAnsi="ITC Avant Garde"/>
          <w:sz w:val="22"/>
          <w:szCs w:val="22"/>
          <w:lang w:val="es-ES"/>
        </w:rPr>
        <w:t>B</w:t>
      </w:r>
      <w:r w:rsidRPr="00422CA2">
        <w:rPr>
          <w:rFonts w:ascii="ITC Avant Garde" w:hAnsi="ITC Avant Garde"/>
          <w:sz w:val="22"/>
          <w:szCs w:val="22"/>
          <w:lang w:val="es-ES"/>
        </w:rPr>
        <w:t xml:space="preserve">. </w:t>
      </w:r>
    </w:p>
    <w:p w14:paraId="14EDF45A" w14:textId="1EF1691F" w:rsidR="00B473FF" w:rsidRPr="00422CA2" w:rsidRDefault="00B473FF" w:rsidP="00B54180">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lang w:val="es-ES"/>
        </w:rPr>
        <w:lastRenderedPageBreak/>
        <w:t>El costo de mantenimiento de la Acometida, ya sea para su reparación o reemplazo se encuentra considerado en la tarifa de cada servicio.</w:t>
      </w:r>
    </w:p>
    <w:p w14:paraId="40E8567B" w14:textId="0881F74E" w:rsidR="00530A32" w:rsidRPr="00422CA2" w:rsidRDefault="00011A1B" w:rsidP="004129D1">
      <w:pPr>
        <w:pStyle w:val="Ttulo1"/>
      </w:pPr>
      <w:bookmarkStart w:id="85" w:name="_Toc436840867"/>
      <w:bookmarkStart w:id="86" w:name="_Toc436846304"/>
      <w:bookmarkStart w:id="87" w:name="_Toc436848254"/>
      <w:bookmarkStart w:id="88" w:name="_Toc436856502"/>
      <w:bookmarkStart w:id="89" w:name="_Toc436862648"/>
      <w:bookmarkStart w:id="90" w:name="_Toc436866298"/>
      <w:bookmarkStart w:id="91" w:name="_Toc436870877"/>
      <w:bookmarkStart w:id="92" w:name="_Toc436875869"/>
      <w:bookmarkStart w:id="93" w:name="_Toc437602057"/>
      <w:r w:rsidRPr="00422CA2">
        <w:t>1.4</w:t>
      </w:r>
      <w:r w:rsidR="00326841" w:rsidRPr="00422CA2">
        <w:t>.</w:t>
      </w:r>
      <w:r w:rsidRPr="00422CA2">
        <w:tab/>
        <w:t>Recursos de red asociados a los servicios</w:t>
      </w:r>
      <w:bookmarkEnd w:id="85"/>
      <w:bookmarkEnd w:id="86"/>
      <w:bookmarkEnd w:id="87"/>
      <w:bookmarkEnd w:id="88"/>
      <w:bookmarkEnd w:id="89"/>
      <w:bookmarkEnd w:id="90"/>
      <w:bookmarkEnd w:id="91"/>
      <w:bookmarkEnd w:id="92"/>
      <w:bookmarkEnd w:id="93"/>
    </w:p>
    <w:p w14:paraId="40E8567C" w14:textId="0CF24D5C" w:rsidR="00530A32" w:rsidRPr="00422CA2" w:rsidRDefault="00011A1B" w:rsidP="00B303D2">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lang w:val="es-ES"/>
        </w:rPr>
        <w:t xml:space="preserve">Telmex prestará los servicios de desagregación </w:t>
      </w:r>
      <w:r w:rsidR="003106A7" w:rsidRPr="00422CA2">
        <w:rPr>
          <w:rFonts w:ascii="ITC Avant Garde" w:hAnsi="ITC Avant Garde"/>
          <w:sz w:val="22"/>
          <w:szCs w:val="22"/>
          <w:lang w:val="es-ES"/>
        </w:rPr>
        <w:t xml:space="preserve">–sin que sea necesaria la revisión de disponibilidad de los recursos de red– </w:t>
      </w:r>
      <w:r w:rsidRPr="00422CA2">
        <w:rPr>
          <w:rFonts w:ascii="ITC Avant Garde" w:hAnsi="ITC Avant Garde"/>
          <w:sz w:val="22"/>
          <w:szCs w:val="22"/>
          <w:lang w:val="es-ES"/>
        </w:rPr>
        <w:t>en todos los casos en que el usuario final cuente con servicio telefónico o de datos activo provisto por Telmex</w:t>
      </w:r>
      <w:r w:rsidR="00AD0A9C" w:rsidRPr="00422CA2">
        <w:rPr>
          <w:rFonts w:ascii="ITC Avant Garde" w:hAnsi="ITC Avant Garde"/>
          <w:sz w:val="22"/>
          <w:szCs w:val="22"/>
          <w:lang w:val="es-ES"/>
        </w:rPr>
        <w:t xml:space="preserve"> </w:t>
      </w:r>
      <w:r w:rsidRPr="00422CA2">
        <w:rPr>
          <w:rFonts w:ascii="ITC Avant Garde" w:hAnsi="ITC Avant Garde"/>
          <w:sz w:val="22"/>
          <w:szCs w:val="22"/>
          <w:lang w:val="es-ES"/>
        </w:rPr>
        <w:t xml:space="preserve">o existan acometidas en el domicilio del usuario final </w:t>
      </w:r>
      <w:r w:rsidR="008953E3" w:rsidRPr="00422CA2">
        <w:rPr>
          <w:rFonts w:ascii="ITC Avant Garde" w:hAnsi="ITC Avant Garde"/>
          <w:sz w:val="22"/>
          <w:szCs w:val="22"/>
          <w:lang w:val="es-ES"/>
        </w:rPr>
        <w:t>-en cuyo caso no será necesaria la factibilidad técnica asociada a los recursos de red-</w:t>
      </w:r>
      <w:r w:rsidRPr="00422CA2">
        <w:rPr>
          <w:rFonts w:ascii="ITC Avant Garde" w:hAnsi="ITC Avant Garde"/>
          <w:sz w:val="22"/>
          <w:szCs w:val="22"/>
          <w:lang w:val="es-ES"/>
        </w:rPr>
        <w:t xml:space="preserve"> o incluso cuando no existan acometidas pero Telmex cuente con los recursos de red asociados para prestar el servicio a dicho domicilio. A continuación se enlistan los recursos</w:t>
      </w:r>
      <w:r w:rsidR="00556413" w:rsidRPr="00422CA2">
        <w:rPr>
          <w:rFonts w:ascii="ITC Avant Garde" w:hAnsi="ITC Avant Garde"/>
          <w:sz w:val="22"/>
          <w:szCs w:val="22"/>
          <w:lang w:val="es-ES"/>
        </w:rPr>
        <w:t xml:space="preserve"> de red</w:t>
      </w:r>
      <w:r w:rsidRPr="00422CA2">
        <w:rPr>
          <w:rFonts w:ascii="ITC Avant Garde" w:hAnsi="ITC Avant Garde"/>
          <w:sz w:val="22"/>
          <w:szCs w:val="22"/>
          <w:lang w:val="es-ES"/>
        </w:rPr>
        <w:t xml:space="preserve"> necesarios para la existencia de factibilidad técnica, es decir, la existencia de todos los recursos de red asociados para la prestación de los servicios</w:t>
      </w:r>
      <w:r w:rsidR="00514996" w:rsidRPr="00422CA2">
        <w:rPr>
          <w:rFonts w:ascii="ITC Avant Garde" w:hAnsi="ITC Avant Garde"/>
          <w:sz w:val="22"/>
          <w:szCs w:val="22"/>
          <w:lang w:val="es-ES"/>
        </w:rPr>
        <w:t xml:space="preserve"> en los casos que no exista acometida en el domicilio del Usuario Final</w:t>
      </w:r>
      <w:r w:rsidR="00025647" w:rsidRPr="00422CA2">
        <w:rPr>
          <w:rFonts w:ascii="ITC Avant Garde" w:hAnsi="ITC Avant Garde"/>
          <w:sz w:val="22"/>
          <w:szCs w:val="22"/>
          <w:lang w:val="es-ES"/>
        </w:rPr>
        <w:t>.</w:t>
      </w:r>
    </w:p>
    <w:p w14:paraId="40E8567E" w14:textId="4EE333FC" w:rsidR="005F5364" w:rsidRPr="00422CA2" w:rsidRDefault="00011A1B" w:rsidP="00B303D2">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lang w:val="es-ES"/>
        </w:rPr>
        <w:t>En virtud de lo anterior, para poder brindar los servicios es necesario que exista disponibilidad de todos y cada uno de los siguientes recursos de red</w:t>
      </w:r>
      <w:r w:rsidRPr="00422CA2">
        <w:rPr>
          <w:rFonts w:ascii="ITC Avant Garde" w:hAnsi="ITC Avant Garde"/>
          <w:vertAlign w:val="superscript"/>
          <w:lang w:val="es-ES"/>
        </w:rPr>
        <w:footnoteReference w:id="3"/>
      </w:r>
      <w:r w:rsidRPr="00422CA2">
        <w:rPr>
          <w:rFonts w:ascii="ITC Avant Garde" w:hAnsi="ITC Avant Garde"/>
          <w:sz w:val="22"/>
          <w:szCs w:val="22"/>
          <w:lang w:val="es-ES"/>
        </w:rPr>
        <w:t>:</w:t>
      </w:r>
    </w:p>
    <w:p w14:paraId="40E85681" w14:textId="3C9FE029" w:rsidR="00530A32" w:rsidRPr="00422CA2" w:rsidRDefault="00011A1B">
      <w:pPr>
        <w:pStyle w:val="Texto1"/>
        <w:numPr>
          <w:ilvl w:val="0"/>
          <w:numId w:val="70"/>
        </w:numPr>
        <w:spacing w:after="200" w:line="276" w:lineRule="auto"/>
        <w:ind w:left="714" w:hanging="357"/>
        <w:rPr>
          <w:rFonts w:ascii="ITC Avant Garde" w:hAnsi="ITC Avant Garde"/>
          <w:sz w:val="22"/>
          <w:szCs w:val="22"/>
        </w:rPr>
      </w:pPr>
      <w:r w:rsidRPr="00422CA2">
        <w:rPr>
          <w:rFonts w:ascii="ITC Avant Garde" w:hAnsi="ITC Avant Garde"/>
          <w:b/>
          <w:sz w:val="22"/>
          <w:szCs w:val="22"/>
          <w:lang w:val="es-MX"/>
        </w:rPr>
        <w:t>SRLT:</w:t>
      </w:r>
      <w:r w:rsidRPr="00422CA2">
        <w:rPr>
          <w:rFonts w:ascii="ITC Avant Garde" w:hAnsi="ITC Avant Garde"/>
          <w:sz w:val="22"/>
          <w:szCs w:val="22"/>
          <w:lang w:val="es-MX"/>
        </w:rPr>
        <w:t xml:space="preserve"> Líneas telefónicas disponibles en central, tablillas en distribuidor general (terminales), bucle en red principal (</w:t>
      </w:r>
      <w:r w:rsidRPr="00422CA2">
        <w:rPr>
          <w:rFonts w:ascii="ITC Avant Garde" w:hAnsi="ITC Avant Garde"/>
          <w:sz w:val="22"/>
          <w:szCs w:val="22"/>
          <w:lang w:val="es-ES"/>
        </w:rPr>
        <w:t>pares metálicos de cobre que se rematan en tablillas asignadas a la Planta Externa en el DG y se llevan hasta las Cajas de Distribución)</w:t>
      </w:r>
      <w:r w:rsidRPr="00422CA2">
        <w:rPr>
          <w:rFonts w:ascii="ITC Avant Garde" w:hAnsi="ITC Avant Garde"/>
          <w:sz w:val="22"/>
          <w:szCs w:val="22"/>
          <w:lang w:val="es-MX"/>
        </w:rPr>
        <w:t xml:space="preserve"> y en red secundaria (</w:t>
      </w:r>
      <w:r w:rsidRPr="00422CA2">
        <w:rPr>
          <w:rFonts w:ascii="ITC Avant Garde" w:hAnsi="ITC Avant Garde"/>
          <w:sz w:val="22"/>
          <w:szCs w:val="22"/>
          <w:lang w:val="es-ES"/>
        </w:rPr>
        <w:t xml:space="preserve">pares metálicos de cobre que se rematan en tablillas en la CD y se llevan hasta los puntos de Dispersión-Terminales) </w:t>
      </w:r>
      <w:r w:rsidRPr="00422CA2">
        <w:rPr>
          <w:rFonts w:ascii="ITC Avant Garde" w:hAnsi="ITC Avant Garde"/>
          <w:sz w:val="22"/>
          <w:szCs w:val="22"/>
          <w:lang w:val="es-MX"/>
        </w:rPr>
        <w:t xml:space="preserve">que cumpla con los parámetros técnicos mínimos, caja terminal. </w:t>
      </w:r>
    </w:p>
    <w:p w14:paraId="40E85682" w14:textId="77777777" w:rsidR="00AE3B45" w:rsidRPr="00422CA2" w:rsidRDefault="00011A1B" w:rsidP="00B303D2">
      <w:pPr>
        <w:pStyle w:val="Texto1"/>
        <w:numPr>
          <w:ilvl w:val="0"/>
          <w:numId w:val="122"/>
        </w:numPr>
        <w:spacing w:after="200" w:line="276" w:lineRule="auto"/>
        <w:rPr>
          <w:rFonts w:ascii="ITC Avant Garde" w:hAnsi="ITC Avant Garde"/>
          <w:sz w:val="22"/>
          <w:szCs w:val="22"/>
        </w:rPr>
      </w:pPr>
      <w:r w:rsidRPr="00422CA2">
        <w:rPr>
          <w:rFonts w:ascii="ITC Avant Garde" w:hAnsi="ITC Avant Garde"/>
          <w:b/>
          <w:sz w:val="22"/>
          <w:szCs w:val="22"/>
          <w:lang w:val="es-MX"/>
        </w:rPr>
        <w:t>SRI:</w:t>
      </w:r>
      <w:r w:rsidRPr="00422CA2">
        <w:rPr>
          <w:rFonts w:ascii="ITC Avant Garde" w:hAnsi="ITC Avant Garde"/>
          <w:sz w:val="22"/>
          <w:szCs w:val="22"/>
        </w:rPr>
        <w:t xml:space="preserve"> Equipos de acceso de tecnología Ethernet:</w:t>
      </w:r>
    </w:p>
    <w:p w14:paraId="40E85683" w14:textId="5C674CC0" w:rsidR="00AE3B45" w:rsidRPr="00422CA2" w:rsidRDefault="00011A1B" w:rsidP="00B303D2">
      <w:pPr>
        <w:pStyle w:val="Texto1"/>
        <w:numPr>
          <w:ilvl w:val="1"/>
          <w:numId w:val="122"/>
        </w:numPr>
        <w:spacing w:after="200" w:line="276" w:lineRule="auto"/>
        <w:rPr>
          <w:rFonts w:ascii="ITC Avant Garde" w:hAnsi="ITC Avant Garde"/>
          <w:sz w:val="22"/>
          <w:szCs w:val="22"/>
        </w:rPr>
      </w:pPr>
      <w:r w:rsidRPr="00422CA2">
        <w:rPr>
          <w:rFonts w:ascii="ITC Avant Garde" w:hAnsi="ITC Avant Garde"/>
          <w:sz w:val="22"/>
          <w:szCs w:val="22"/>
        </w:rPr>
        <w:t>Equipo de acceso DSLAM, puerto DSLAM, par en red principal y par en red secundaria hasta la caja terminal que cumpla con los parámetros técnicos mínimos</w:t>
      </w:r>
      <w:r w:rsidR="005A758E" w:rsidRPr="00422CA2">
        <w:rPr>
          <w:rFonts w:ascii="ITC Avant Garde" w:hAnsi="ITC Avant Garde"/>
          <w:sz w:val="22"/>
          <w:szCs w:val="22"/>
        </w:rPr>
        <w:t>.</w:t>
      </w:r>
    </w:p>
    <w:p w14:paraId="40E85684" w14:textId="01F84303" w:rsidR="00AE3B45" w:rsidRPr="00422CA2" w:rsidRDefault="00011A1B" w:rsidP="00B303D2">
      <w:pPr>
        <w:pStyle w:val="Texto1"/>
        <w:numPr>
          <w:ilvl w:val="1"/>
          <w:numId w:val="122"/>
        </w:numPr>
        <w:spacing w:after="200" w:line="276" w:lineRule="auto"/>
        <w:rPr>
          <w:rFonts w:ascii="ITC Avant Garde" w:hAnsi="ITC Avant Garde"/>
          <w:sz w:val="22"/>
          <w:szCs w:val="22"/>
        </w:rPr>
      </w:pPr>
      <w:r w:rsidRPr="00422CA2">
        <w:rPr>
          <w:rFonts w:ascii="ITC Avant Garde" w:hAnsi="ITC Avant Garde"/>
          <w:sz w:val="22"/>
          <w:szCs w:val="22"/>
        </w:rPr>
        <w:t>Equipo de acceso TBA, puerto TBA, par en red secundaria hasta la caja terminal que cumpla con los parámetros técnicos mínimos.</w:t>
      </w:r>
    </w:p>
    <w:p w14:paraId="40E85685" w14:textId="77777777" w:rsidR="00AE3B45" w:rsidRPr="00422CA2" w:rsidRDefault="00011A1B" w:rsidP="00B303D2">
      <w:pPr>
        <w:pStyle w:val="Texto1"/>
        <w:numPr>
          <w:ilvl w:val="1"/>
          <w:numId w:val="122"/>
        </w:numPr>
        <w:spacing w:after="200" w:line="276" w:lineRule="auto"/>
        <w:rPr>
          <w:rFonts w:ascii="ITC Avant Garde" w:hAnsi="ITC Avant Garde"/>
          <w:sz w:val="22"/>
          <w:szCs w:val="22"/>
        </w:rPr>
      </w:pPr>
      <w:r w:rsidRPr="00422CA2">
        <w:rPr>
          <w:rFonts w:ascii="ITC Avant Garde" w:hAnsi="ITC Avant Garde"/>
          <w:sz w:val="22"/>
          <w:szCs w:val="22"/>
        </w:rPr>
        <w:t xml:space="preserve">Equipo de acceso FTTH (GPON), Puerto disponible OLT, red secundaria de fibra óptica hasta la caja terminal de fibra óptica. </w:t>
      </w:r>
    </w:p>
    <w:p w14:paraId="40E8568A" w14:textId="746F20A9" w:rsidR="00AE3B45" w:rsidRPr="00422CA2" w:rsidRDefault="00011A1B" w:rsidP="00B303D2">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lastRenderedPageBreak/>
        <w:t>SRPI:</w:t>
      </w:r>
      <w:r w:rsidRPr="00422CA2">
        <w:rPr>
          <w:rFonts w:ascii="ITC Avant Garde" w:hAnsi="ITC Avant Garde"/>
          <w:sz w:val="22"/>
          <w:szCs w:val="22"/>
          <w:lang w:val="es-MX"/>
        </w:rPr>
        <w:t xml:space="preserve"> Equipos de acceso de tecnología Ethernet</w:t>
      </w:r>
      <w:r w:rsidR="00FD413C" w:rsidRPr="00422CA2">
        <w:rPr>
          <w:rFonts w:ascii="ITC Avant Garde" w:hAnsi="ITC Avant Garde"/>
          <w:sz w:val="22"/>
          <w:szCs w:val="22"/>
          <w:lang w:val="es-MX"/>
        </w:rPr>
        <w:t>:</w:t>
      </w:r>
      <w:r w:rsidRPr="00422CA2">
        <w:rPr>
          <w:rFonts w:ascii="ITC Avant Garde" w:hAnsi="ITC Avant Garde"/>
          <w:sz w:val="22"/>
          <w:szCs w:val="22"/>
          <w:lang w:val="es-MX"/>
        </w:rPr>
        <w:t xml:space="preserve"> </w:t>
      </w:r>
    </w:p>
    <w:p w14:paraId="40E8568B" w14:textId="62E2B174" w:rsidR="00530A32" w:rsidRPr="00422CA2" w:rsidRDefault="00011A1B" w:rsidP="00B303D2">
      <w:pPr>
        <w:pStyle w:val="Texto1"/>
        <w:numPr>
          <w:ilvl w:val="1"/>
          <w:numId w:val="70"/>
        </w:numPr>
        <w:spacing w:after="200" w:line="276" w:lineRule="auto"/>
        <w:rPr>
          <w:rFonts w:ascii="ITC Avant Garde" w:hAnsi="ITC Avant Garde"/>
          <w:sz w:val="22"/>
          <w:szCs w:val="22"/>
          <w:lang w:val="es-MX"/>
        </w:rPr>
      </w:pPr>
      <w:r w:rsidRPr="00422CA2">
        <w:rPr>
          <w:rFonts w:ascii="ITC Avant Garde" w:hAnsi="ITC Avant Garde"/>
          <w:sz w:val="22"/>
          <w:szCs w:val="22"/>
          <w:lang w:val="es-MX"/>
        </w:rPr>
        <w:t xml:space="preserve">Equipo de acceso DSLAM, Línea telefónica disponible en central, puerto DSLAM, </w:t>
      </w:r>
      <w:r w:rsidR="00F26B64" w:rsidRPr="00422CA2">
        <w:rPr>
          <w:rFonts w:ascii="ITC Avant Garde" w:hAnsi="ITC Avant Garde"/>
          <w:sz w:val="22"/>
          <w:szCs w:val="22"/>
          <w:lang w:val="es-MX"/>
        </w:rPr>
        <w:t>par de cobre</w:t>
      </w:r>
      <w:r w:rsidRPr="00422CA2">
        <w:rPr>
          <w:rFonts w:ascii="ITC Avant Garde" w:hAnsi="ITC Avant Garde"/>
          <w:sz w:val="22"/>
          <w:szCs w:val="22"/>
          <w:lang w:val="es-MX"/>
        </w:rPr>
        <w:t xml:space="preserve"> en red principal y </w:t>
      </w:r>
      <w:r w:rsidR="00F26B64" w:rsidRPr="00422CA2">
        <w:rPr>
          <w:rFonts w:ascii="ITC Avant Garde" w:hAnsi="ITC Avant Garde"/>
          <w:sz w:val="22"/>
          <w:szCs w:val="22"/>
          <w:lang w:val="es-MX"/>
        </w:rPr>
        <w:t>par de cobre</w:t>
      </w:r>
      <w:r w:rsidRPr="00422CA2">
        <w:rPr>
          <w:rFonts w:ascii="ITC Avant Garde" w:hAnsi="ITC Avant Garde"/>
          <w:sz w:val="22"/>
          <w:szCs w:val="22"/>
          <w:lang w:val="es-MX"/>
        </w:rPr>
        <w:t xml:space="preserve"> en red secundaria hasta la caja terminal que cumpla con los parámetros técnicos mínimos.</w:t>
      </w:r>
    </w:p>
    <w:p w14:paraId="697FD32D" w14:textId="213815D5" w:rsidR="00C1027D" w:rsidRPr="00422CA2" w:rsidRDefault="00011A1B" w:rsidP="00C1027D">
      <w:pPr>
        <w:pStyle w:val="Texto1"/>
        <w:numPr>
          <w:ilvl w:val="1"/>
          <w:numId w:val="70"/>
        </w:numPr>
        <w:spacing w:after="200" w:line="276" w:lineRule="auto"/>
        <w:rPr>
          <w:rFonts w:ascii="ITC Avant Garde" w:hAnsi="ITC Avant Garde"/>
          <w:sz w:val="22"/>
          <w:szCs w:val="22"/>
          <w:lang w:val="es-MX"/>
        </w:rPr>
      </w:pPr>
      <w:r w:rsidRPr="00422CA2">
        <w:rPr>
          <w:rFonts w:ascii="ITC Avant Garde" w:hAnsi="ITC Avant Garde"/>
          <w:sz w:val="22"/>
          <w:szCs w:val="22"/>
        </w:rPr>
        <w:t xml:space="preserve">Equipo de acceso TBA, Línea telefónica en central, puerto TBA,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principal y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secundaria hasta la caja terminal que cumpla con los parámetros técnicos mínimos</w:t>
      </w:r>
      <w:r w:rsidR="00C1027D" w:rsidRPr="00422CA2">
        <w:rPr>
          <w:rFonts w:ascii="ITC Avant Garde" w:hAnsi="ITC Avant Garde"/>
          <w:sz w:val="22"/>
          <w:szCs w:val="22"/>
          <w:lang w:val="es-MX"/>
        </w:rPr>
        <w:t>.</w:t>
      </w:r>
    </w:p>
    <w:p w14:paraId="40E8568D" w14:textId="77777777" w:rsidR="00AE3B45" w:rsidRPr="00422CA2" w:rsidRDefault="00011A1B" w:rsidP="00B303D2">
      <w:pPr>
        <w:pStyle w:val="Texto1"/>
        <w:numPr>
          <w:ilvl w:val="1"/>
          <w:numId w:val="70"/>
        </w:numPr>
        <w:spacing w:after="200" w:line="276" w:lineRule="auto"/>
        <w:rPr>
          <w:rFonts w:ascii="ITC Avant Garde" w:hAnsi="ITC Avant Garde"/>
          <w:sz w:val="22"/>
          <w:szCs w:val="22"/>
        </w:rPr>
      </w:pPr>
      <w:r w:rsidRPr="00422CA2">
        <w:rPr>
          <w:rFonts w:ascii="ITC Avant Garde" w:hAnsi="ITC Avant Garde"/>
          <w:sz w:val="22"/>
          <w:szCs w:val="22"/>
        </w:rPr>
        <w:t>Equipo de acceso FTTH (GPON), Puerto disponible OLT, red secundaria de fibra óptica hasta la caja terminal de fibra óptica.</w:t>
      </w:r>
    </w:p>
    <w:p w14:paraId="40E85692" w14:textId="4788D4A1" w:rsidR="00AE3B45" w:rsidRPr="00422CA2" w:rsidRDefault="00011A1B" w:rsidP="00B303D2">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SAIB:</w:t>
      </w:r>
      <w:r w:rsidRPr="00422CA2">
        <w:rPr>
          <w:rFonts w:ascii="ITC Avant Garde" w:hAnsi="ITC Avant Garde"/>
          <w:sz w:val="22"/>
          <w:szCs w:val="22"/>
          <w:lang w:val="es-MX"/>
        </w:rPr>
        <w:t xml:space="preserve"> Equipos de acceso de Tecnología Ethernet</w:t>
      </w:r>
      <w:r w:rsidR="00FD413C" w:rsidRPr="00422CA2">
        <w:rPr>
          <w:rFonts w:ascii="ITC Avant Garde" w:hAnsi="ITC Avant Garde"/>
          <w:sz w:val="22"/>
          <w:szCs w:val="22"/>
          <w:lang w:val="es-MX"/>
        </w:rPr>
        <w:t>:</w:t>
      </w:r>
      <w:r w:rsidRPr="00422CA2">
        <w:rPr>
          <w:rFonts w:ascii="ITC Avant Garde" w:hAnsi="ITC Avant Garde"/>
          <w:sz w:val="22"/>
          <w:szCs w:val="22"/>
          <w:lang w:val="es-MX"/>
        </w:rPr>
        <w:t xml:space="preserve"> </w:t>
      </w:r>
    </w:p>
    <w:p w14:paraId="380C3B38" w14:textId="57E4E9E0" w:rsidR="00C1027D" w:rsidRPr="00422CA2" w:rsidRDefault="00011A1B" w:rsidP="00C1027D">
      <w:pPr>
        <w:pStyle w:val="Texto1"/>
        <w:numPr>
          <w:ilvl w:val="1"/>
          <w:numId w:val="70"/>
        </w:numPr>
        <w:spacing w:after="200" w:line="276" w:lineRule="auto"/>
        <w:rPr>
          <w:rFonts w:ascii="ITC Avant Garde" w:hAnsi="ITC Avant Garde"/>
          <w:sz w:val="22"/>
          <w:szCs w:val="22"/>
          <w:lang w:val="es-MX"/>
        </w:rPr>
      </w:pPr>
      <w:r w:rsidRPr="00422CA2">
        <w:rPr>
          <w:rFonts w:ascii="ITC Avant Garde" w:hAnsi="ITC Avant Garde"/>
          <w:sz w:val="22"/>
          <w:szCs w:val="22"/>
        </w:rPr>
        <w:t xml:space="preserve">Puerto de concentración de acceso indirecto, Equipo de acceso IPDSLAM, puerto IPDSLAM,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principal y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secundaria hasta la caja terminal que cumpla con lo</w:t>
      </w:r>
      <w:r w:rsidR="00C1027D" w:rsidRPr="00422CA2">
        <w:rPr>
          <w:rFonts w:ascii="ITC Avant Garde" w:hAnsi="ITC Avant Garde"/>
          <w:sz w:val="22"/>
          <w:szCs w:val="22"/>
        </w:rPr>
        <w:t>s parámetros técnicos mínimos</w:t>
      </w:r>
      <w:r w:rsidR="00C1027D" w:rsidRPr="00422CA2">
        <w:rPr>
          <w:rFonts w:ascii="ITC Avant Garde" w:hAnsi="ITC Avant Garde"/>
          <w:sz w:val="22"/>
          <w:szCs w:val="22"/>
          <w:lang w:val="es-MX"/>
        </w:rPr>
        <w:t>.</w:t>
      </w:r>
    </w:p>
    <w:p w14:paraId="47B3F84E" w14:textId="6206773C" w:rsidR="00C1027D" w:rsidRPr="00422CA2" w:rsidRDefault="00011A1B" w:rsidP="00C1027D">
      <w:pPr>
        <w:pStyle w:val="Texto1"/>
        <w:numPr>
          <w:ilvl w:val="1"/>
          <w:numId w:val="70"/>
        </w:numPr>
        <w:spacing w:after="200" w:line="276" w:lineRule="auto"/>
        <w:rPr>
          <w:rFonts w:ascii="ITC Avant Garde" w:hAnsi="ITC Avant Garde"/>
          <w:sz w:val="22"/>
          <w:szCs w:val="22"/>
        </w:rPr>
      </w:pPr>
      <w:r w:rsidRPr="00422CA2">
        <w:rPr>
          <w:rFonts w:ascii="ITC Avant Garde" w:hAnsi="ITC Avant Garde"/>
          <w:sz w:val="22"/>
          <w:szCs w:val="22"/>
        </w:rPr>
        <w:t xml:space="preserve">Puerto de concentración de acceso indirecto, Equipo de acceso TBA, puerto TBA,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secundaria hasta la caja terminal que cumpla con los parámetros técnicos mínimos</w:t>
      </w:r>
      <w:r w:rsidR="00C1027D" w:rsidRPr="00422CA2">
        <w:rPr>
          <w:rFonts w:ascii="ITC Avant Garde" w:hAnsi="ITC Avant Garde"/>
          <w:sz w:val="22"/>
          <w:szCs w:val="22"/>
        </w:rPr>
        <w:t>.</w:t>
      </w:r>
    </w:p>
    <w:p w14:paraId="40E85695" w14:textId="36F670FF" w:rsidR="00530A32" w:rsidRPr="00422CA2" w:rsidRDefault="00011A1B" w:rsidP="00B303D2">
      <w:pPr>
        <w:pStyle w:val="Texto1"/>
        <w:numPr>
          <w:ilvl w:val="1"/>
          <w:numId w:val="70"/>
        </w:numPr>
        <w:spacing w:after="200" w:line="276" w:lineRule="auto"/>
        <w:rPr>
          <w:rFonts w:ascii="ITC Avant Garde" w:hAnsi="ITC Avant Garde"/>
          <w:sz w:val="22"/>
          <w:szCs w:val="22"/>
        </w:rPr>
      </w:pPr>
      <w:r w:rsidRPr="00422CA2">
        <w:rPr>
          <w:rFonts w:ascii="ITC Avant Garde" w:hAnsi="ITC Avant Garde"/>
          <w:sz w:val="22"/>
          <w:szCs w:val="22"/>
        </w:rPr>
        <w:t>Puerto de concentración, Equipo de acceso FTTH (GPON), Puerto disponible en equipo de acceso, bucle en red principal, red secundaria.</w:t>
      </w:r>
    </w:p>
    <w:p w14:paraId="52423295" w14:textId="57D97935" w:rsidR="00C1027D" w:rsidRPr="00422CA2" w:rsidRDefault="00011A1B" w:rsidP="00C1027D">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SDTBL:</w:t>
      </w:r>
      <w:r w:rsidRPr="00422CA2">
        <w:rPr>
          <w:rFonts w:ascii="ITC Avant Garde" w:hAnsi="ITC Avant Garde"/>
          <w:sz w:val="22"/>
          <w:szCs w:val="22"/>
          <w:lang w:val="es-MX"/>
        </w:rPr>
        <w:t xml:space="preserve"> </w:t>
      </w:r>
      <w:r w:rsidRPr="00422CA2">
        <w:rPr>
          <w:rFonts w:ascii="ITC Avant Garde" w:hAnsi="ITC Avant Garde"/>
          <w:sz w:val="22"/>
          <w:szCs w:val="22"/>
        </w:rPr>
        <w:t xml:space="preserve">Equipo y puerto del </w:t>
      </w:r>
      <w:r w:rsidR="00036FA4" w:rsidRPr="00422CA2">
        <w:rPr>
          <w:rFonts w:ascii="ITC Avant Garde" w:hAnsi="ITC Avant Garde"/>
          <w:sz w:val="22"/>
          <w:szCs w:val="22"/>
        </w:rPr>
        <w:t>CS</w:t>
      </w:r>
      <w:r w:rsidRPr="00422CA2">
        <w:rPr>
          <w:rFonts w:ascii="ITC Avant Garde" w:hAnsi="ITC Avant Garde"/>
          <w:sz w:val="22"/>
          <w:szCs w:val="22"/>
        </w:rPr>
        <w:t xml:space="preserve">,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principal y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secundaria hasta la terminal que cumpla con los parámetros técnicos mínimos</w:t>
      </w:r>
      <w:r w:rsidRPr="00422CA2">
        <w:rPr>
          <w:rFonts w:ascii="ITC Avant Garde" w:hAnsi="ITC Avant Garde"/>
          <w:sz w:val="22"/>
          <w:szCs w:val="22"/>
          <w:lang w:val="es-MX"/>
        </w:rPr>
        <w:t>.</w:t>
      </w:r>
    </w:p>
    <w:p w14:paraId="625A5F21" w14:textId="751F11F7" w:rsidR="00C1027D" w:rsidRPr="00422CA2" w:rsidRDefault="00011A1B" w:rsidP="00C1027D">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SDTSBL:</w:t>
      </w:r>
      <w:r w:rsidRPr="00422CA2">
        <w:rPr>
          <w:rFonts w:ascii="ITC Avant Garde" w:hAnsi="ITC Avant Garde"/>
          <w:sz w:val="22"/>
          <w:szCs w:val="22"/>
          <w:lang w:val="es-MX"/>
        </w:rPr>
        <w:t xml:space="preserve"> Equipo en el </w:t>
      </w:r>
      <w:r w:rsidR="00F00F60" w:rsidRPr="00422CA2">
        <w:rPr>
          <w:rFonts w:ascii="ITC Avant Garde" w:hAnsi="ITC Avant Garde"/>
          <w:sz w:val="22"/>
          <w:szCs w:val="22"/>
          <w:lang w:val="es-MX"/>
        </w:rPr>
        <w:t>Anexo de Caja de Distribución</w:t>
      </w:r>
      <w:r w:rsidRPr="00422CA2">
        <w:rPr>
          <w:rFonts w:ascii="ITC Avant Garde" w:hAnsi="ITC Avant Garde"/>
          <w:sz w:val="22"/>
          <w:szCs w:val="22"/>
          <w:lang w:val="es-MX"/>
        </w:rPr>
        <w:t xml:space="preserve"> y puerto del </w:t>
      </w:r>
      <w:r w:rsidR="00036FA4" w:rsidRPr="00422CA2">
        <w:rPr>
          <w:rFonts w:ascii="ITC Avant Garde" w:hAnsi="ITC Avant Garde"/>
          <w:sz w:val="22"/>
          <w:szCs w:val="22"/>
          <w:lang w:val="es-MX"/>
        </w:rPr>
        <w:t>CS</w:t>
      </w:r>
      <w:r w:rsidRPr="00422CA2">
        <w:rPr>
          <w:rFonts w:ascii="ITC Avant Garde" w:hAnsi="ITC Avant Garde"/>
          <w:sz w:val="22"/>
          <w:szCs w:val="22"/>
          <w:lang w:val="es-MX"/>
        </w:rPr>
        <w:t>, Par de cobre de red secundaria, caja terminal que cumplan con los parámetros técnicos mínimos.</w:t>
      </w:r>
    </w:p>
    <w:p w14:paraId="40E856A0" w14:textId="0340E6DE" w:rsidR="00A02D6F" w:rsidRPr="00422CA2" w:rsidRDefault="00011A1B" w:rsidP="00B303D2">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SDCBL:</w:t>
      </w:r>
      <w:r w:rsidRPr="00422CA2">
        <w:rPr>
          <w:rFonts w:ascii="ITC Avant Garde" w:hAnsi="ITC Avant Garde"/>
          <w:sz w:val="22"/>
          <w:szCs w:val="22"/>
          <w:lang w:val="es-MX"/>
        </w:rPr>
        <w:t xml:space="preserve"> </w:t>
      </w:r>
      <w:r w:rsidRPr="00422CA2">
        <w:rPr>
          <w:rFonts w:ascii="ITC Avant Garde" w:hAnsi="ITC Avant Garde"/>
          <w:sz w:val="22"/>
          <w:szCs w:val="22"/>
        </w:rPr>
        <w:t xml:space="preserve">Equipo y puerto del </w:t>
      </w:r>
      <w:r w:rsidR="00036FA4" w:rsidRPr="00422CA2">
        <w:rPr>
          <w:rFonts w:ascii="ITC Avant Garde" w:hAnsi="ITC Avant Garde"/>
          <w:sz w:val="22"/>
          <w:szCs w:val="22"/>
        </w:rPr>
        <w:t>CS</w:t>
      </w:r>
      <w:r w:rsidRPr="00422CA2">
        <w:rPr>
          <w:rFonts w:ascii="ITC Avant Garde" w:hAnsi="ITC Avant Garde"/>
          <w:sz w:val="22"/>
          <w:szCs w:val="22"/>
        </w:rPr>
        <w:t xml:space="preserve">, Líneas disponibles de voz, tablillas en distribuidor general con splitter, </w:t>
      </w:r>
      <w:r w:rsidR="00F26B64" w:rsidRPr="00422CA2">
        <w:rPr>
          <w:rFonts w:ascii="ITC Avant Garde" w:hAnsi="ITC Avant Garde"/>
          <w:sz w:val="22"/>
          <w:szCs w:val="22"/>
        </w:rPr>
        <w:t>par de cobre</w:t>
      </w:r>
      <w:r w:rsidRPr="00422CA2">
        <w:rPr>
          <w:rFonts w:ascii="ITC Avant Garde" w:hAnsi="ITC Avant Garde"/>
          <w:sz w:val="22"/>
          <w:szCs w:val="22"/>
        </w:rPr>
        <w:t xml:space="preserve"> en red principal</w:t>
      </w:r>
      <w:r w:rsidR="00FD413C" w:rsidRPr="00422CA2">
        <w:rPr>
          <w:rFonts w:ascii="ITC Avant Garde" w:hAnsi="ITC Avant Garde"/>
          <w:sz w:val="22"/>
          <w:szCs w:val="22"/>
        </w:rPr>
        <w:t>,</w:t>
      </w:r>
      <w:r w:rsidRPr="00422CA2">
        <w:rPr>
          <w:rFonts w:ascii="ITC Avant Garde" w:hAnsi="ITC Avant Garde"/>
          <w:sz w:val="22"/>
          <w:szCs w:val="22"/>
        </w:rPr>
        <w:t xml:space="preserve"> </w:t>
      </w:r>
      <w:r w:rsidR="00F26B64" w:rsidRPr="00422CA2">
        <w:rPr>
          <w:rFonts w:ascii="ITC Avant Garde" w:hAnsi="ITC Avant Garde"/>
          <w:sz w:val="22"/>
          <w:szCs w:val="22"/>
        </w:rPr>
        <w:t>par de cobre</w:t>
      </w:r>
      <w:r w:rsidR="00FD413C" w:rsidRPr="00422CA2">
        <w:rPr>
          <w:rFonts w:ascii="ITC Avant Garde" w:hAnsi="ITC Avant Garde"/>
          <w:sz w:val="22"/>
          <w:szCs w:val="22"/>
        </w:rPr>
        <w:t xml:space="preserve"> en red secundaria y</w:t>
      </w:r>
      <w:r w:rsidRPr="00422CA2">
        <w:rPr>
          <w:rFonts w:ascii="ITC Avant Garde" w:hAnsi="ITC Avant Garde"/>
          <w:sz w:val="22"/>
          <w:szCs w:val="22"/>
        </w:rPr>
        <w:t xml:space="preserve"> caja terminal</w:t>
      </w:r>
      <w:r w:rsidRPr="00422CA2">
        <w:rPr>
          <w:rFonts w:ascii="ITC Avant Garde" w:hAnsi="ITC Avant Garde"/>
          <w:sz w:val="22"/>
          <w:szCs w:val="22"/>
          <w:lang w:val="es-MX"/>
        </w:rPr>
        <w:t xml:space="preserve">. </w:t>
      </w:r>
    </w:p>
    <w:p w14:paraId="40E856A5" w14:textId="21E6DBCA" w:rsidR="00530A32" w:rsidRPr="00422CA2" w:rsidRDefault="00011A1B" w:rsidP="001613C6">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SDCSBL:</w:t>
      </w:r>
      <w:r w:rsidRPr="00422CA2">
        <w:rPr>
          <w:rFonts w:ascii="ITC Avant Garde" w:hAnsi="ITC Avant Garde"/>
          <w:sz w:val="22"/>
          <w:szCs w:val="22"/>
          <w:lang w:val="es-MX"/>
        </w:rPr>
        <w:t xml:space="preserve"> </w:t>
      </w:r>
      <w:r w:rsidRPr="00422CA2">
        <w:rPr>
          <w:rFonts w:ascii="ITC Avant Garde" w:hAnsi="ITC Avant Garde"/>
          <w:sz w:val="22"/>
          <w:szCs w:val="22"/>
        </w:rPr>
        <w:t xml:space="preserve">Equipo en el </w:t>
      </w:r>
      <w:r w:rsidR="00F00F60" w:rsidRPr="00422CA2">
        <w:rPr>
          <w:rFonts w:ascii="ITC Avant Garde" w:hAnsi="ITC Avant Garde"/>
          <w:sz w:val="22"/>
          <w:szCs w:val="22"/>
        </w:rPr>
        <w:t>Anexo de Caja de Distribución</w:t>
      </w:r>
      <w:r w:rsidRPr="00422CA2">
        <w:rPr>
          <w:rFonts w:ascii="ITC Avant Garde" w:hAnsi="ITC Avant Garde"/>
          <w:sz w:val="22"/>
          <w:szCs w:val="22"/>
        </w:rPr>
        <w:t xml:space="preserve"> y puerto, Líneas disponibles de voz, tablillas en distribuidor general, Par de cobre de red secundaria, tablillas con </w:t>
      </w:r>
      <w:r w:rsidRPr="00422CA2">
        <w:rPr>
          <w:rFonts w:ascii="ITC Avant Garde" w:hAnsi="ITC Avant Garde"/>
          <w:i/>
          <w:sz w:val="22"/>
          <w:szCs w:val="22"/>
        </w:rPr>
        <w:t>splitter</w:t>
      </w:r>
      <w:r w:rsidRPr="00422CA2">
        <w:rPr>
          <w:rFonts w:ascii="ITC Avant Garde" w:hAnsi="ITC Avant Garde"/>
          <w:sz w:val="22"/>
          <w:szCs w:val="22"/>
        </w:rPr>
        <w:t xml:space="preserve"> en el Anexo de Caja </w:t>
      </w:r>
      <w:r w:rsidR="00F00F60" w:rsidRPr="00422CA2">
        <w:rPr>
          <w:rFonts w:ascii="ITC Avant Garde" w:hAnsi="ITC Avant Garde"/>
          <w:sz w:val="22"/>
          <w:szCs w:val="22"/>
        </w:rPr>
        <w:t>de Distribución</w:t>
      </w:r>
      <w:r w:rsidRPr="00422CA2">
        <w:rPr>
          <w:rFonts w:ascii="ITC Avant Garde" w:hAnsi="ITC Avant Garde"/>
          <w:sz w:val="22"/>
          <w:szCs w:val="22"/>
          <w:lang w:val="es-MX"/>
        </w:rPr>
        <w:t xml:space="preserve">. </w:t>
      </w:r>
    </w:p>
    <w:p w14:paraId="40E856A6" w14:textId="308AABFA" w:rsidR="00A47C08" w:rsidRPr="00422CA2" w:rsidRDefault="00011A1B" w:rsidP="00B303D2">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lastRenderedPageBreak/>
        <w:t xml:space="preserve">Coubicación: </w:t>
      </w:r>
      <w:r w:rsidRPr="00422CA2">
        <w:rPr>
          <w:rFonts w:ascii="ITC Avant Garde" w:hAnsi="ITC Avant Garde"/>
          <w:sz w:val="22"/>
          <w:szCs w:val="22"/>
          <w:lang w:val="es-MX"/>
        </w:rPr>
        <w:t xml:space="preserve">Disponibilidad de espacio, disponibilidad de energía eléctrica alterna y directa, equipo </w:t>
      </w:r>
      <w:r w:rsidR="001C45BD" w:rsidRPr="00422CA2">
        <w:rPr>
          <w:rFonts w:ascii="ITC Avant Garde" w:hAnsi="ITC Avant Garde"/>
          <w:sz w:val="22"/>
          <w:szCs w:val="22"/>
          <w:lang w:val="es-MX"/>
        </w:rPr>
        <w:t>de aire acondicionado</w:t>
      </w:r>
      <w:r w:rsidRPr="00422CA2">
        <w:rPr>
          <w:rFonts w:ascii="ITC Avant Garde" w:hAnsi="ITC Avant Garde"/>
          <w:sz w:val="22"/>
          <w:szCs w:val="22"/>
          <w:lang w:val="es-MX"/>
        </w:rPr>
        <w:t>, material para construir infraestructura de escalerillas, canaletas, bajadas y ductos.</w:t>
      </w:r>
    </w:p>
    <w:p w14:paraId="40E856A7" w14:textId="0308C4A2" w:rsidR="00A47C08" w:rsidRPr="00422CA2" w:rsidRDefault="00011A1B" w:rsidP="00B303D2">
      <w:pPr>
        <w:pStyle w:val="Texto1"/>
        <w:numPr>
          <w:ilvl w:val="0"/>
          <w:numId w:val="70"/>
        </w:numPr>
        <w:spacing w:after="200" w:line="276" w:lineRule="auto"/>
        <w:rPr>
          <w:rFonts w:ascii="ITC Avant Garde" w:hAnsi="ITC Avant Garde"/>
          <w:sz w:val="22"/>
          <w:szCs w:val="22"/>
          <w:lang w:val="es-MX"/>
        </w:rPr>
      </w:pPr>
      <w:r w:rsidRPr="00422CA2">
        <w:rPr>
          <w:rFonts w:ascii="ITC Avant Garde" w:hAnsi="ITC Avant Garde"/>
          <w:b/>
          <w:sz w:val="22"/>
          <w:szCs w:val="22"/>
          <w:lang w:val="es-MX"/>
        </w:rPr>
        <w:t>SCyD:</w:t>
      </w:r>
      <w:r w:rsidRPr="00422CA2">
        <w:rPr>
          <w:rFonts w:ascii="ITC Avant Garde" w:hAnsi="ITC Avant Garde"/>
          <w:sz w:val="22"/>
          <w:szCs w:val="22"/>
          <w:lang w:val="es-MX"/>
        </w:rPr>
        <w:t xml:space="preserve"> Puertos (pCAI) a través de la red Carrier Ethernet.</w:t>
      </w:r>
    </w:p>
    <w:p w14:paraId="40E856AA" w14:textId="7BA5BA0E" w:rsidR="00530A32" w:rsidRPr="00422CA2" w:rsidRDefault="00011A1B">
      <w:pPr>
        <w:pStyle w:val="Texto1"/>
        <w:numPr>
          <w:ilvl w:val="0"/>
          <w:numId w:val="70"/>
        </w:numPr>
        <w:spacing w:after="200" w:line="276" w:lineRule="auto"/>
        <w:rPr>
          <w:rFonts w:ascii="ITC Avant Garde" w:hAnsi="ITC Avant Garde"/>
          <w:sz w:val="22"/>
          <w:szCs w:val="22"/>
        </w:rPr>
      </w:pPr>
      <w:r w:rsidRPr="00422CA2">
        <w:rPr>
          <w:rFonts w:ascii="ITC Avant Garde" w:hAnsi="ITC Avant Garde"/>
          <w:b/>
          <w:sz w:val="22"/>
          <w:szCs w:val="22"/>
          <w:lang w:val="es-MX"/>
        </w:rPr>
        <w:t>Cableado Multipar:</w:t>
      </w:r>
      <w:r w:rsidRPr="00422CA2">
        <w:rPr>
          <w:rFonts w:ascii="ITC Avant Garde" w:hAnsi="ITC Avant Garde"/>
          <w:sz w:val="22"/>
          <w:szCs w:val="22"/>
          <w:lang w:val="es-MX"/>
        </w:rPr>
        <w:t xml:space="preserve"> Espacio </w:t>
      </w:r>
      <w:r w:rsidR="00F72FBC" w:rsidRPr="00422CA2">
        <w:rPr>
          <w:rFonts w:ascii="ITC Avant Garde" w:hAnsi="ITC Avant Garde"/>
          <w:sz w:val="22"/>
          <w:szCs w:val="22"/>
          <w:lang w:val="es-MX"/>
        </w:rPr>
        <w:t xml:space="preserve">en </w:t>
      </w:r>
      <w:r w:rsidRPr="00422CA2">
        <w:rPr>
          <w:rFonts w:ascii="ITC Avant Garde" w:hAnsi="ITC Avant Garde"/>
          <w:sz w:val="22"/>
          <w:szCs w:val="22"/>
          <w:lang w:val="es-MX"/>
        </w:rPr>
        <w:t xml:space="preserve">Distribuidor General </w:t>
      </w:r>
      <w:r w:rsidR="00F72FBC" w:rsidRPr="00422CA2">
        <w:rPr>
          <w:rFonts w:ascii="ITC Avant Garde" w:hAnsi="ITC Avant Garde"/>
          <w:sz w:val="22"/>
          <w:szCs w:val="22"/>
          <w:lang w:val="es-MX"/>
        </w:rPr>
        <w:t>de</w:t>
      </w:r>
      <w:r w:rsidRPr="00422CA2">
        <w:rPr>
          <w:rFonts w:ascii="ITC Avant Garde" w:hAnsi="ITC Avant Garde"/>
          <w:sz w:val="22"/>
          <w:szCs w:val="22"/>
          <w:lang w:val="es-MX"/>
        </w:rPr>
        <w:t xml:space="preserve"> Telmex, infraestructura de escalerilla para cable multipar entre las salas. </w:t>
      </w:r>
    </w:p>
    <w:p w14:paraId="40E856AD" w14:textId="4C67AA98" w:rsidR="00530A32" w:rsidRPr="00422CA2" w:rsidRDefault="00011A1B">
      <w:pPr>
        <w:pStyle w:val="Texto1"/>
        <w:numPr>
          <w:ilvl w:val="0"/>
          <w:numId w:val="70"/>
        </w:numPr>
        <w:spacing w:after="200" w:line="276" w:lineRule="auto"/>
        <w:rPr>
          <w:rFonts w:ascii="ITC Avant Garde" w:hAnsi="ITC Avant Garde"/>
          <w:sz w:val="22"/>
          <w:szCs w:val="22"/>
        </w:rPr>
      </w:pPr>
      <w:r w:rsidRPr="00422CA2">
        <w:rPr>
          <w:rFonts w:ascii="ITC Avant Garde" w:hAnsi="ITC Avant Garde"/>
          <w:b/>
          <w:sz w:val="22"/>
          <w:szCs w:val="22"/>
        </w:rPr>
        <w:t>Anexo de Caja de Distribución:</w:t>
      </w:r>
      <w:r w:rsidRPr="00422CA2">
        <w:rPr>
          <w:rFonts w:ascii="ITC Avant Garde" w:hAnsi="ITC Avant Garde"/>
          <w:sz w:val="22"/>
          <w:szCs w:val="22"/>
        </w:rPr>
        <w:t xml:space="preserve"> Factibilidad de ranurar el envolvente del </w:t>
      </w:r>
      <w:r w:rsidR="00775272" w:rsidRPr="00422CA2">
        <w:rPr>
          <w:rFonts w:ascii="ITC Avant Garde" w:hAnsi="ITC Avant Garde"/>
          <w:sz w:val="22"/>
          <w:szCs w:val="22"/>
        </w:rPr>
        <w:t>Anexo de Caja de Distribución</w:t>
      </w:r>
      <w:r w:rsidRPr="00422CA2">
        <w:rPr>
          <w:rFonts w:ascii="ITC Avant Garde" w:hAnsi="ITC Avant Garde"/>
          <w:sz w:val="22"/>
          <w:szCs w:val="22"/>
        </w:rPr>
        <w:t xml:space="preserve">, que no exista afectación a servicios subterráneos existentes (gas, tomas de agua, etc.), espacio físico disponible a un costado de la Caja de Distribución, espacio disponible en el Anexo de Caja </w:t>
      </w:r>
      <w:r w:rsidR="00F00F60" w:rsidRPr="00422CA2">
        <w:rPr>
          <w:rFonts w:ascii="ITC Avant Garde" w:hAnsi="ITC Avant Garde"/>
          <w:sz w:val="22"/>
          <w:szCs w:val="22"/>
        </w:rPr>
        <w:t xml:space="preserve">de Distribución </w:t>
      </w:r>
      <w:r w:rsidRPr="00422CA2">
        <w:rPr>
          <w:rFonts w:ascii="ITC Avant Garde" w:hAnsi="ITC Avant Garde"/>
          <w:sz w:val="22"/>
          <w:szCs w:val="22"/>
        </w:rPr>
        <w:t xml:space="preserve">para instalación de tablillas, que el proyecto de construcción del pozo del CS cumpla con lo establecido en </w:t>
      </w:r>
      <w:r w:rsidR="00BB59EA" w:rsidRPr="00422CA2">
        <w:rPr>
          <w:rFonts w:ascii="ITC Avant Garde" w:hAnsi="ITC Avant Garde"/>
          <w:sz w:val="22"/>
          <w:szCs w:val="22"/>
        </w:rPr>
        <w:t xml:space="preserve">el </w:t>
      </w:r>
      <w:r w:rsidR="00615DF4" w:rsidRPr="00422CA2">
        <w:rPr>
          <w:rFonts w:ascii="ITC Avant Garde" w:hAnsi="ITC Avant Garde"/>
          <w:sz w:val="22"/>
          <w:szCs w:val="22"/>
        </w:rPr>
        <w:t>numeral 9.7 del apartado SERVICIO AUXILIAR DE ANEXO DE CAJA DE DISTRIBUCIÓN</w:t>
      </w:r>
      <w:r w:rsidRPr="00422CA2">
        <w:rPr>
          <w:rFonts w:ascii="ITC Avant Garde" w:hAnsi="ITC Avant Garde"/>
          <w:sz w:val="22"/>
          <w:szCs w:val="22"/>
        </w:rPr>
        <w:t xml:space="preserve">. </w:t>
      </w:r>
    </w:p>
    <w:p w14:paraId="40E856AE" w14:textId="21AFDF6C" w:rsidR="009D7791" w:rsidRPr="00422CA2" w:rsidDel="00CA643F" w:rsidRDefault="009D7791" w:rsidP="00B303D2">
      <w:pPr>
        <w:pStyle w:val="Texto1"/>
        <w:spacing w:after="200" w:line="276" w:lineRule="auto"/>
        <w:ind w:left="0"/>
        <w:rPr>
          <w:rFonts w:ascii="ITC Avant Garde" w:hAnsi="ITC Avant Garde"/>
          <w:sz w:val="22"/>
          <w:szCs w:val="22"/>
        </w:rPr>
      </w:pPr>
      <w:r w:rsidRPr="00422CA2">
        <w:rPr>
          <w:rFonts w:ascii="ITC Avant Garde" w:hAnsi="ITC Avant Garde"/>
          <w:sz w:val="22"/>
          <w:szCs w:val="22"/>
        </w:rPr>
        <w:t>Cada vez que se nieguen los servicios por la falta de alguno de los elementos mencionados anteriormente, se enviará justificación al CS señalando el elemento faltante.</w:t>
      </w:r>
    </w:p>
    <w:p w14:paraId="40E856B0" w14:textId="77777777" w:rsidR="00D17392" w:rsidRPr="00422CA2" w:rsidRDefault="00326841" w:rsidP="00B303D2">
      <w:pPr>
        <w:pStyle w:val="Texto1"/>
        <w:spacing w:after="200" w:line="276" w:lineRule="auto"/>
        <w:ind w:left="0"/>
        <w:contextualSpacing/>
        <w:rPr>
          <w:rFonts w:ascii="ITC Avant Garde" w:hAnsi="ITC Avant Garde"/>
          <w:sz w:val="22"/>
          <w:szCs w:val="22"/>
          <w:lang w:val="es-ES"/>
        </w:rPr>
      </w:pPr>
      <w:r w:rsidRPr="00422CA2">
        <w:rPr>
          <w:rFonts w:ascii="ITC Avant Garde" w:hAnsi="ITC Avant Garde"/>
          <w:sz w:val="22"/>
          <w:szCs w:val="22"/>
        </w:rPr>
        <w:t xml:space="preserve">La ausencia de los elementos arriba señalados será notificada a los CS mediante las </w:t>
      </w:r>
      <w:r w:rsidR="00D17392" w:rsidRPr="00422CA2">
        <w:rPr>
          <w:rFonts w:ascii="ITC Avant Garde" w:hAnsi="ITC Avant Garde"/>
          <w:sz w:val="22"/>
          <w:szCs w:val="22"/>
        </w:rPr>
        <w:t>siguientes causas de rechazo</w:t>
      </w:r>
      <w:r w:rsidR="00D17392" w:rsidRPr="00422CA2">
        <w:rPr>
          <w:rFonts w:ascii="ITC Avant Garde" w:hAnsi="ITC Avant Garde"/>
          <w:sz w:val="22"/>
          <w:szCs w:val="22"/>
          <w:lang w:val="es-ES"/>
        </w:rPr>
        <w:t>:</w:t>
      </w:r>
    </w:p>
    <w:p w14:paraId="40E856B1" w14:textId="56DADF99" w:rsidR="00CA643F" w:rsidRPr="00422CA2" w:rsidRDefault="00971BD9"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r>
      <w:r w:rsidR="00D17392" w:rsidRPr="00422CA2">
        <w:rPr>
          <w:rFonts w:ascii="ITC Avant Garde" w:hAnsi="ITC Avant Garde"/>
          <w:b/>
          <w:sz w:val="22"/>
          <w:szCs w:val="22"/>
        </w:rPr>
        <w:t>SRL</w:t>
      </w:r>
      <w:r w:rsidRPr="00422CA2">
        <w:rPr>
          <w:rFonts w:ascii="ITC Avant Garde" w:hAnsi="ITC Avant Garde"/>
          <w:sz w:val="22"/>
          <w:szCs w:val="22"/>
        </w:rPr>
        <w:t>: No hay facilidades de Líneas Telefónicas</w:t>
      </w:r>
      <w:r w:rsidR="00D17392" w:rsidRPr="00422CA2">
        <w:rPr>
          <w:rFonts w:ascii="ITC Avant Garde" w:hAnsi="ITC Avant Garde"/>
          <w:sz w:val="22"/>
          <w:szCs w:val="22"/>
        </w:rPr>
        <w:t>, No hay facilidades de Red Principal, No hay facilidades de Dispositivos; No hay facilidades de Red Secundaria; No hay disponibilidad para este servicio, el % de ocupación es mayor al 70%</w:t>
      </w:r>
      <w:r w:rsidR="001F0DA0" w:rsidRPr="00422CA2">
        <w:rPr>
          <w:rFonts w:ascii="ITC Avant Garde" w:hAnsi="ITC Avant Garde"/>
          <w:sz w:val="22"/>
          <w:szCs w:val="22"/>
        </w:rPr>
        <w:t>.</w:t>
      </w:r>
    </w:p>
    <w:p w14:paraId="40E856B2" w14:textId="72D723BC" w:rsidR="00D17392" w:rsidRPr="00422CA2" w:rsidRDefault="00D17392"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SRI y SRPI</w:t>
      </w:r>
      <w:r w:rsidRPr="00422CA2">
        <w:rPr>
          <w:rFonts w:ascii="ITC Avant Garde" w:hAnsi="ITC Avant Garde"/>
          <w:sz w:val="22"/>
          <w:szCs w:val="22"/>
        </w:rPr>
        <w:t>: No hay facilidades de Líneas Telefónicas, No hay facilidades de Red Principal; No hay facilidades de Red Secundaria; No es factible validar las facilidades para este servicio; Calificación del Bucle (Distancia/Velocidad)</w:t>
      </w:r>
      <w:r w:rsidR="00E64508" w:rsidRPr="00422CA2">
        <w:rPr>
          <w:rFonts w:ascii="ITC Avant Garde" w:hAnsi="ITC Avant Garde"/>
          <w:sz w:val="22"/>
          <w:szCs w:val="22"/>
        </w:rPr>
        <w:t xml:space="preserve"> inadecuada</w:t>
      </w:r>
      <w:r w:rsidRPr="00422CA2">
        <w:rPr>
          <w:rFonts w:ascii="ITC Avant Garde" w:hAnsi="ITC Avant Garde"/>
          <w:sz w:val="22"/>
          <w:szCs w:val="22"/>
        </w:rPr>
        <w:t>; No hay disponibilidad para este servicio, el % de ocupación es mayor al 70%</w:t>
      </w:r>
      <w:r w:rsidR="001F0DA0" w:rsidRPr="00422CA2">
        <w:rPr>
          <w:rFonts w:ascii="ITC Avant Garde" w:hAnsi="ITC Avant Garde"/>
          <w:sz w:val="22"/>
          <w:szCs w:val="22"/>
        </w:rPr>
        <w:t>.</w:t>
      </w:r>
    </w:p>
    <w:p w14:paraId="40E856B3" w14:textId="651B8489" w:rsidR="00D17392" w:rsidRPr="00422CA2" w:rsidRDefault="00D17392"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SAIB</w:t>
      </w:r>
      <w:r w:rsidRPr="00422CA2">
        <w:rPr>
          <w:rFonts w:ascii="ITC Avant Garde" w:hAnsi="ITC Avant Garde"/>
          <w:sz w:val="22"/>
          <w:szCs w:val="22"/>
        </w:rPr>
        <w:t>: No hay facilidades de Acceso (Bastidor, repisa, tarjeta puerto); No hay facilidades de Red Principal; No hay facilidades de Red Secundaria; No hay SCyD; No hay disponibilidad para este servicio, el % de ocupación es mayor al 70%; Calificación del Bucle (Distancia/Velocidad)</w:t>
      </w:r>
      <w:r w:rsidR="001F0DA0" w:rsidRPr="00422CA2">
        <w:rPr>
          <w:rFonts w:ascii="ITC Avant Garde" w:hAnsi="ITC Avant Garde"/>
          <w:sz w:val="22"/>
          <w:szCs w:val="22"/>
        </w:rPr>
        <w:t>.</w:t>
      </w:r>
    </w:p>
    <w:p w14:paraId="40E856B4" w14:textId="1F5C126D" w:rsidR="0076063A" w:rsidRPr="00422CA2" w:rsidRDefault="00D17392"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SDTBL y SDCBL</w:t>
      </w:r>
      <w:r w:rsidRPr="00422CA2">
        <w:rPr>
          <w:rFonts w:ascii="ITC Avant Garde" w:hAnsi="ITC Avant Garde"/>
          <w:sz w:val="22"/>
          <w:szCs w:val="22"/>
        </w:rPr>
        <w:t xml:space="preserve">: </w:t>
      </w:r>
      <w:r w:rsidR="0076063A" w:rsidRPr="00422CA2">
        <w:rPr>
          <w:rFonts w:ascii="ITC Avant Garde" w:hAnsi="ITC Avant Garde"/>
          <w:sz w:val="22"/>
          <w:szCs w:val="22"/>
        </w:rPr>
        <w:t xml:space="preserve">No hay facilidades de Red Principal; </w:t>
      </w:r>
      <w:r w:rsidR="009D7791" w:rsidRPr="00422CA2">
        <w:rPr>
          <w:rFonts w:ascii="ITC Avant Garde" w:hAnsi="ITC Avant Garde"/>
          <w:sz w:val="22"/>
          <w:szCs w:val="22"/>
        </w:rPr>
        <w:t xml:space="preserve">No hay facilidades en tablilla; No hay facilidades de dispositivos; </w:t>
      </w:r>
      <w:r w:rsidR="0076063A" w:rsidRPr="00422CA2">
        <w:rPr>
          <w:rFonts w:ascii="ITC Avant Garde" w:hAnsi="ITC Avant Garde"/>
          <w:sz w:val="22"/>
          <w:szCs w:val="22"/>
        </w:rPr>
        <w:t xml:space="preserve">No hay facilidades de Red </w:t>
      </w:r>
      <w:r w:rsidR="0076063A" w:rsidRPr="00422CA2">
        <w:rPr>
          <w:rFonts w:ascii="ITC Avant Garde" w:hAnsi="ITC Avant Garde"/>
          <w:sz w:val="22"/>
          <w:szCs w:val="22"/>
        </w:rPr>
        <w:lastRenderedPageBreak/>
        <w:t>Secundaria; No hay disponibilidad para este servicio, el % de ocupación es mayor al 70%</w:t>
      </w:r>
      <w:r w:rsidR="001F0DA0" w:rsidRPr="00422CA2">
        <w:rPr>
          <w:rFonts w:ascii="ITC Avant Garde" w:hAnsi="ITC Avant Garde"/>
          <w:sz w:val="22"/>
          <w:szCs w:val="22"/>
        </w:rPr>
        <w:t>.</w:t>
      </w:r>
    </w:p>
    <w:p w14:paraId="40E856B5" w14:textId="0D376E9B" w:rsidR="009D7791" w:rsidRPr="00422CA2" w:rsidRDefault="009D7791"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SDTSBL y SDCSBL</w:t>
      </w:r>
      <w:r w:rsidRPr="00422CA2">
        <w:rPr>
          <w:rFonts w:ascii="ITC Avant Garde" w:hAnsi="ITC Avant Garde"/>
          <w:sz w:val="22"/>
          <w:szCs w:val="22"/>
        </w:rPr>
        <w:t>: No hay facilidades en tablilla; No hay facilidades de Red Secundaria; No hay disponibilidad para este servicio, el % de ocupación es mayor al 70%</w:t>
      </w:r>
      <w:r w:rsidR="001F0DA0" w:rsidRPr="00422CA2">
        <w:rPr>
          <w:rFonts w:ascii="ITC Avant Garde" w:hAnsi="ITC Avant Garde"/>
          <w:sz w:val="22"/>
          <w:szCs w:val="22"/>
        </w:rPr>
        <w:t>.</w:t>
      </w:r>
      <w:r w:rsidRPr="00422CA2">
        <w:rPr>
          <w:rFonts w:ascii="ITC Avant Garde" w:hAnsi="ITC Avant Garde"/>
          <w:sz w:val="22"/>
          <w:szCs w:val="22"/>
        </w:rPr>
        <w:t xml:space="preserve"> </w:t>
      </w:r>
    </w:p>
    <w:p w14:paraId="40E856B6" w14:textId="77777777" w:rsidR="009D7791" w:rsidRPr="00422CA2" w:rsidRDefault="008558A8"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SCyD</w:t>
      </w:r>
      <w:r w:rsidRPr="00422CA2">
        <w:rPr>
          <w:rFonts w:ascii="ITC Avant Garde" w:hAnsi="ITC Avant Garde"/>
          <w:sz w:val="22"/>
          <w:szCs w:val="22"/>
        </w:rPr>
        <w:t>: No hay puerto disponible.</w:t>
      </w:r>
    </w:p>
    <w:p w14:paraId="40E856B7" w14:textId="3DB87841" w:rsidR="008558A8" w:rsidRPr="00422CA2" w:rsidRDefault="008558A8"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Coubicación</w:t>
      </w:r>
      <w:r w:rsidRPr="00422CA2">
        <w:rPr>
          <w:rFonts w:ascii="ITC Avant Garde" w:hAnsi="ITC Avant Garde"/>
          <w:sz w:val="22"/>
          <w:szCs w:val="22"/>
        </w:rPr>
        <w:t xml:space="preserve">: No existe disponibilidad de espacio; No hay disponibilidad de </w:t>
      </w:r>
      <w:r w:rsidR="00F961F0" w:rsidRPr="00422CA2">
        <w:rPr>
          <w:rFonts w:ascii="ITC Avant Garde" w:hAnsi="ITC Avant Garde"/>
          <w:sz w:val="22"/>
          <w:szCs w:val="22"/>
        </w:rPr>
        <w:t>energía</w:t>
      </w:r>
      <w:r w:rsidRPr="00422CA2">
        <w:rPr>
          <w:rFonts w:ascii="ITC Avant Garde" w:hAnsi="ITC Avant Garde"/>
          <w:sz w:val="22"/>
          <w:szCs w:val="22"/>
        </w:rPr>
        <w:t xml:space="preserve"> eléctrica (CA); No hay disponibilidad de</w:t>
      </w:r>
      <w:r w:rsidR="00F961F0" w:rsidRPr="00422CA2">
        <w:rPr>
          <w:rFonts w:ascii="ITC Avant Garde" w:hAnsi="ITC Avant Garde"/>
          <w:sz w:val="22"/>
          <w:szCs w:val="22"/>
        </w:rPr>
        <w:t xml:space="preserve"> energía directa (CD); No hay disponibilidad de </w:t>
      </w:r>
      <w:r w:rsidR="00E64508" w:rsidRPr="00422CA2">
        <w:rPr>
          <w:rFonts w:ascii="ITC Avant Garde" w:hAnsi="ITC Avant Garde"/>
          <w:sz w:val="22"/>
          <w:szCs w:val="22"/>
        </w:rPr>
        <w:t xml:space="preserve">aire acondicionado </w:t>
      </w:r>
      <w:r w:rsidR="00F961F0" w:rsidRPr="00422CA2">
        <w:rPr>
          <w:rFonts w:ascii="ITC Avant Garde" w:hAnsi="ITC Avant Garde"/>
          <w:sz w:val="22"/>
          <w:szCs w:val="22"/>
        </w:rPr>
        <w:t>(BTU’s o TR’s); No hay disponibilidad de infraestructura</w:t>
      </w:r>
      <w:r w:rsidRPr="00422CA2">
        <w:rPr>
          <w:rFonts w:ascii="ITC Avant Garde" w:hAnsi="ITC Avant Garde"/>
          <w:sz w:val="22"/>
          <w:szCs w:val="22"/>
        </w:rPr>
        <w:t>.</w:t>
      </w:r>
    </w:p>
    <w:p w14:paraId="40E856B8" w14:textId="77777777" w:rsidR="00F961F0" w:rsidRPr="00422CA2" w:rsidRDefault="00F961F0"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Cableado Multipar</w:t>
      </w:r>
      <w:r w:rsidRPr="00422CA2">
        <w:rPr>
          <w:rFonts w:ascii="ITC Avant Garde" w:hAnsi="ITC Avant Garde"/>
          <w:sz w:val="22"/>
          <w:szCs w:val="22"/>
        </w:rPr>
        <w:t>: No hay trayectoria disponible para la instalación de escalerillas; el número de tablillas en el DG está completo.</w:t>
      </w:r>
    </w:p>
    <w:p w14:paraId="40E856BC" w14:textId="375E4AA5" w:rsidR="008558A8" w:rsidRPr="00422CA2" w:rsidRDefault="00F961F0" w:rsidP="00B303D2">
      <w:pPr>
        <w:pStyle w:val="Texto1"/>
        <w:spacing w:after="200" w:line="276" w:lineRule="auto"/>
        <w:ind w:left="720"/>
        <w:rPr>
          <w:rFonts w:ascii="ITC Avant Garde" w:hAnsi="ITC Avant Garde"/>
          <w:sz w:val="22"/>
          <w:szCs w:val="22"/>
        </w:rPr>
      </w:pPr>
      <w:r w:rsidRPr="00422CA2">
        <w:rPr>
          <w:rFonts w:ascii="ITC Avant Garde" w:hAnsi="ITC Avant Garde"/>
          <w:b/>
          <w:sz w:val="22"/>
          <w:szCs w:val="22"/>
        </w:rPr>
        <w:t>•</w:t>
      </w:r>
      <w:r w:rsidRPr="00422CA2">
        <w:rPr>
          <w:rFonts w:ascii="ITC Avant Garde" w:hAnsi="ITC Avant Garde"/>
          <w:b/>
          <w:sz w:val="22"/>
          <w:szCs w:val="22"/>
        </w:rPr>
        <w:tab/>
        <w:t>Anexo de Caja de Distribución</w:t>
      </w:r>
      <w:r w:rsidRPr="00422CA2">
        <w:rPr>
          <w:rFonts w:ascii="ITC Avant Garde" w:hAnsi="ITC Avant Garde"/>
          <w:sz w:val="22"/>
          <w:szCs w:val="22"/>
        </w:rPr>
        <w:t>: No se cuenta con espacio disponible para la instalación del Anexo de Caja</w:t>
      </w:r>
      <w:r w:rsidR="00F00F60" w:rsidRPr="00422CA2">
        <w:rPr>
          <w:rFonts w:ascii="ITC Avant Garde" w:hAnsi="ITC Avant Garde"/>
          <w:sz w:val="22"/>
          <w:szCs w:val="22"/>
        </w:rPr>
        <w:t xml:space="preserve"> de Distribución</w:t>
      </w:r>
      <w:r w:rsidRPr="00422CA2">
        <w:rPr>
          <w:rFonts w:ascii="ITC Avant Garde" w:hAnsi="ITC Avant Garde"/>
          <w:sz w:val="22"/>
          <w:szCs w:val="22"/>
        </w:rPr>
        <w:t xml:space="preserve">; El modelo de la caja de </w:t>
      </w:r>
      <w:r w:rsidR="00F00F60" w:rsidRPr="00422CA2">
        <w:rPr>
          <w:rFonts w:ascii="ITC Avant Garde" w:hAnsi="ITC Avant Garde"/>
          <w:sz w:val="22"/>
          <w:szCs w:val="22"/>
        </w:rPr>
        <w:t xml:space="preserve">distribución </w:t>
      </w:r>
      <w:r w:rsidRPr="00422CA2">
        <w:rPr>
          <w:rFonts w:ascii="ITC Avant Garde" w:hAnsi="ITC Avant Garde"/>
          <w:sz w:val="22"/>
          <w:szCs w:val="22"/>
        </w:rPr>
        <w:t xml:space="preserve">no </w:t>
      </w:r>
      <w:r w:rsidR="00E64508" w:rsidRPr="00422CA2">
        <w:rPr>
          <w:rFonts w:ascii="ITC Avant Garde" w:hAnsi="ITC Avant Garde"/>
          <w:sz w:val="22"/>
          <w:szCs w:val="22"/>
        </w:rPr>
        <w:t>permite</w:t>
      </w:r>
      <w:r w:rsidRPr="00422CA2">
        <w:rPr>
          <w:rFonts w:ascii="ITC Avant Garde" w:hAnsi="ITC Avant Garde"/>
          <w:sz w:val="22"/>
          <w:szCs w:val="22"/>
        </w:rPr>
        <w:t xml:space="preserve"> instalar anexo; El número de tablillas en el </w:t>
      </w:r>
      <w:r w:rsidR="00F00F60" w:rsidRPr="00422CA2">
        <w:rPr>
          <w:rFonts w:ascii="ITC Avant Garde" w:hAnsi="ITC Avant Garde"/>
          <w:sz w:val="22"/>
          <w:szCs w:val="22"/>
        </w:rPr>
        <w:t>Anexo de Caja de Distribución</w:t>
      </w:r>
      <w:r w:rsidRPr="00422CA2">
        <w:rPr>
          <w:rFonts w:ascii="ITC Avant Garde" w:hAnsi="ITC Avant Garde"/>
          <w:sz w:val="22"/>
          <w:szCs w:val="22"/>
        </w:rPr>
        <w:t xml:space="preserve"> está completo; Existen afectaciones a servicios subterráneos existentes (gas, agua); El proyecto de construcción del pozo del CS no cumple con lo establecido en </w:t>
      </w:r>
      <w:r w:rsidR="00615DF4" w:rsidRPr="00422CA2">
        <w:rPr>
          <w:rFonts w:ascii="ITC Avant Garde" w:hAnsi="ITC Avant Garde"/>
          <w:sz w:val="22"/>
          <w:szCs w:val="22"/>
        </w:rPr>
        <w:t>el</w:t>
      </w:r>
      <w:r w:rsidRPr="00422CA2">
        <w:rPr>
          <w:rFonts w:ascii="ITC Avant Garde" w:hAnsi="ITC Avant Garde"/>
          <w:sz w:val="22"/>
          <w:szCs w:val="22"/>
        </w:rPr>
        <w:t xml:space="preserve"> </w:t>
      </w:r>
      <w:r w:rsidR="00615DF4" w:rsidRPr="00422CA2">
        <w:rPr>
          <w:rFonts w:ascii="ITC Avant Garde" w:hAnsi="ITC Avant Garde"/>
          <w:sz w:val="22"/>
          <w:szCs w:val="22"/>
        </w:rPr>
        <w:t>numeral 9.7</w:t>
      </w:r>
      <w:r w:rsidRPr="00422CA2">
        <w:rPr>
          <w:rFonts w:ascii="ITC Avant Garde" w:hAnsi="ITC Avant Garde"/>
          <w:sz w:val="22"/>
          <w:szCs w:val="22"/>
        </w:rPr>
        <w:t xml:space="preserve"> del </w:t>
      </w:r>
      <w:r w:rsidR="00615DF4" w:rsidRPr="00422CA2">
        <w:rPr>
          <w:rFonts w:ascii="ITC Avant Garde" w:hAnsi="ITC Avant Garde"/>
          <w:sz w:val="22"/>
          <w:szCs w:val="22"/>
        </w:rPr>
        <w:t>apartado SERVICIO AUXILIAR DE ANEXO DE CAJA DE DISTRIBUCIÓN</w:t>
      </w:r>
      <w:r w:rsidRPr="00422CA2">
        <w:rPr>
          <w:rFonts w:ascii="ITC Avant Garde" w:hAnsi="ITC Avant Garde"/>
          <w:sz w:val="22"/>
          <w:szCs w:val="22"/>
        </w:rPr>
        <w:t>.</w:t>
      </w:r>
    </w:p>
    <w:p w14:paraId="0CC371FC" w14:textId="77777777" w:rsidR="00710909" w:rsidRPr="00422CA2" w:rsidRDefault="00710909" w:rsidP="00710909">
      <w:pPr>
        <w:spacing w:after="200" w:line="276" w:lineRule="auto"/>
        <w:jc w:val="both"/>
        <w:rPr>
          <w:rFonts w:ascii="ITC Avant Garde" w:hAnsi="ITC Avant Garde"/>
          <w:lang w:val="es-MX"/>
        </w:rPr>
      </w:pPr>
      <w:bookmarkStart w:id="94" w:name="_Toc436840868"/>
      <w:bookmarkStart w:id="95" w:name="_Toc436846305"/>
      <w:bookmarkStart w:id="96" w:name="_Toc436848255"/>
      <w:bookmarkStart w:id="97" w:name="_Toc436856503"/>
      <w:bookmarkStart w:id="98" w:name="_Toc436862649"/>
      <w:bookmarkStart w:id="99" w:name="_Toc436866299"/>
      <w:bookmarkStart w:id="100" w:name="_Toc436870878"/>
      <w:bookmarkStart w:id="101" w:name="_Toc436875870"/>
      <w:r w:rsidRPr="00422CA2">
        <w:rPr>
          <w:rFonts w:ascii="ITC Avant Garde" w:hAnsi="ITC Avant Garde"/>
        </w:rPr>
        <w:t xml:space="preserve">Las referencias anteriores a determinados elementos de red y al hecho de que su indisponibilidad supone la denegación de la correspondiente solicitud de lo CS, deberá realizarse de acuerdo con el siguiente criterio: </w:t>
      </w:r>
    </w:p>
    <w:p w14:paraId="40F898EE" w14:textId="376C1D6E" w:rsidR="00710909" w:rsidRPr="00422CA2" w:rsidRDefault="006C6132" w:rsidP="00710909">
      <w:pPr>
        <w:spacing w:after="200" w:line="276" w:lineRule="auto"/>
        <w:jc w:val="both"/>
        <w:rPr>
          <w:rFonts w:ascii="ITC Avant Garde" w:hAnsi="ITC Avant Garde"/>
          <w:lang w:eastAsia="en-US"/>
        </w:rPr>
      </w:pPr>
      <w:r w:rsidRPr="00422CA2">
        <w:rPr>
          <w:rFonts w:ascii="ITC Avant Garde" w:hAnsi="ITC Avant Garde"/>
        </w:rPr>
        <w:t>S</w:t>
      </w:r>
      <w:r w:rsidR="00710909" w:rsidRPr="00422CA2">
        <w:rPr>
          <w:rFonts w:ascii="ITC Avant Garde" w:hAnsi="ITC Avant Garde"/>
        </w:rPr>
        <w:t>e considerará disponible y por lo tanto Telmex no podrá denegar el servicio si la falta de recursos de red es solucionable en un plazo de tiempo razonable o sin recurrir en costos elevados, e implica un escalonamiento normal de los servicios por crecimiento de la demanda, actuando tal y como Telmex lo haría con sus propias operaciones. La consideración de indisponible para un recurso y su aplicación para denegar solicitudes deberá motivarse en base al criterio anterior.</w:t>
      </w:r>
    </w:p>
    <w:p w14:paraId="729AFDAE" w14:textId="226610B6" w:rsidR="006C06AF" w:rsidRPr="00422CA2" w:rsidRDefault="00710909" w:rsidP="008716D6">
      <w:pPr>
        <w:spacing w:after="200" w:line="276" w:lineRule="auto"/>
        <w:jc w:val="both"/>
        <w:rPr>
          <w:rFonts w:ascii="ITC Avant Garde" w:hAnsi="ITC Avant Garde"/>
          <w:lang w:val="es-MX"/>
        </w:rPr>
      </w:pPr>
      <w:r w:rsidRPr="00422CA2">
        <w:rPr>
          <w:rFonts w:ascii="ITC Avant Garde" w:hAnsi="ITC Avant Garde"/>
        </w:rPr>
        <w:t>En particular se considerará que aquellos elementos de red que requieran realización de obra civil en la planta externa, o nuevos tendidos de par de cobre o de cable óptico no demandado por la propia operativa de Telmex cumplen con el criterio anterior.</w:t>
      </w:r>
    </w:p>
    <w:p w14:paraId="40E856BE" w14:textId="6BFB4182" w:rsidR="00530A32" w:rsidRPr="00422CA2" w:rsidRDefault="00011A1B" w:rsidP="00210768">
      <w:pPr>
        <w:pStyle w:val="Ttulo1"/>
      </w:pPr>
      <w:bookmarkStart w:id="102" w:name="_Toc437602058"/>
      <w:r w:rsidRPr="00422CA2">
        <w:lastRenderedPageBreak/>
        <w:t>1.5</w:t>
      </w:r>
      <w:r w:rsidR="00326841" w:rsidRPr="00422CA2">
        <w:t>.</w:t>
      </w:r>
      <w:r w:rsidRPr="00422CA2">
        <w:tab/>
        <w:t xml:space="preserve">Procedimiento para la verificación de la voluntad del </w:t>
      </w:r>
      <w:r w:rsidR="006A046A" w:rsidRPr="00422CA2">
        <w:t>suscriptor</w:t>
      </w:r>
      <w:bookmarkEnd w:id="94"/>
      <w:bookmarkEnd w:id="95"/>
      <w:bookmarkEnd w:id="96"/>
      <w:bookmarkEnd w:id="97"/>
      <w:bookmarkEnd w:id="98"/>
      <w:bookmarkEnd w:id="99"/>
      <w:bookmarkEnd w:id="100"/>
      <w:bookmarkEnd w:id="101"/>
      <w:bookmarkEnd w:id="102"/>
      <w:r w:rsidRPr="00422CA2">
        <w:t xml:space="preserve"> </w:t>
      </w:r>
    </w:p>
    <w:p w14:paraId="30F362E9" w14:textId="56443B10" w:rsidR="000928D7" w:rsidRPr="00422CA2" w:rsidRDefault="00C34AB8" w:rsidP="00B303D2">
      <w:pPr>
        <w:spacing w:after="200" w:line="276" w:lineRule="auto"/>
        <w:jc w:val="both"/>
        <w:rPr>
          <w:rFonts w:ascii="ITC Avant Garde" w:hAnsi="ITC Avant Garde"/>
          <w:sz w:val="22"/>
          <w:szCs w:val="22"/>
          <w:lang w:val="es-MX"/>
        </w:rPr>
      </w:pPr>
      <w:r w:rsidRPr="00422CA2">
        <w:rPr>
          <w:rStyle w:val="IFTnormalCar"/>
        </w:rPr>
        <w:t xml:space="preserve">La verificación de la voluntad del suscriptor/usuario final corresponde exclusivamente para aquellos casos en que el suscriptor/usuario final desee cambiar de proveedor de los servicios de telecomunicaciones, por lo que la verificación de la voluntad no aplica para la baja o modificación de servicios, ni para cualquier otra situación que no implique el cambio de proveedor de los servicios de telecomunicaciones. </w:t>
      </w:r>
      <w:r w:rsidR="00011A1B" w:rsidRPr="00422CA2">
        <w:rPr>
          <w:rFonts w:ascii="ITC Avant Garde" w:hAnsi="ITC Avant Garde"/>
          <w:sz w:val="22"/>
          <w:szCs w:val="22"/>
          <w:lang w:val="es-MX"/>
        </w:rPr>
        <w:t>El único requisito que se solicitará para la verificación de la voluntad del suscriptor</w:t>
      </w:r>
      <w:r w:rsidR="004B6426" w:rsidRPr="00422CA2">
        <w:rPr>
          <w:rFonts w:ascii="ITC Avant Garde" w:hAnsi="ITC Avant Garde"/>
          <w:sz w:val="22"/>
          <w:szCs w:val="22"/>
          <w:lang w:val="es-MX"/>
        </w:rPr>
        <w:t>, es la presentación del</w:t>
      </w:r>
      <w:r w:rsidR="00556413" w:rsidRPr="00422CA2">
        <w:rPr>
          <w:rFonts w:ascii="ITC Avant Garde" w:hAnsi="ITC Avant Garde"/>
          <w:sz w:val="22"/>
          <w:szCs w:val="22"/>
          <w:lang w:val="es-MX"/>
        </w:rPr>
        <w:t xml:space="preserve"> siguiente</w:t>
      </w:r>
      <w:r w:rsidR="00011A1B" w:rsidRPr="00422CA2">
        <w:rPr>
          <w:rFonts w:ascii="ITC Avant Garde" w:hAnsi="ITC Avant Garde"/>
          <w:sz w:val="22"/>
          <w:szCs w:val="22"/>
          <w:lang w:val="es-MX"/>
        </w:rPr>
        <w:t xml:space="preserve"> Formato de verificación de la voluntad del </w:t>
      </w:r>
      <w:r w:rsidR="006A046A" w:rsidRPr="00422CA2">
        <w:rPr>
          <w:rFonts w:ascii="ITC Avant Garde" w:hAnsi="ITC Avant Garde"/>
          <w:sz w:val="22"/>
          <w:szCs w:val="22"/>
          <w:lang w:val="es-MX"/>
        </w:rPr>
        <w:t>s</w:t>
      </w:r>
      <w:r w:rsidR="00442838" w:rsidRPr="00422CA2">
        <w:rPr>
          <w:rFonts w:ascii="ITC Avant Garde" w:hAnsi="ITC Avant Garde"/>
          <w:sz w:val="22"/>
          <w:szCs w:val="22"/>
          <w:lang w:val="es-MX"/>
        </w:rPr>
        <w:t>uscriptor</w:t>
      </w:r>
      <w:r w:rsidR="006A046A" w:rsidRPr="00422CA2">
        <w:rPr>
          <w:rFonts w:ascii="ITC Avant Garde" w:hAnsi="ITC Avant Garde"/>
          <w:sz w:val="22"/>
          <w:szCs w:val="22"/>
          <w:lang w:val="es-MX"/>
        </w:rPr>
        <w:t>/usuario final</w:t>
      </w:r>
      <w:r w:rsidR="006A046A" w:rsidRPr="00422CA2">
        <w:rPr>
          <w:rStyle w:val="Refdenotaalpie"/>
          <w:rFonts w:ascii="ITC Avant Garde" w:hAnsi="ITC Avant Garde"/>
          <w:sz w:val="22"/>
          <w:szCs w:val="22"/>
          <w:lang w:val="es-MX"/>
        </w:rPr>
        <w:footnoteReference w:id="4"/>
      </w:r>
      <w:r w:rsidR="00011A1B" w:rsidRPr="00422CA2">
        <w:rPr>
          <w:rFonts w:ascii="ITC Avant Garde" w:hAnsi="ITC Avant Garde"/>
          <w:sz w:val="22"/>
          <w:szCs w:val="22"/>
          <w:lang w:val="es-MX"/>
        </w:rPr>
        <w:t>:</w:t>
      </w:r>
    </w:p>
    <w:p w14:paraId="6C6DED0F" w14:textId="4A9CCDF2" w:rsidR="00681F24" w:rsidRPr="00422CA2" w:rsidRDefault="000248E3" w:rsidP="00256C8C">
      <w:pPr>
        <w:spacing w:after="200" w:line="276" w:lineRule="auto"/>
        <w:jc w:val="center"/>
        <w:rPr>
          <w:rFonts w:ascii="ITC Avant Garde" w:hAnsi="ITC Avant Garde"/>
          <w:sz w:val="22"/>
          <w:szCs w:val="22"/>
          <w:lang w:val="es-MX"/>
        </w:rPr>
      </w:pPr>
      <w:r w:rsidRPr="00422CA2">
        <w:rPr>
          <w:rFonts w:ascii="ITC Avant Garde" w:hAnsi="ITC Avant Garde"/>
          <w:noProof/>
          <w:lang w:val="es-MX" w:eastAsia="es-MX"/>
        </w:rPr>
        <w:lastRenderedPageBreak/>
        <w:drawing>
          <wp:inline distT="0" distB="0" distL="0" distR="0" wp14:anchorId="0825B300" wp14:editId="2950B263">
            <wp:extent cx="5201392" cy="7065645"/>
            <wp:effectExtent l="19050" t="19050" r="18415" b="2095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8790" cy="7075695"/>
                    </a:xfrm>
                    <a:prstGeom prst="rect">
                      <a:avLst/>
                    </a:prstGeom>
                    <a:noFill/>
                    <a:ln>
                      <a:solidFill>
                        <a:schemeClr val="tx1"/>
                      </a:solidFill>
                    </a:ln>
                  </pic:spPr>
                </pic:pic>
              </a:graphicData>
            </a:graphic>
          </wp:inline>
        </w:drawing>
      </w:r>
    </w:p>
    <w:p w14:paraId="1FD12037" w14:textId="38A366F6" w:rsidR="00BA548C" w:rsidRPr="00422CA2" w:rsidRDefault="00532914" w:rsidP="00532914">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La verificación de la voluntad del suscriptor corresponde exclusivamente para aquellos casos en que el suscriptor/usuario final desea cambiar de proveedor de los servicios de telecomunicaciones que tiene contratados. El nuevo proveedor del </w:t>
      </w:r>
      <w:r w:rsidRPr="00422CA2">
        <w:rPr>
          <w:rFonts w:ascii="ITC Avant Garde" w:hAnsi="ITC Avant Garde"/>
          <w:sz w:val="22"/>
          <w:szCs w:val="22"/>
          <w:lang w:val="es-ES"/>
        </w:rPr>
        <w:lastRenderedPageBreak/>
        <w:t xml:space="preserve">servicio será responsable de la verificación de la voluntad para el cambio de proveedor, así como de ejecutar la portabilidad. </w:t>
      </w:r>
    </w:p>
    <w:p w14:paraId="56C498A0" w14:textId="26386128" w:rsidR="00532914" w:rsidRPr="00422CA2" w:rsidRDefault="00532914" w:rsidP="00532914">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El nuevo proveedor (receptor), incluido Telmex</w:t>
      </w:r>
      <w:r w:rsidRPr="00422CA2">
        <w:rPr>
          <w:rStyle w:val="Refdenotaalpie"/>
          <w:rFonts w:ascii="ITC Avant Garde" w:hAnsi="ITC Avant Garde" w:cs="Arial"/>
          <w:sz w:val="22"/>
          <w:szCs w:val="22"/>
          <w:lang w:val="es-ES"/>
        </w:rPr>
        <w:footnoteReference w:id="5"/>
      </w:r>
      <w:r w:rsidRPr="00422CA2">
        <w:rPr>
          <w:rFonts w:ascii="ITC Avant Garde" w:hAnsi="ITC Avant Garde"/>
          <w:sz w:val="22"/>
          <w:szCs w:val="22"/>
          <w:lang w:val="es-ES"/>
        </w:rPr>
        <w:t>, será responsable de resguardar, por un período de cuando menos 6</w:t>
      </w:r>
      <w:r w:rsidR="00C547DE" w:rsidRPr="00422CA2">
        <w:rPr>
          <w:rFonts w:ascii="ITC Avant Garde" w:hAnsi="ITC Avant Garde"/>
          <w:sz w:val="22"/>
          <w:szCs w:val="22"/>
          <w:lang w:val="es-ES"/>
        </w:rPr>
        <w:t xml:space="preserve"> </w:t>
      </w:r>
      <w:r w:rsidRPr="00422CA2">
        <w:rPr>
          <w:rFonts w:ascii="ITC Avant Garde" w:hAnsi="ITC Avant Garde"/>
          <w:sz w:val="22"/>
          <w:szCs w:val="22"/>
          <w:lang w:val="es-ES"/>
        </w:rPr>
        <w:t>(seis) meses, la documentación proporcionada por el usuario final/suscriptor, así como entregar al Instituto dicha documentación en caso de requerirla.</w:t>
      </w:r>
    </w:p>
    <w:p w14:paraId="402C99F9" w14:textId="3D906653" w:rsidR="002166B7" w:rsidRPr="00422CA2" w:rsidRDefault="002166B7" w:rsidP="002166B7">
      <w:pPr>
        <w:pStyle w:val="IFTnormal"/>
      </w:pPr>
      <w:r w:rsidRPr="00422CA2">
        <w:t>Telmex no incurrirá en actividades de retención</w:t>
      </w:r>
      <w:r w:rsidR="00773426" w:rsidRPr="00422CA2">
        <w:t xml:space="preserve"> o de promoción de sus propios servicios</w:t>
      </w:r>
      <w:r w:rsidRPr="00422CA2">
        <w:t xml:space="preserve">, por lo que </w:t>
      </w:r>
      <w:r w:rsidR="002B5450" w:rsidRPr="00422CA2">
        <w:t>para tal efecto</w:t>
      </w:r>
      <w:r w:rsidRPr="00422CA2">
        <w:t xml:space="preserve"> no deberá establecer comunicación con el suscriptor que solicite el cambio de proveedor</w:t>
      </w:r>
      <w:r w:rsidR="006C6132" w:rsidRPr="00422CA2">
        <w:t>, a partir</w:t>
      </w:r>
      <w:r w:rsidRPr="00422CA2">
        <w:t xml:space="preserve"> de </w:t>
      </w:r>
      <w:r w:rsidR="006C6132" w:rsidRPr="00422CA2">
        <w:t xml:space="preserve">que reciba la solicitud </w:t>
      </w:r>
      <w:r w:rsidRPr="00422CA2">
        <w:t xml:space="preserve">de </w:t>
      </w:r>
      <w:r w:rsidR="006C6132" w:rsidRPr="00422CA2">
        <w:t>la verificación de la voluntad</w:t>
      </w:r>
      <w:r w:rsidR="002B5450" w:rsidRPr="00422CA2">
        <w:t>,</w:t>
      </w:r>
      <w:r w:rsidRPr="00422CA2">
        <w:t xml:space="preserve"> durante el tiempo en el que se tramita su solicitud y </w:t>
      </w:r>
      <w:r w:rsidR="002B5450" w:rsidRPr="00422CA2">
        <w:t xml:space="preserve">hasta 15 días naturales después de que </w:t>
      </w:r>
      <w:r w:rsidRPr="00422CA2">
        <w:t xml:space="preserve">se </w:t>
      </w:r>
      <w:r w:rsidRPr="00422CA2" w:rsidDel="00E159F0">
        <w:t xml:space="preserve">habiliten </w:t>
      </w:r>
      <w:r w:rsidRPr="00422CA2">
        <w:t>los servicios de telecomunicaciones solicitados.</w:t>
      </w:r>
    </w:p>
    <w:p w14:paraId="40E856C2" w14:textId="7AD6CA02" w:rsidR="00762FC2" w:rsidRPr="00422CA2" w:rsidRDefault="00BD405F" w:rsidP="001A53AC">
      <w:p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L</w:t>
      </w:r>
      <w:r w:rsidR="00011A1B" w:rsidRPr="00422CA2">
        <w:rPr>
          <w:rFonts w:ascii="ITC Avant Garde" w:hAnsi="ITC Avant Garde" w:cs="Arial"/>
          <w:sz w:val="22"/>
          <w:szCs w:val="22"/>
          <w:lang w:val="es-ES"/>
        </w:rPr>
        <w:t xml:space="preserve">as solicitudes que se reciban, serán atendidas como alta de servicio, por tanto, se dará de baja el servicio con el </w:t>
      </w:r>
      <w:r w:rsidR="0023587D" w:rsidRPr="00422CA2">
        <w:rPr>
          <w:rFonts w:ascii="ITC Avant Garde" w:hAnsi="ITC Avant Garde" w:cs="Arial"/>
          <w:sz w:val="22"/>
          <w:szCs w:val="22"/>
          <w:lang w:val="es-ES"/>
        </w:rPr>
        <w:t>proveedor</w:t>
      </w:r>
      <w:r w:rsidR="00556413" w:rsidRPr="00422CA2">
        <w:rPr>
          <w:rFonts w:ascii="ITC Avant Garde" w:hAnsi="ITC Avant Garde" w:cs="Arial"/>
          <w:sz w:val="22"/>
          <w:szCs w:val="22"/>
          <w:lang w:val="es-ES"/>
        </w:rPr>
        <w:t xml:space="preserve"> actual</w:t>
      </w:r>
      <w:r w:rsidR="00011A1B" w:rsidRPr="00422CA2">
        <w:rPr>
          <w:rFonts w:ascii="ITC Avant Garde" w:hAnsi="ITC Avant Garde" w:cs="Arial"/>
          <w:sz w:val="22"/>
          <w:szCs w:val="22"/>
          <w:lang w:val="es-ES"/>
        </w:rPr>
        <w:t xml:space="preserve"> (donador) y se hará el cambio con el nuevo </w:t>
      </w:r>
      <w:r w:rsidR="0023587D" w:rsidRPr="00422CA2">
        <w:rPr>
          <w:rFonts w:ascii="ITC Avant Garde" w:hAnsi="ITC Avant Garde" w:cs="Arial"/>
          <w:sz w:val="22"/>
          <w:szCs w:val="22"/>
          <w:lang w:val="es-ES"/>
        </w:rPr>
        <w:t xml:space="preserve">proveedor del servicio </w:t>
      </w:r>
      <w:r w:rsidR="00011A1B" w:rsidRPr="00422CA2">
        <w:rPr>
          <w:rFonts w:ascii="ITC Avant Garde" w:hAnsi="ITC Avant Garde" w:cs="Arial"/>
          <w:sz w:val="22"/>
          <w:szCs w:val="22"/>
          <w:lang w:val="es-ES"/>
        </w:rPr>
        <w:t xml:space="preserve">(receptor). Para realizar la verificación de la voluntad el </w:t>
      </w:r>
      <w:r w:rsidR="00BF5CB5" w:rsidRPr="00422CA2">
        <w:rPr>
          <w:rFonts w:ascii="ITC Avant Garde" w:hAnsi="ITC Avant Garde" w:cs="Arial"/>
          <w:sz w:val="22"/>
          <w:szCs w:val="22"/>
          <w:lang w:val="es-ES"/>
        </w:rPr>
        <w:t>suscriptor</w:t>
      </w:r>
      <w:r w:rsidR="00011A1B" w:rsidRPr="00422CA2">
        <w:rPr>
          <w:rFonts w:ascii="ITC Avant Garde" w:hAnsi="ITC Avant Garde" w:cs="Arial"/>
          <w:sz w:val="22"/>
          <w:szCs w:val="22"/>
          <w:lang w:val="es-ES"/>
        </w:rPr>
        <w:t>/usuario final</w:t>
      </w:r>
      <w:r w:rsidR="00BF5CB5" w:rsidRPr="00422CA2">
        <w:rPr>
          <w:rFonts w:ascii="ITC Avant Garde" w:hAnsi="ITC Avant Garde" w:cs="Arial"/>
          <w:sz w:val="22"/>
          <w:szCs w:val="22"/>
          <w:lang w:val="es-ES"/>
        </w:rPr>
        <w:t xml:space="preserve"> </w:t>
      </w:r>
      <w:r w:rsidR="00011A1B" w:rsidRPr="00422CA2">
        <w:rPr>
          <w:rFonts w:ascii="ITC Avant Garde" w:hAnsi="ITC Avant Garde" w:cs="Arial"/>
          <w:sz w:val="22"/>
          <w:szCs w:val="22"/>
          <w:lang w:val="es-ES"/>
        </w:rPr>
        <w:t>se cuenta con tres escenarios:</w:t>
      </w:r>
    </w:p>
    <w:p w14:paraId="40E856C3" w14:textId="77777777" w:rsidR="00FA1C46" w:rsidRPr="00422CA2" w:rsidRDefault="00011A1B" w:rsidP="001A53AC">
      <w:pPr>
        <w:pStyle w:val="Prrafodelista"/>
        <w:numPr>
          <w:ilvl w:val="0"/>
          <w:numId w:val="57"/>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CS-T</w:t>
      </w:r>
      <w:r w:rsidR="00156D9F" w:rsidRPr="00422CA2">
        <w:rPr>
          <w:rFonts w:ascii="ITC Avant Garde" w:hAnsi="ITC Avant Garde" w:cs="Arial"/>
          <w:sz w:val="22"/>
          <w:szCs w:val="22"/>
          <w:lang w:val="es-ES"/>
        </w:rPr>
        <w:t>elmex</w:t>
      </w:r>
      <w:r w:rsidRPr="00422CA2">
        <w:rPr>
          <w:rFonts w:ascii="ITC Avant Garde" w:hAnsi="ITC Avant Garde" w:cs="Arial"/>
          <w:sz w:val="22"/>
          <w:szCs w:val="22"/>
          <w:lang w:val="es-ES"/>
        </w:rPr>
        <w:t>: El CS realiza ante Telmex el cambio de proveedor del servicio de telecomunicaciones.</w:t>
      </w:r>
    </w:p>
    <w:p w14:paraId="40E856C4" w14:textId="4AF3A605" w:rsidR="00FA1C46" w:rsidRPr="00422CA2" w:rsidRDefault="00156D9F" w:rsidP="001A53AC">
      <w:pPr>
        <w:pStyle w:val="Prrafodelista"/>
        <w:numPr>
          <w:ilvl w:val="0"/>
          <w:numId w:val="57"/>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Telmex</w:t>
      </w:r>
      <w:r w:rsidR="00011A1B" w:rsidRPr="00422CA2">
        <w:rPr>
          <w:rFonts w:ascii="ITC Avant Garde" w:hAnsi="ITC Avant Garde" w:cs="Arial"/>
          <w:sz w:val="22"/>
          <w:szCs w:val="22"/>
          <w:lang w:val="es-ES"/>
        </w:rPr>
        <w:t>-CS: Telmex realiza ante el proveedor actual el cambio de proveedor del servicio de telecomunicaciones.</w:t>
      </w:r>
    </w:p>
    <w:p w14:paraId="40E856C5" w14:textId="0034E15E" w:rsidR="00FA1C46" w:rsidRPr="00422CA2" w:rsidRDefault="00011A1B" w:rsidP="001A53AC">
      <w:pPr>
        <w:pStyle w:val="Prrafodelista"/>
        <w:numPr>
          <w:ilvl w:val="0"/>
          <w:numId w:val="57"/>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lastRenderedPageBreak/>
        <w:t xml:space="preserve">CS-CS: Un </w:t>
      </w:r>
      <w:r w:rsidR="00036FA4" w:rsidRPr="00422CA2">
        <w:rPr>
          <w:rFonts w:ascii="ITC Avant Garde" w:hAnsi="ITC Avant Garde" w:cs="Arial"/>
          <w:sz w:val="22"/>
          <w:szCs w:val="22"/>
          <w:lang w:val="es-ES"/>
        </w:rPr>
        <w:t>CS</w:t>
      </w:r>
      <w:r w:rsidRPr="00422CA2">
        <w:rPr>
          <w:rFonts w:ascii="ITC Avant Garde" w:hAnsi="ITC Avant Garde" w:cs="Arial"/>
          <w:sz w:val="22"/>
          <w:szCs w:val="22"/>
          <w:lang w:val="es-ES"/>
        </w:rPr>
        <w:t xml:space="preserve"> </w:t>
      </w:r>
      <w:r w:rsidR="000C6362" w:rsidRPr="00422CA2">
        <w:rPr>
          <w:rFonts w:ascii="ITC Avant Garde" w:hAnsi="ITC Avant Garde" w:cs="Arial"/>
          <w:sz w:val="22"/>
          <w:szCs w:val="22"/>
          <w:lang w:val="es-ES"/>
        </w:rPr>
        <w:t xml:space="preserve">(nuevo proveedor del servicio) realiza el cambio de </w:t>
      </w:r>
      <w:r w:rsidRPr="00422CA2">
        <w:rPr>
          <w:rFonts w:ascii="ITC Avant Garde" w:hAnsi="ITC Avant Garde" w:cs="Arial"/>
          <w:sz w:val="22"/>
          <w:szCs w:val="22"/>
          <w:lang w:val="es-ES"/>
        </w:rPr>
        <w:t xml:space="preserve">proveedor del servicio de telecomunicaciones ante el </w:t>
      </w:r>
      <w:r w:rsidR="00E00372" w:rsidRPr="00422CA2">
        <w:rPr>
          <w:rFonts w:ascii="ITC Avant Garde" w:hAnsi="ITC Avant Garde" w:cs="Arial"/>
          <w:sz w:val="22"/>
          <w:szCs w:val="22"/>
          <w:lang w:val="es-ES"/>
        </w:rPr>
        <w:t xml:space="preserve">proveedor </w:t>
      </w:r>
      <w:r w:rsidRPr="00422CA2">
        <w:rPr>
          <w:rFonts w:ascii="ITC Avant Garde" w:hAnsi="ITC Avant Garde" w:cs="Arial"/>
          <w:sz w:val="22"/>
          <w:szCs w:val="22"/>
          <w:lang w:val="es-ES"/>
        </w:rPr>
        <w:t>actual y Telmex. En este caso se incluirá a Telmex para que éste realice las actuaciones correspondientes a</w:t>
      </w:r>
      <w:r w:rsidR="00E00372" w:rsidRPr="00422CA2">
        <w:rPr>
          <w:rFonts w:ascii="ITC Avant Garde" w:hAnsi="ITC Avant Garde" w:cs="Arial"/>
          <w:sz w:val="22"/>
          <w:szCs w:val="22"/>
          <w:lang w:val="es-ES"/>
        </w:rPr>
        <w:t xml:space="preserve"> los servicios de</w:t>
      </w:r>
      <w:r w:rsidRPr="00422CA2">
        <w:rPr>
          <w:rFonts w:ascii="ITC Avant Garde" w:hAnsi="ITC Avant Garde" w:cs="Arial"/>
          <w:sz w:val="22"/>
          <w:szCs w:val="22"/>
          <w:lang w:val="es-ES"/>
        </w:rPr>
        <w:t xml:space="preserve"> desagregación.</w:t>
      </w:r>
    </w:p>
    <w:p w14:paraId="40E856C7" w14:textId="25E48A94" w:rsidR="00AA21B0" w:rsidRPr="00422CA2" w:rsidRDefault="00011A1B" w:rsidP="001A53AC">
      <w:pPr>
        <w:autoSpaceDE w:val="0"/>
        <w:autoSpaceDN w:val="0"/>
        <w:adjustRightInd w:val="0"/>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 xml:space="preserve">Procedimiento de verificación de voluntad del </w:t>
      </w:r>
      <w:r w:rsidR="00BF5CB5" w:rsidRPr="00422CA2">
        <w:rPr>
          <w:rFonts w:ascii="ITC Avant Garde" w:hAnsi="ITC Avant Garde" w:cs="Arial"/>
          <w:b/>
          <w:sz w:val="22"/>
          <w:szCs w:val="22"/>
          <w:lang w:val="es-ES"/>
        </w:rPr>
        <w:t>suscriptor</w:t>
      </w:r>
      <w:r w:rsidRPr="00422CA2">
        <w:rPr>
          <w:rFonts w:ascii="ITC Avant Garde" w:hAnsi="ITC Avant Garde" w:cs="Arial"/>
          <w:b/>
          <w:sz w:val="22"/>
          <w:szCs w:val="22"/>
          <w:lang w:val="es-ES"/>
        </w:rPr>
        <w:t>/usuario final y cambio de Concesionario en los escenarios CS-T</w:t>
      </w:r>
      <w:r w:rsidR="00156D9F" w:rsidRPr="00422CA2">
        <w:rPr>
          <w:rFonts w:ascii="ITC Avant Garde" w:hAnsi="ITC Avant Garde" w:cs="Arial"/>
          <w:b/>
          <w:sz w:val="22"/>
          <w:szCs w:val="22"/>
          <w:lang w:val="es-ES"/>
        </w:rPr>
        <w:t>elmex</w:t>
      </w:r>
      <w:r w:rsidRPr="00422CA2">
        <w:rPr>
          <w:rFonts w:ascii="ITC Avant Garde" w:hAnsi="ITC Avant Garde" w:cs="Arial"/>
          <w:b/>
          <w:sz w:val="22"/>
          <w:szCs w:val="22"/>
          <w:lang w:val="es-ES"/>
        </w:rPr>
        <w:t>, T</w:t>
      </w:r>
      <w:r w:rsidR="00156D9F" w:rsidRPr="00422CA2">
        <w:rPr>
          <w:rFonts w:ascii="ITC Avant Garde" w:hAnsi="ITC Avant Garde" w:cs="Arial"/>
          <w:b/>
          <w:sz w:val="22"/>
          <w:szCs w:val="22"/>
          <w:lang w:val="es-ES"/>
        </w:rPr>
        <w:t>elmex</w:t>
      </w:r>
      <w:r w:rsidRPr="00422CA2">
        <w:rPr>
          <w:rFonts w:ascii="ITC Avant Garde" w:hAnsi="ITC Avant Garde" w:cs="Arial"/>
          <w:b/>
          <w:sz w:val="22"/>
          <w:szCs w:val="22"/>
          <w:lang w:val="es-ES"/>
        </w:rPr>
        <w:t>-CS, CS-CS (donador-receptor):</w:t>
      </w:r>
    </w:p>
    <w:p w14:paraId="1918EF05" w14:textId="0565A1F8" w:rsidR="000C6362" w:rsidRPr="00422CA2" w:rsidRDefault="000C6362" w:rsidP="001A53AC">
      <w:pPr>
        <w:pStyle w:val="Prrafodelista"/>
        <w:numPr>
          <w:ilvl w:val="0"/>
          <w:numId w:val="99"/>
        </w:numPr>
        <w:autoSpaceDE w:val="0"/>
        <w:autoSpaceDN w:val="0"/>
        <w:adjustRightInd w:val="0"/>
        <w:spacing w:after="200" w:line="276" w:lineRule="auto"/>
        <w:jc w:val="both"/>
        <w:rPr>
          <w:rFonts w:ascii="ITC Avant Garde" w:hAnsi="ITC Avant Garde" w:cs="Arial"/>
          <w:sz w:val="22"/>
          <w:szCs w:val="22"/>
          <w:lang w:val="es-ES"/>
        </w:rPr>
      </w:pPr>
      <w:r w:rsidRPr="00422CA2">
        <w:rPr>
          <w:rFonts w:ascii="ITC Avant Garde" w:hAnsi="ITC Avant Garde" w:cs="Arial"/>
          <w:b/>
          <w:sz w:val="22"/>
          <w:szCs w:val="22"/>
          <w:lang w:val="es-ES"/>
        </w:rPr>
        <w:t>Escenarios CS-Telmex</w:t>
      </w:r>
    </w:p>
    <w:p w14:paraId="6BCEE027" w14:textId="77777777" w:rsidR="00F56A29" w:rsidRPr="00422CA2" w:rsidRDefault="000C6362" w:rsidP="006C26F9">
      <w:pPr>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El CS, solicitará a Telmex los servicios de desagregación correspondientes anexando el formato de verificación de la voluntad debidamente firmado</w:t>
      </w:r>
      <w:r w:rsidR="00F56A29" w:rsidRPr="00422CA2">
        <w:rPr>
          <w:rFonts w:ascii="ITC Avant Garde" w:hAnsi="ITC Avant Garde" w:cs="Arial"/>
          <w:sz w:val="22"/>
          <w:szCs w:val="22"/>
          <w:lang w:val="es-ES"/>
        </w:rPr>
        <w:t>.</w:t>
      </w:r>
      <w:r w:rsidR="002C5022" w:rsidRPr="00422CA2">
        <w:rPr>
          <w:rFonts w:ascii="ITC Avant Garde" w:hAnsi="ITC Avant Garde" w:cs="Arial"/>
          <w:sz w:val="22"/>
          <w:szCs w:val="22"/>
          <w:lang w:val="es-ES"/>
        </w:rPr>
        <w:t xml:space="preserve"> </w:t>
      </w:r>
    </w:p>
    <w:p w14:paraId="655EEAE1" w14:textId="7A7A2808" w:rsidR="000C6362" w:rsidRPr="00422CA2" w:rsidRDefault="002C5022" w:rsidP="00F56A29">
      <w:pPr>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 xml:space="preserve">Telmex habilitará los servicios correspondientes al </w:t>
      </w:r>
      <w:r w:rsidR="00F56A29" w:rsidRPr="00422CA2">
        <w:rPr>
          <w:rFonts w:ascii="ITC Avant Garde" w:hAnsi="ITC Avant Garde" w:cs="Arial"/>
          <w:sz w:val="22"/>
          <w:szCs w:val="22"/>
          <w:lang w:val="es-ES"/>
        </w:rPr>
        <w:t>nuevo proveedor del servicio</w:t>
      </w:r>
      <w:r w:rsidRPr="00422CA2">
        <w:rPr>
          <w:rFonts w:ascii="ITC Avant Garde" w:hAnsi="ITC Avant Garde" w:cs="Arial"/>
          <w:sz w:val="22"/>
          <w:szCs w:val="22"/>
          <w:lang w:val="es-ES"/>
        </w:rPr>
        <w:t xml:space="preserve"> </w:t>
      </w:r>
      <w:r w:rsidR="00F56A29" w:rsidRPr="00422CA2">
        <w:rPr>
          <w:rFonts w:ascii="ITC Avant Garde" w:hAnsi="ITC Avant Garde" w:cs="Arial"/>
          <w:sz w:val="22"/>
          <w:szCs w:val="22"/>
          <w:lang w:val="es-ES"/>
        </w:rPr>
        <w:t>(</w:t>
      </w:r>
      <w:r w:rsidRPr="00422CA2">
        <w:rPr>
          <w:rFonts w:ascii="ITC Avant Garde" w:hAnsi="ITC Avant Garde" w:cs="Arial"/>
          <w:sz w:val="22"/>
          <w:szCs w:val="22"/>
          <w:lang w:val="es-ES"/>
        </w:rPr>
        <w:t>receptor</w:t>
      </w:r>
      <w:r w:rsidR="00F56A29" w:rsidRPr="00422CA2">
        <w:rPr>
          <w:rFonts w:ascii="ITC Avant Garde" w:hAnsi="ITC Avant Garde" w:cs="Arial"/>
          <w:sz w:val="22"/>
          <w:szCs w:val="22"/>
          <w:lang w:val="es-ES"/>
        </w:rPr>
        <w:t>)</w:t>
      </w:r>
      <w:r w:rsidR="000C6362" w:rsidRPr="00422CA2">
        <w:rPr>
          <w:rFonts w:ascii="ITC Avant Garde" w:hAnsi="ITC Avant Garde" w:cs="Arial"/>
          <w:sz w:val="22"/>
          <w:szCs w:val="22"/>
          <w:lang w:val="es-ES"/>
        </w:rPr>
        <w:t>.</w:t>
      </w:r>
    </w:p>
    <w:p w14:paraId="68FFF541" w14:textId="684BD576" w:rsidR="000C6362" w:rsidRPr="00422CA2" w:rsidRDefault="000C6362" w:rsidP="006C26F9">
      <w:pPr>
        <w:pStyle w:val="Prrafodelista"/>
        <w:numPr>
          <w:ilvl w:val="0"/>
          <w:numId w:val="99"/>
        </w:numPr>
        <w:autoSpaceDE w:val="0"/>
        <w:autoSpaceDN w:val="0"/>
        <w:adjustRightInd w:val="0"/>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Escenarios Telmex-CS</w:t>
      </w:r>
    </w:p>
    <w:p w14:paraId="6A63363C" w14:textId="378107EA" w:rsidR="000C6362" w:rsidRPr="00422CA2" w:rsidRDefault="002C5022" w:rsidP="006C26F9">
      <w:pPr>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Telmex entregará al proveedor actual de los servicios de telecomunicaciones copia del Formato de verificación de la voluntad, debidamente firmado.</w:t>
      </w:r>
    </w:p>
    <w:p w14:paraId="5B76449C" w14:textId="740807AB" w:rsidR="002C5022" w:rsidRPr="00422CA2" w:rsidRDefault="002C5022" w:rsidP="006C26F9">
      <w:pPr>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 xml:space="preserve">El proveedor actual de los servicios de telecomunicaciones dará de baja los servicios contratados por el suscriptor. A su vez Telmex dará de baja los servicios de </w:t>
      </w:r>
      <w:r w:rsidR="00F56A29" w:rsidRPr="00422CA2">
        <w:rPr>
          <w:rFonts w:ascii="ITC Avant Garde" w:hAnsi="ITC Avant Garde" w:cs="Arial"/>
          <w:sz w:val="22"/>
          <w:szCs w:val="22"/>
          <w:lang w:val="es-ES"/>
        </w:rPr>
        <w:t>d</w:t>
      </w:r>
      <w:r w:rsidRPr="00422CA2">
        <w:rPr>
          <w:rFonts w:ascii="ITC Avant Garde" w:hAnsi="ITC Avant Garde" w:cs="Arial"/>
          <w:sz w:val="22"/>
          <w:szCs w:val="22"/>
          <w:lang w:val="es-ES"/>
        </w:rPr>
        <w:t>esagregación contratados por dicho proveedor.</w:t>
      </w:r>
    </w:p>
    <w:p w14:paraId="4AE6F160" w14:textId="7E476BBF" w:rsidR="002C5022" w:rsidRPr="00422CA2" w:rsidRDefault="002C5022" w:rsidP="006C26F9">
      <w:pPr>
        <w:pStyle w:val="Prrafodelista"/>
        <w:numPr>
          <w:ilvl w:val="0"/>
          <w:numId w:val="99"/>
        </w:numPr>
        <w:autoSpaceDE w:val="0"/>
        <w:autoSpaceDN w:val="0"/>
        <w:adjustRightInd w:val="0"/>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 xml:space="preserve">Escenarios CS-CS </w:t>
      </w:r>
    </w:p>
    <w:p w14:paraId="3B5EC274" w14:textId="77777777" w:rsidR="00F56A29" w:rsidRPr="00422CA2" w:rsidRDefault="002C5022" w:rsidP="002C5022">
      <w:pPr>
        <w:pStyle w:val="Prrafodelista"/>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El CS-B, (nuevo proveedor del servicio) solicitará a Telmex los servicios de Desagregación correspondientes anexando el formato de verificación de la volunta</w:t>
      </w:r>
      <w:r w:rsidR="00F56A29" w:rsidRPr="00422CA2">
        <w:rPr>
          <w:rFonts w:ascii="ITC Avant Garde" w:hAnsi="ITC Avant Garde" w:cs="Arial"/>
          <w:sz w:val="22"/>
          <w:szCs w:val="22"/>
          <w:lang w:val="es-ES"/>
        </w:rPr>
        <w:t xml:space="preserve">d debidamente firmado. </w:t>
      </w:r>
    </w:p>
    <w:p w14:paraId="467DB63B" w14:textId="1AA72E02" w:rsidR="002C5022" w:rsidRPr="00422CA2" w:rsidRDefault="00F56A29" w:rsidP="002C5022">
      <w:pPr>
        <w:pStyle w:val="Prrafodelista"/>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Telmex habilitará los servicios correspondientes al nuevo proveedor del servicio (receptor)</w:t>
      </w:r>
    </w:p>
    <w:p w14:paraId="1D7F2698" w14:textId="77777777" w:rsidR="00F17CD0" w:rsidRPr="00422CA2" w:rsidRDefault="00F17CD0" w:rsidP="00F17CD0">
      <w:pPr>
        <w:pStyle w:val="Prrafodelista"/>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De manera simultánea, el CS-B deberá notificar al CS-A de la solicitud de cambio de proveedor por parte del suscriptor.</w:t>
      </w:r>
    </w:p>
    <w:p w14:paraId="24AF3966" w14:textId="32446E09" w:rsidR="002C5022" w:rsidRPr="00422CA2" w:rsidRDefault="002C5022" w:rsidP="002C5022">
      <w:pPr>
        <w:pStyle w:val="Prrafodelista"/>
        <w:autoSpaceDE w:val="0"/>
        <w:autoSpaceDN w:val="0"/>
        <w:adjustRightInd w:val="0"/>
        <w:spacing w:after="200" w:line="276" w:lineRule="auto"/>
        <w:ind w:left="720"/>
        <w:jc w:val="both"/>
        <w:rPr>
          <w:rFonts w:ascii="ITC Avant Garde" w:hAnsi="ITC Avant Garde" w:cs="Arial"/>
          <w:sz w:val="22"/>
          <w:szCs w:val="22"/>
          <w:lang w:val="es-ES"/>
        </w:rPr>
      </w:pPr>
      <w:r w:rsidRPr="00422CA2">
        <w:rPr>
          <w:rFonts w:ascii="ITC Avant Garde" w:hAnsi="ITC Avant Garde" w:cs="Arial"/>
          <w:sz w:val="22"/>
          <w:szCs w:val="22"/>
          <w:lang w:val="es-ES"/>
        </w:rPr>
        <w:t>Telmex notificará al CS-A (proveedor actual) cuando se haya realizado el cambio de proveedor de los servicios de telecomunicaciones.</w:t>
      </w:r>
    </w:p>
    <w:p w14:paraId="0623A1D1" w14:textId="669EBF39" w:rsidR="00ED611F" w:rsidRPr="00422CA2" w:rsidRDefault="00011A1B" w:rsidP="001A53AC">
      <w:p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En la verificación de voluntad del </w:t>
      </w:r>
      <w:r w:rsidR="0023587D" w:rsidRPr="00422CA2">
        <w:rPr>
          <w:rFonts w:ascii="ITC Avant Garde" w:hAnsi="ITC Avant Garde" w:cs="Arial"/>
          <w:sz w:val="22"/>
          <w:szCs w:val="22"/>
          <w:lang w:val="es-ES"/>
        </w:rPr>
        <w:t>suscriptor</w:t>
      </w:r>
      <w:r w:rsidRPr="00422CA2">
        <w:rPr>
          <w:rFonts w:ascii="ITC Avant Garde" w:hAnsi="ITC Avant Garde" w:cs="Arial"/>
          <w:sz w:val="22"/>
          <w:szCs w:val="22"/>
          <w:lang w:val="es-ES"/>
        </w:rPr>
        <w:t xml:space="preserve">/usuario final Telmex sólo validará que el número de línea </w:t>
      </w:r>
      <w:r w:rsidR="00393F39" w:rsidRPr="00422CA2">
        <w:rPr>
          <w:rFonts w:ascii="ITC Avant Garde" w:hAnsi="ITC Avant Garde" w:cs="Arial"/>
          <w:sz w:val="22"/>
          <w:szCs w:val="22"/>
          <w:lang w:val="es-ES"/>
        </w:rPr>
        <w:t>del</w:t>
      </w:r>
      <w:r w:rsidRPr="00422CA2">
        <w:rPr>
          <w:rFonts w:ascii="ITC Avant Garde" w:hAnsi="ITC Avant Garde" w:cs="Arial"/>
          <w:sz w:val="22"/>
          <w:szCs w:val="22"/>
          <w:lang w:val="es-ES"/>
        </w:rPr>
        <w:t xml:space="preserve"> </w:t>
      </w:r>
      <w:r w:rsidR="0023587D" w:rsidRPr="00422CA2">
        <w:rPr>
          <w:rFonts w:ascii="ITC Avant Garde" w:hAnsi="ITC Avant Garde" w:cs="Arial"/>
          <w:sz w:val="22"/>
          <w:szCs w:val="22"/>
          <w:lang w:val="es-ES"/>
        </w:rPr>
        <w:t>suscriptor</w:t>
      </w:r>
      <w:r w:rsidRPr="00422CA2">
        <w:rPr>
          <w:rFonts w:ascii="ITC Avant Garde" w:hAnsi="ITC Avant Garde" w:cs="Arial"/>
          <w:sz w:val="22"/>
          <w:szCs w:val="22"/>
          <w:lang w:val="es-ES"/>
        </w:rPr>
        <w:t xml:space="preserve">/usuario final </w:t>
      </w:r>
      <w:r w:rsidR="00EF5452" w:rsidRPr="00422CA2">
        <w:rPr>
          <w:rFonts w:ascii="ITC Avant Garde" w:hAnsi="ITC Avant Garde" w:cs="Arial"/>
          <w:sz w:val="22"/>
          <w:szCs w:val="22"/>
          <w:lang w:val="es-ES"/>
        </w:rPr>
        <w:t xml:space="preserve">o el número de suscriptor </w:t>
      </w:r>
      <w:r w:rsidRPr="00422CA2">
        <w:rPr>
          <w:rFonts w:ascii="ITC Avant Garde" w:hAnsi="ITC Avant Garde" w:cs="Arial"/>
          <w:sz w:val="22"/>
          <w:szCs w:val="22"/>
          <w:lang w:val="es-ES"/>
        </w:rPr>
        <w:t>est</w:t>
      </w:r>
      <w:r w:rsidR="00387854" w:rsidRPr="00422CA2">
        <w:rPr>
          <w:rFonts w:ascii="ITC Avant Garde" w:hAnsi="ITC Avant Garde" w:cs="Arial"/>
          <w:sz w:val="22"/>
          <w:szCs w:val="22"/>
          <w:lang w:val="es-ES"/>
        </w:rPr>
        <w:t>é</w:t>
      </w:r>
      <w:r w:rsidR="00EF5452" w:rsidRPr="00422CA2">
        <w:rPr>
          <w:rFonts w:ascii="ITC Avant Garde" w:hAnsi="ITC Avant Garde" w:cs="Arial"/>
          <w:sz w:val="22"/>
          <w:szCs w:val="22"/>
          <w:lang w:val="es-ES"/>
        </w:rPr>
        <w:t>n</w:t>
      </w:r>
      <w:r w:rsidRPr="00422CA2">
        <w:rPr>
          <w:rFonts w:ascii="ITC Avant Garde" w:hAnsi="ITC Avant Garde" w:cs="Arial"/>
          <w:sz w:val="22"/>
          <w:szCs w:val="22"/>
          <w:lang w:val="es-ES"/>
        </w:rPr>
        <w:t xml:space="preserve"> asociado</w:t>
      </w:r>
      <w:r w:rsidR="00EF5452" w:rsidRPr="00422CA2">
        <w:rPr>
          <w:rFonts w:ascii="ITC Avant Garde" w:hAnsi="ITC Avant Garde" w:cs="Arial"/>
          <w:sz w:val="22"/>
          <w:szCs w:val="22"/>
          <w:lang w:val="es-ES"/>
        </w:rPr>
        <w:t>s</w:t>
      </w:r>
      <w:r w:rsidRPr="00422CA2">
        <w:rPr>
          <w:rFonts w:ascii="ITC Avant Garde" w:hAnsi="ITC Avant Garde" w:cs="Arial"/>
          <w:sz w:val="22"/>
          <w:szCs w:val="22"/>
          <w:lang w:val="es-ES"/>
        </w:rPr>
        <w:t xml:space="preserve"> a un servicio activo y que </w:t>
      </w:r>
      <w:r w:rsidR="001255D9" w:rsidRPr="00422CA2">
        <w:rPr>
          <w:rFonts w:ascii="ITC Avant Garde" w:hAnsi="ITC Avant Garde" w:cs="Arial"/>
          <w:sz w:val="22"/>
          <w:szCs w:val="22"/>
          <w:lang w:val="es-ES"/>
        </w:rPr>
        <w:t xml:space="preserve">el nombre y el número del suscriptor </w:t>
      </w:r>
      <w:r w:rsidR="00ED611F" w:rsidRPr="00422CA2">
        <w:rPr>
          <w:rFonts w:ascii="ITC Avant Garde" w:hAnsi="ITC Avant Garde" w:cs="Arial"/>
          <w:sz w:val="22"/>
          <w:szCs w:val="22"/>
          <w:lang w:val="es-ES"/>
        </w:rPr>
        <w:t>coincida</w:t>
      </w:r>
      <w:r w:rsidR="001255D9" w:rsidRPr="00422CA2">
        <w:rPr>
          <w:rFonts w:ascii="ITC Avant Garde" w:hAnsi="ITC Avant Garde" w:cs="Arial"/>
          <w:sz w:val="22"/>
          <w:szCs w:val="22"/>
          <w:lang w:val="es-ES"/>
        </w:rPr>
        <w:t>n</w:t>
      </w:r>
      <w:r w:rsidRPr="00422CA2">
        <w:rPr>
          <w:rFonts w:ascii="ITC Avant Garde" w:hAnsi="ITC Avant Garde" w:cs="Arial"/>
          <w:sz w:val="22"/>
          <w:szCs w:val="22"/>
          <w:lang w:val="es-ES"/>
        </w:rPr>
        <w:t xml:space="preserve">, </w:t>
      </w:r>
      <w:r w:rsidRPr="00422CA2">
        <w:rPr>
          <w:rFonts w:ascii="ITC Avant Garde" w:hAnsi="ITC Avant Garde" w:cs="Arial"/>
          <w:sz w:val="22"/>
          <w:szCs w:val="22"/>
          <w:lang w:val="es-ES"/>
        </w:rPr>
        <w:lastRenderedPageBreak/>
        <w:t>sin que esto signifique que Telmex validará la veracidad de la información proporcionada.</w:t>
      </w:r>
    </w:p>
    <w:p w14:paraId="40E856CD" w14:textId="77777777" w:rsidR="006C2AC2" w:rsidRPr="00422CA2" w:rsidRDefault="00011A1B" w:rsidP="001A53AC">
      <w:pPr>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 xml:space="preserve">Verificación de la voluntad del usuario en caso de números de grupo. </w:t>
      </w:r>
    </w:p>
    <w:p w14:paraId="40E856CE" w14:textId="333641F8" w:rsidR="006C2AC2"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Para números de grupo, es decir, los casos donde exista servicio con agrupación de líneas, cada línea del grupo será considerada como un servicio de desagregación independiente </w:t>
      </w:r>
      <w:r w:rsidR="000B2DA1" w:rsidRPr="00422CA2">
        <w:rPr>
          <w:rFonts w:ascii="ITC Avant Garde" w:hAnsi="ITC Avant Garde"/>
          <w:sz w:val="22"/>
          <w:szCs w:val="22"/>
          <w:lang w:val="es-ES"/>
        </w:rPr>
        <w:t>y</w:t>
      </w:r>
      <w:r w:rsidR="00C84157" w:rsidRPr="00422CA2">
        <w:rPr>
          <w:rFonts w:ascii="ITC Avant Garde" w:hAnsi="ITC Avant Garde"/>
          <w:sz w:val="22"/>
          <w:szCs w:val="22"/>
          <w:lang w:val="es-ES"/>
        </w:rPr>
        <w:t xml:space="preserve"> el cobro por habilitación se realizará </w:t>
      </w:r>
      <w:r w:rsidR="009C4BF3" w:rsidRPr="00422CA2">
        <w:rPr>
          <w:rFonts w:ascii="ITC Avant Garde" w:hAnsi="ITC Avant Garde"/>
          <w:sz w:val="22"/>
          <w:szCs w:val="22"/>
          <w:lang w:val="es-ES"/>
        </w:rPr>
        <w:t>en un solo pago que integra el costo de cada línea, la cual deberá reflejar ahorros por sinergias de la agrupación de líneas</w:t>
      </w:r>
      <w:r w:rsidRPr="00422CA2">
        <w:rPr>
          <w:rFonts w:ascii="ITC Avant Garde" w:hAnsi="ITC Avant Garde"/>
          <w:sz w:val="22"/>
          <w:szCs w:val="22"/>
          <w:lang w:val="es-ES"/>
        </w:rPr>
        <w:t xml:space="preserve">. Para solicitar los servicios, el CS deberá </w:t>
      </w:r>
      <w:r w:rsidR="00EB73C6" w:rsidRPr="00422CA2">
        <w:rPr>
          <w:rFonts w:ascii="ITC Avant Garde" w:hAnsi="ITC Avant Garde"/>
          <w:sz w:val="22"/>
          <w:szCs w:val="22"/>
          <w:lang w:val="es-ES"/>
        </w:rPr>
        <w:t xml:space="preserve">requerirlo a través de una sola solicitud e </w:t>
      </w:r>
      <w:r w:rsidRPr="00422CA2">
        <w:rPr>
          <w:rFonts w:ascii="ITC Avant Garde" w:hAnsi="ITC Avant Garde"/>
          <w:sz w:val="22"/>
          <w:szCs w:val="22"/>
          <w:lang w:val="es-ES"/>
        </w:rPr>
        <w:t>indicar en el formato respectivo la cabecera del número de grupo y los números asociados que desea contratar.</w:t>
      </w:r>
    </w:p>
    <w:p w14:paraId="40E856D1" w14:textId="3EC57C24" w:rsidR="006C2AC2" w:rsidRPr="00422CA2" w:rsidRDefault="00011A1B" w:rsidP="001A53AC">
      <w:pPr>
        <w:spacing w:after="200" w:line="276" w:lineRule="auto"/>
        <w:jc w:val="both"/>
        <w:rPr>
          <w:rFonts w:ascii="ITC Avant Garde" w:hAnsi="ITC Avant Garde"/>
          <w:b/>
          <w:sz w:val="22"/>
          <w:szCs w:val="22"/>
          <w:lang w:val="es-ES"/>
        </w:rPr>
      </w:pPr>
      <w:r w:rsidRPr="00422CA2">
        <w:rPr>
          <w:rFonts w:ascii="ITC Avant Garde" w:hAnsi="ITC Avant Garde"/>
          <w:sz w:val="22"/>
          <w:szCs w:val="22"/>
          <w:lang w:val="es-ES"/>
        </w:rPr>
        <w:t xml:space="preserve">Cuando se solicite efectuar la desagregación de la línea que funge como cabecera de grupo, pero el </w:t>
      </w:r>
      <w:r w:rsidR="00F01E1E" w:rsidRPr="00422CA2">
        <w:rPr>
          <w:rFonts w:ascii="ITC Avant Garde" w:hAnsi="ITC Avant Garde"/>
          <w:sz w:val="22"/>
          <w:szCs w:val="22"/>
          <w:lang w:val="es-ES"/>
        </w:rPr>
        <w:t>suscriptor</w:t>
      </w:r>
      <w:r w:rsidRPr="00422CA2">
        <w:rPr>
          <w:rFonts w:ascii="ITC Avant Garde" w:hAnsi="ITC Avant Garde"/>
          <w:sz w:val="22"/>
          <w:szCs w:val="22"/>
          <w:lang w:val="es-ES"/>
        </w:rPr>
        <w:t xml:space="preserve">/usuario final desee conservar el grupo de líneas operando en la red de Telmex, se deberá indicar en </w:t>
      </w:r>
      <w:r w:rsidR="00F01E1E" w:rsidRPr="00422CA2">
        <w:rPr>
          <w:rFonts w:ascii="ITC Avant Garde" w:hAnsi="ITC Avant Garde"/>
          <w:sz w:val="22"/>
          <w:szCs w:val="22"/>
          <w:lang w:val="es-ES"/>
        </w:rPr>
        <w:t>el formato de</w:t>
      </w:r>
      <w:r w:rsidRPr="00422CA2">
        <w:rPr>
          <w:rFonts w:ascii="ITC Avant Garde" w:hAnsi="ITC Avant Garde"/>
          <w:sz w:val="22"/>
          <w:szCs w:val="22"/>
          <w:lang w:val="es-ES"/>
        </w:rPr>
        <w:t xml:space="preserve"> verificación de la voluntad del </w:t>
      </w:r>
      <w:r w:rsidR="00F01E1E" w:rsidRPr="00422CA2">
        <w:rPr>
          <w:rFonts w:ascii="ITC Avant Garde" w:hAnsi="ITC Avant Garde"/>
          <w:sz w:val="22"/>
          <w:szCs w:val="22"/>
          <w:lang w:val="es-ES"/>
        </w:rPr>
        <w:t>suscriptor</w:t>
      </w:r>
      <w:r w:rsidRPr="00422CA2">
        <w:rPr>
          <w:rFonts w:ascii="ITC Avant Garde" w:hAnsi="ITC Avant Garde"/>
          <w:sz w:val="22"/>
          <w:szCs w:val="22"/>
          <w:lang w:val="es-ES"/>
        </w:rPr>
        <w:t>/usuario final</w:t>
      </w:r>
      <w:r w:rsidR="00F01E1E" w:rsidRPr="00422CA2" w:rsidDel="00F01E1E">
        <w:rPr>
          <w:rFonts w:ascii="ITC Avant Garde" w:hAnsi="ITC Avant Garde"/>
          <w:sz w:val="22"/>
          <w:szCs w:val="22"/>
          <w:lang w:val="es-ES"/>
        </w:rPr>
        <w:t xml:space="preserve"> </w:t>
      </w:r>
      <w:r w:rsidRPr="00422CA2">
        <w:rPr>
          <w:rFonts w:ascii="ITC Avant Garde" w:hAnsi="ITC Avant Garde"/>
          <w:sz w:val="22"/>
          <w:szCs w:val="22"/>
          <w:lang w:val="es-ES"/>
        </w:rPr>
        <w:t xml:space="preserve"> la nueva línea (Telmex) que será cabecera del grupo.</w:t>
      </w:r>
    </w:p>
    <w:p w14:paraId="40E856D3" w14:textId="77777777" w:rsidR="008A5005"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 caso de solicitar la desagregación de una o más líneas asociadas a un número de grupo sin que éste sufra modificaciones, se procederá al alta de las líneas en el servicio solicitado, no se deberá indicar un número adicional de cabecera.</w:t>
      </w:r>
    </w:p>
    <w:p w14:paraId="40E856D5" w14:textId="77777777" w:rsidR="00626641"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En caso de que un CS solicite la desagregación de todas las líneas asociadas a un número de grupo y requiera mantener el número de grupo, el CS deberá solicitar la desagregación de cada una de las líneas que conforman el número de grupo, se procederá a la desagregación de cada uno de los pares asociados a ese grupo y el CS deberá cumplir con el proceso de portabilidad en tiempo y forma para conservar el número de grupo. </w:t>
      </w:r>
    </w:p>
    <w:p w14:paraId="40E856DB" w14:textId="5E79318A" w:rsidR="006C23AB" w:rsidRPr="00422CA2" w:rsidRDefault="000B6824" w:rsidP="001A53AC">
      <w:pPr>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C</w:t>
      </w:r>
      <w:r w:rsidR="00011A1B" w:rsidRPr="00422CA2">
        <w:rPr>
          <w:rFonts w:ascii="ITC Avant Garde" w:hAnsi="ITC Avant Garde" w:cs="Arial"/>
          <w:b/>
          <w:sz w:val="22"/>
          <w:szCs w:val="22"/>
          <w:lang w:val="es-ES"/>
        </w:rPr>
        <w:t xml:space="preserve">ontratación o modificación de alguno de los servicios de telecomunicaciones del </w:t>
      </w:r>
      <w:r w:rsidRPr="00422CA2">
        <w:rPr>
          <w:rFonts w:ascii="ITC Avant Garde" w:hAnsi="ITC Avant Garde" w:cs="Arial"/>
          <w:b/>
          <w:sz w:val="22"/>
          <w:szCs w:val="22"/>
          <w:lang w:val="es-ES"/>
        </w:rPr>
        <w:t>suscriptor</w:t>
      </w:r>
      <w:r w:rsidR="00011A1B" w:rsidRPr="00422CA2">
        <w:rPr>
          <w:rFonts w:ascii="ITC Avant Garde" w:hAnsi="ITC Avant Garde" w:cs="Arial"/>
          <w:b/>
          <w:sz w:val="22"/>
          <w:szCs w:val="22"/>
          <w:lang w:val="es-ES"/>
        </w:rPr>
        <w:t>/usuario final</w:t>
      </w:r>
      <w:r w:rsidRPr="00422CA2">
        <w:rPr>
          <w:rFonts w:ascii="ITC Avant Garde" w:hAnsi="ITC Avant Garde" w:cs="Arial"/>
          <w:b/>
          <w:sz w:val="22"/>
          <w:szCs w:val="22"/>
          <w:lang w:val="es-ES"/>
        </w:rPr>
        <w:t xml:space="preserve">. </w:t>
      </w:r>
    </w:p>
    <w:p w14:paraId="40E856DC" w14:textId="77777777" w:rsidR="006C23AB"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 caso de que el CS desee contratar o modificar alguno de los servicios de telecomunicaciones que hubiera contratado derivado de esta OREDA, deberá:</w:t>
      </w:r>
    </w:p>
    <w:p w14:paraId="40E856DE" w14:textId="3CF56126" w:rsidR="00530A32" w:rsidRPr="00422CA2" w:rsidRDefault="008C488F" w:rsidP="001A53AC">
      <w:pPr>
        <w:pStyle w:val="Prrafodelista"/>
        <w:numPr>
          <w:ilvl w:val="0"/>
          <w:numId w:val="89"/>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R</w:t>
      </w:r>
      <w:r w:rsidR="001A03B7" w:rsidRPr="00422CA2">
        <w:rPr>
          <w:rFonts w:ascii="ITC Avant Garde" w:hAnsi="ITC Avant Garde"/>
          <w:sz w:val="22"/>
          <w:szCs w:val="22"/>
          <w:lang w:val="es-ES"/>
        </w:rPr>
        <w:t>esguardar</w:t>
      </w:r>
      <w:r w:rsidR="00B91516" w:rsidRPr="00422CA2">
        <w:rPr>
          <w:rFonts w:ascii="ITC Avant Garde" w:hAnsi="ITC Avant Garde"/>
          <w:sz w:val="22"/>
          <w:szCs w:val="22"/>
          <w:lang w:val="es-ES"/>
        </w:rPr>
        <w:t xml:space="preserve"> el documento que refleje el consentimiento por parte suscriptor</w:t>
      </w:r>
      <w:r w:rsidR="000A6471" w:rsidRPr="00422CA2">
        <w:rPr>
          <w:rFonts w:ascii="ITC Avant Garde" w:hAnsi="ITC Avant Garde"/>
          <w:sz w:val="22"/>
          <w:szCs w:val="22"/>
          <w:lang w:val="es-ES"/>
        </w:rPr>
        <w:t>/</w:t>
      </w:r>
      <w:r w:rsidR="00B91516" w:rsidRPr="00422CA2">
        <w:rPr>
          <w:rFonts w:ascii="ITC Avant Garde" w:hAnsi="ITC Avant Garde"/>
          <w:sz w:val="22"/>
          <w:szCs w:val="22"/>
          <w:lang w:val="es-ES"/>
        </w:rPr>
        <w:t>usuario final</w:t>
      </w:r>
      <w:r w:rsidR="00011A1B" w:rsidRPr="00422CA2">
        <w:rPr>
          <w:rFonts w:ascii="ITC Avant Garde" w:hAnsi="ITC Avant Garde"/>
          <w:sz w:val="22"/>
          <w:szCs w:val="22"/>
          <w:lang w:val="es-ES"/>
        </w:rPr>
        <w:t xml:space="preserve">  para realizar la contratación o modificación de los servicios de telecomunicaciones.</w:t>
      </w:r>
    </w:p>
    <w:p w14:paraId="13FDCEF8" w14:textId="731AE72A" w:rsidR="0094601A" w:rsidRPr="00422CA2" w:rsidRDefault="0094601A" w:rsidP="001A53AC">
      <w:pPr>
        <w:pStyle w:val="Prrafodelista"/>
        <w:numPr>
          <w:ilvl w:val="0"/>
          <w:numId w:val="89"/>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 caso de que el CS requiera modificar servicios de desagregaci</w:t>
      </w:r>
      <w:r w:rsidR="009F3318" w:rsidRPr="00422CA2">
        <w:rPr>
          <w:rFonts w:ascii="ITC Avant Garde" w:hAnsi="ITC Avant Garde"/>
          <w:sz w:val="22"/>
          <w:szCs w:val="22"/>
          <w:lang w:val="es-ES"/>
        </w:rPr>
        <w:t>ón para proveer los ser</w:t>
      </w:r>
      <w:r w:rsidRPr="00422CA2">
        <w:rPr>
          <w:rFonts w:ascii="ITC Avant Garde" w:hAnsi="ITC Avant Garde"/>
          <w:sz w:val="22"/>
          <w:szCs w:val="22"/>
          <w:lang w:val="es-ES"/>
        </w:rPr>
        <w:t>v</w:t>
      </w:r>
      <w:r w:rsidR="009F3318" w:rsidRPr="00422CA2">
        <w:rPr>
          <w:rFonts w:ascii="ITC Avant Garde" w:hAnsi="ITC Avant Garde"/>
          <w:sz w:val="22"/>
          <w:szCs w:val="22"/>
          <w:lang w:val="es-ES"/>
        </w:rPr>
        <w:t>ic</w:t>
      </w:r>
      <w:r w:rsidRPr="00422CA2">
        <w:rPr>
          <w:rFonts w:ascii="ITC Avant Garde" w:hAnsi="ITC Avant Garde"/>
          <w:sz w:val="22"/>
          <w:szCs w:val="22"/>
          <w:lang w:val="es-ES"/>
        </w:rPr>
        <w:t xml:space="preserve">ios de telecomunicaciones al </w:t>
      </w:r>
      <w:r w:rsidR="009F3318" w:rsidRPr="00422CA2">
        <w:rPr>
          <w:rFonts w:ascii="ITC Avant Garde" w:hAnsi="ITC Avant Garde"/>
          <w:sz w:val="22"/>
          <w:szCs w:val="22"/>
          <w:lang w:val="es-ES"/>
        </w:rPr>
        <w:t>suscriptor</w:t>
      </w:r>
      <w:r w:rsidRPr="00422CA2">
        <w:rPr>
          <w:rFonts w:ascii="ITC Avant Garde" w:hAnsi="ITC Avant Garde"/>
          <w:sz w:val="22"/>
          <w:szCs w:val="22"/>
          <w:lang w:val="es-ES"/>
        </w:rPr>
        <w:t>/usuario final</w:t>
      </w:r>
      <w:r w:rsidR="00826280" w:rsidRPr="00422CA2">
        <w:rPr>
          <w:rFonts w:ascii="ITC Avant Garde" w:hAnsi="ITC Avant Garde"/>
          <w:sz w:val="22"/>
          <w:szCs w:val="22"/>
          <w:lang w:val="es-ES"/>
        </w:rPr>
        <w:t xml:space="preserve">, </w:t>
      </w:r>
      <w:r w:rsidR="00E64508" w:rsidRPr="00422CA2">
        <w:rPr>
          <w:rFonts w:ascii="ITC Avant Garde" w:hAnsi="ITC Avant Garde"/>
          <w:sz w:val="22"/>
          <w:szCs w:val="22"/>
          <w:lang w:val="es-ES"/>
        </w:rPr>
        <w:t>Telmex</w:t>
      </w:r>
      <w:r w:rsidR="00826280" w:rsidRPr="00422CA2">
        <w:rPr>
          <w:rFonts w:ascii="ITC Avant Garde" w:hAnsi="ITC Avant Garde"/>
          <w:sz w:val="22"/>
          <w:szCs w:val="22"/>
          <w:lang w:val="es-ES"/>
        </w:rPr>
        <w:t xml:space="preserve"> no podrá solicitar nuevamente al CS </w:t>
      </w:r>
      <w:r w:rsidR="00B05097" w:rsidRPr="00422CA2">
        <w:rPr>
          <w:rFonts w:ascii="ITC Avant Garde" w:hAnsi="ITC Avant Garde"/>
          <w:sz w:val="22"/>
          <w:szCs w:val="22"/>
          <w:lang w:val="es-ES"/>
        </w:rPr>
        <w:t>el</w:t>
      </w:r>
      <w:r w:rsidR="00826280" w:rsidRPr="00422CA2">
        <w:rPr>
          <w:rFonts w:ascii="ITC Avant Garde" w:hAnsi="ITC Avant Garde"/>
          <w:sz w:val="22"/>
          <w:szCs w:val="22"/>
          <w:lang w:val="es-ES"/>
        </w:rPr>
        <w:t xml:space="preserve"> formato</w:t>
      </w:r>
      <w:r w:rsidR="00B05097" w:rsidRPr="00422CA2">
        <w:rPr>
          <w:rFonts w:ascii="ITC Avant Garde" w:hAnsi="ITC Avant Garde"/>
          <w:sz w:val="22"/>
          <w:szCs w:val="22"/>
          <w:lang w:val="es-ES"/>
        </w:rPr>
        <w:t xml:space="preserve"> de verificación de voluntad</w:t>
      </w:r>
      <w:r w:rsidR="001A03B7" w:rsidRPr="00422CA2">
        <w:rPr>
          <w:rFonts w:ascii="ITC Avant Garde" w:hAnsi="ITC Avant Garde"/>
          <w:sz w:val="22"/>
          <w:szCs w:val="22"/>
          <w:lang w:val="es-ES"/>
        </w:rPr>
        <w:t>.</w:t>
      </w:r>
      <w:r w:rsidRPr="00422CA2">
        <w:rPr>
          <w:rFonts w:ascii="ITC Avant Garde" w:hAnsi="ITC Avant Garde"/>
          <w:sz w:val="22"/>
          <w:szCs w:val="22"/>
          <w:lang w:val="es-ES"/>
        </w:rPr>
        <w:t xml:space="preserve"> </w:t>
      </w:r>
    </w:p>
    <w:p w14:paraId="40E856DF" w14:textId="702B3F7B" w:rsidR="00530A32" w:rsidRPr="00422CA2" w:rsidRDefault="00011A1B" w:rsidP="001A53AC">
      <w:pPr>
        <w:pStyle w:val="Prrafodelista"/>
        <w:numPr>
          <w:ilvl w:val="0"/>
          <w:numId w:val="89"/>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lastRenderedPageBreak/>
        <w:t xml:space="preserve">Las contrataciones o modificaciones solicitadas serán atendidas conforme a los procedimientos que para cada uno de los servicios se señalan a lo largo de la presente </w:t>
      </w:r>
      <w:r w:rsidR="00CA026A">
        <w:rPr>
          <w:rFonts w:ascii="ITC Avant Garde" w:hAnsi="ITC Avant Garde"/>
          <w:sz w:val="22"/>
          <w:szCs w:val="22"/>
          <w:lang w:val="es-ES"/>
        </w:rPr>
        <w:t>OREDA</w:t>
      </w:r>
      <w:r w:rsidRPr="00422CA2">
        <w:rPr>
          <w:rFonts w:ascii="ITC Avant Garde" w:hAnsi="ITC Avant Garde"/>
          <w:sz w:val="22"/>
          <w:szCs w:val="22"/>
          <w:lang w:val="es-ES"/>
        </w:rPr>
        <w:t>.</w:t>
      </w:r>
    </w:p>
    <w:p w14:paraId="40E856EB" w14:textId="77777777" w:rsidR="00530A32" w:rsidRPr="00422CA2" w:rsidRDefault="00011A1B" w:rsidP="004129D1">
      <w:pPr>
        <w:pStyle w:val="Ttulo1"/>
      </w:pPr>
      <w:bookmarkStart w:id="103" w:name="_Toc436840869"/>
      <w:bookmarkStart w:id="104" w:name="_Toc436846306"/>
      <w:bookmarkStart w:id="105" w:name="_Toc436848256"/>
      <w:bookmarkStart w:id="106" w:name="_Toc436856504"/>
      <w:bookmarkStart w:id="107" w:name="_Toc436862650"/>
      <w:bookmarkStart w:id="108" w:name="_Toc436866300"/>
      <w:bookmarkStart w:id="109" w:name="_Toc436870879"/>
      <w:bookmarkStart w:id="110" w:name="_Toc436875871"/>
      <w:bookmarkStart w:id="111" w:name="_Toc437602059"/>
      <w:r w:rsidRPr="00422CA2">
        <w:t>1.6</w:t>
      </w:r>
      <w:r w:rsidR="00326841" w:rsidRPr="00422CA2">
        <w:t>.</w:t>
      </w:r>
      <w:r w:rsidRPr="00422CA2">
        <w:tab/>
        <w:t>Procedimiento de calificación del bucle de cobre.</w:t>
      </w:r>
      <w:bookmarkEnd w:id="103"/>
      <w:bookmarkEnd w:id="104"/>
      <w:bookmarkEnd w:id="105"/>
      <w:bookmarkEnd w:id="106"/>
      <w:bookmarkEnd w:id="107"/>
      <w:bookmarkEnd w:id="108"/>
      <w:bookmarkEnd w:id="109"/>
      <w:bookmarkEnd w:id="110"/>
      <w:bookmarkEnd w:id="111"/>
    </w:p>
    <w:p w14:paraId="40E856EC" w14:textId="158963EF" w:rsidR="00530A32"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La determinación de la calificación en los bucles de cobre de la red de Telmex se basa en pruebas que reflejan la velocidad máxima alcanzable por </w:t>
      </w:r>
      <w:r w:rsidR="00CB2905" w:rsidRPr="00422CA2">
        <w:rPr>
          <w:rFonts w:ascii="ITC Avant Garde" w:hAnsi="ITC Avant Garde"/>
          <w:sz w:val="22"/>
          <w:szCs w:val="22"/>
          <w:lang w:val="es-ES"/>
        </w:rPr>
        <w:t>cada</w:t>
      </w:r>
      <w:r w:rsidRPr="00422CA2">
        <w:rPr>
          <w:rFonts w:ascii="ITC Avant Garde" w:hAnsi="ITC Avant Garde"/>
          <w:sz w:val="22"/>
          <w:szCs w:val="22"/>
          <w:lang w:val="es-ES"/>
        </w:rPr>
        <w:t xml:space="preserve"> bucle, dicha determinación permite asignar la velocidad máxima de datos en un bucle, de la misma forma en que lo hace Telmex para sus propias operaciones.</w:t>
      </w:r>
    </w:p>
    <w:p w14:paraId="4A4D6875" w14:textId="1E79B941" w:rsidR="00D11FC4" w:rsidRPr="00422CA2" w:rsidRDefault="00D11FC4" w:rsidP="00D11FC4">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La información disponible que indica la sección 3 de esta </w:t>
      </w:r>
      <w:r w:rsidR="00CA026A">
        <w:rPr>
          <w:rFonts w:ascii="ITC Avant Garde" w:hAnsi="ITC Avant Garde"/>
          <w:sz w:val="22"/>
          <w:szCs w:val="22"/>
          <w:lang w:val="es-ES"/>
        </w:rPr>
        <w:t>OREDA</w:t>
      </w:r>
      <w:r w:rsidRPr="00422CA2">
        <w:rPr>
          <w:rFonts w:ascii="ITC Avant Garde" w:hAnsi="ITC Avant Garde"/>
          <w:sz w:val="22"/>
          <w:szCs w:val="22"/>
          <w:lang w:val="es-ES"/>
        </w:rPr>
        <w:t xml:space="preserve"> representa el resultado del procedimiento de pruebas aquí descrito para la obtención de la calificación del bucle.</w:t>
      </w:r>
    </w:p>
    <w:p w14:paraId="40E856ED" w14:textId="6A2320F4" w:rsidR="00530A32" w:rsidRPr="00422CA2" w:rsidRDefault="005D3101"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Adicionalmente</w:t>
      </w:r>
      <w:r w:rsidR="00D11FC4" w:rsidRPr="00422CA2">
        <w:rPr>
          <w:rFonts w:ascii="ITC Avant Garde" w:hAnsi="ITC Avant Garde"/>
          <w:sz w:val="22"/>
          <w:szCs w:val="22"/>
          <w:lang w:val="es-ES"/>
        </w:rPr>
        <w:t>,</w:t>
      </w:r>
      <w:r w:rsidRPr="00422CA2">
        <w:rPr>
          <w:rFonts w:ascii="ITC Avant Garde" w:hAnsi="ITC Avant Garde"/>
          <w:sz w:val="22"/>
          <w:szCs w:val="22"/>
          <w:lang w:val="es-ES"/>
        </w:rPr>
        <w:t xml:space="preserve"> </w:t>
      </w:r>
      <w:r w:rsidR="00E64508" w:rsidRPr="00422CA2">
        <w:rPr>
          <w:rFonts w:ascii="ITC Avant Garde" w:hAnsi="ITC Avant Garde"/>
          <w:sz w:val="22"/>
          <w:szCs w:val="22"/>
          <w:lang w:val="es-ES"/>
        </w:rPr>
        <w:t>Telmex</w:t>
      </w:r>
      <w:r w:rsidRPr="00422CA2">
        <w:rPr>
          <w:rFonts w:ascii="ITC Avant Garde" w:hAnsi="ITC Avant Garde"/>
          <w:sz w:val="22"/>
          <w:szCs w:val="22"/>
          <w:lang w:val="es-ES"/>
        </w:rPr>
        <w:t xml:space="preserve"> realizará las pruebas técnicas requeridas por el CS </w:t>
      </w:r>
      <w:r w:rsidR="00EC5133" w:rsidRPr="00422CA2">
        <w:rPr>
          <w:rFonts w:ascii="ITC Avant Garde" w:hAnsi="ITC Avant Garde"/>
          <w:sz w:val="22"/>
          <w:szCs w:val="22"/>
          <w:lang w:val="es-ES"/>
        </w:rPr>
        <w:t>(quien tiene la posibilidad de participar y coordinarse con Telmex para la realización de las mismas)</w:t>
      </w:r>
      <w:r w:rsidR="00EC5133" w:rsidRPr="00422CA2">
        <w:rPr>
          <w:rFonts w:ascii="ITC Avant Garde" w:hAnsi="ITC Avant Garde"/>
        </w:rPr>
        <w:t xml:space="preserve"> </w:t>
      </w:r>
      <w:r w:rsidRPr="00422CA2">
        <w:rPr>
          <w:rFonts w:ascii="ITC Avant Garde" w:hAnsi="ITC Avant Garde"/>
          <w:sz w:val="22"/>
          <w:szCs w:val="22"/>
          <w:lang w:val="es-ES"/>
        </w:rPr>
        <w:t>diferentes de las determinadas en la presente sección</w:t>
      </w:r>
      <w:r w:rsidR="00D11FC4" w:rsidRPr="00422CA2">
        <w:rPr>
          <w:rFonts w:ascii="ITC Avant Garde" w:hAnsi="ITC Avant Garde"/>
          <w:sz w:val="22"/>
          <w:szCs w:val="22"/>
          <w:lang w:val="es-ES"/>
        </w:rPr>
        <w:t>, sin que estas retrasen o permitan la negación de la entrega de los servicios de desagregación</w:t>
      </w:r>
      <w:r w:rsidRPr="00422CA2">
        <w:rPr>
          <w:rFonts w:ascii="ITC Avant Garde" w:hAnsi="ITC Avant Garde"/>
          <w:sz w:val="22"/>
          <w:szCs w:val="22"/>
          <w:lang w:val="es-ES"/>
        </w:rPr>
        <w:t>.</w:t>
      </w:r>
    </w:p>
    <w:p w14:paraId="40E856EE" w14:textId="1DC8C9F0" w:rsidR="00530A32"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procedimiento para la obtención de la calificación del bucle </w:t>
      </w:r>
      <w:r w:rsidR="00685DAA" w:rsidRPr="00422CA2">
        <w:rPr>
          <w:rFonts w:ascii="ITC Avant Garde" w:hAnsi="ITC Avant Garde"/>
          <w:sz w:val="22"/>
          <w:szCs w:val="22"/>
          <w:lang w:val="es-ES"/>
        </w:rPr>
        <w:t xml:space="preserve">considera </w:t>
      </w:r>
      <w:r w:rsidRPr="00422CA2">
        <w:rPr>
          <w:rFonts w:ascii="ITC Avant Garde" w:hAnsi="ITC Avant Garde"/>
          <w:sz w:val="22"/>
          <w:szCs w:val="22"/>
          <w:lang w:val="es-ES"/>
        </w:rPr>
        <w:t>los siguientes escenarios</w:t>
      </w:r>
      <w:r w:rsidR="00D11FC4" w:rsidRPr="00422CA2">
        <w:rPr>
          <w:rFonts w:ascii="ITC Avant Garde" w:hAnsi="ITC Avant Garde"/>
          <w:sz w:val="22"/>
          <w:szCs w:val="22"/>
          <w:lang w:val="es-ES"/>
        </w:rPr>
        <w:t>:</w:t>
      </w:r>
      <w:r w:rsidRPr="00422CA2">
        <w:rPr>
          <w:rFonts w:ascii="ITC Avant Garde" w:hAnsi="ITC Avant Garde"/>
          <w:sz w:val="22"/>
          <w:szCs w:val="22"/>
          <w:lang w:val="es-ES"/>
        </w:rPr>
        <w:t xml:space="preserve"> Bucle Activo y Bucle Nuevo</w:t>
      </w:r>
      <w:r w:rsidR="00D11FC4" w:rsidRPr="00422CA2">
        <w:rPr>
          <w:rFonts w:ascii="ITC Avant Garde" w:hAnsi="ITC Avant Garde"/>
          <w:sz w:val="22"/>
          <w:szCs w:val="22"/>
          <w:lang w:val="es-ES"/>
        </w:rPr>
        <w:t>.</w:t>
      </w:r>
    </w:p>
    <w:p w14:paraId="40E856F0" w14:textId="77777777" w:rsidR="00530A32" w:rsidRPr="00422CA2" w:rsidRDefault="00011A1B" w:rsidP="001A53AC">
      <w:pPr>
        <w:spacing w:after="200" w:line="276" w:lineRule="auto"/>
        <w:jc w:val="both"/>
        <w:rPr>
          <w:rFonts w:ascii="ITC Avant Garde" w:hAnsi="ITC Avant Garde"/>
          <w:b/>
          <w:sz w:val="22"/>
          <w:szCs w:val="22"/>
          <w:lang w:val="es-ES"/>
        </w:rPr>
      </w:pPr>
      <w:r w:rsidRPr="00422CA2">
        <w:rPr>
          <w:rFonts w:ascii="ITC Avant Garde" w:hAnsi="ITC Avant Garde"/>
          <w:b/>
          <w:sz w:val="22"/>
          <w:szCs w:val="22"/>
          <w:lang w:val="es-ES"/>
        </w:rPr>
        <w:t xml:space="preserve">Bucle Activo (Usuario Existente). </w:t>
      </w:r>
    </w:p>
    <w:p w14:paraId="40E856F1" w14:textId="77777777" w:rsidR="00530A32"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Premisas: Usuario con servicio activo de datos y/o voz.</w:t>
      </w:r>
    </w:p>
    <w:p w14:paraId="40E856F3" w14:textId="77777777" w:rsidR="00530A32" w:rsidRPr="00422CA2" w:rsidRDefault="00011A1B" w:rsidP="001A53A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Mecánica para calificar el bucle y determinar el ancho de banda por distancia:</w:t>
      </w:r>
    </w:p>
    <w:p w14:paraId="40E856F4" w14:textId="77777777" w:rsidR="00530A32" w:rsidRPr="00422CA2" w:rsidRDefault="00011A1B" w:rsidP="001A53AC">
      <w:pPr>
        <w:pStyle w:val="Prrafodelista"/>
        <w:numPr>
          <w:ilvl w:val="0"/>
          <w:numId w:val="117"/>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Para determinar la distancia del bucle se realizará mediante una prueba eléctrica por número telefónico utilizando las facilidades de central o las cabezas de prueba vigentes. Como ejemplo se muestran los resultados de una medición donde se observa la resistencia de aislamiento y capacitancia para un bucle en específico:</w:t>
      </w:r>
    </w:p>
    <w:p w14:paraId="40E856F5" w14:textId="77777777" w:rsidR="00530A32" w:rsidRPr="00422CA2" w:rsidRDefault="00530A32">
      <w:pPr>
        <w:pStyle w:val="Prrafodelista"/>
        <w:ind w:left="720"/>
        <w:jc w:val="center"/>
        <w:rPr>
          <w:rFonts w:ascii="ITC Avant Garde" w:hAnsi="ITC Avant Garde"/>
          <w:sz w:val="22"/>
          <w:szCs w:val="22"/>
          <w:lang w:val="es-MX"/>
        </w:rPr>
      </w:pPr>
      <w:r w:rsidRPr="00422CA2">
        <w:rPr>
          <w:rFonts w:ascii="ITC Avant Garde" w:hAnsi="ITC Avant Garde"/>
          <w:noProof/>
          <w:sz w:val="22"/>
          <w:szCs w:val="22"/>
          <w:lang w:val="es-MX" w:eastAsia="es-MX"/>
        </w:rPr>
        <w:drawing>
          <wp:inline distT="0" distB="0" distL="0" distR="0" wp14:anchorId="40E860BC" wp14:editId="7E119FA8">
            <wp:extent cx="3038475" cy="1524000"/>
            <wp:effectExtent l="0" t="0" r="0" b="0"/>
            <wp:docPr id="2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3038475" cy="1524000"/>
                    </a:xfrm>
                    <a:prstGeom prst="rect">
                      <a:avLst/>
                    </a:prstGeom>
                    <a:noFill/>
                    <a:ln w="9525">
                      <a:noFill/>
                      <a:miter lim="800000"/>
                      <a:headEnd/>
                      <a:tailEnd/>
                    </a:ln>
                  </pic:spPr>
                </pic:pic>
              </a:graphicData>
            </a:graphic>
          </wp:inline>
        </w:drawing>
      </w:r>
    </w:p>
    <w:p w14:paraId="40E856F6" w14:textId="77777777" w:rsidR="008B678E" w:rsidRPr="00422CA2" w:rsidRDefault="008B678E" w:rsidP="008B678E">
      <w:pPr>
        <w:pStyle w:val="Prrafodelista"/>
        <w:ind w:left="720"/>
        <w:rPr>
          <w:rFonts w:ascii="ITC Avant Garde" w:hAnsi="ITC Avant Garde"/>
          <w:sz w:val="22"/>
          <w:szCs w:val="22"/>
          <w:lang w:val="es-MX"/>
        </w:rPr>
      </w:pPr>
    </w:p>
    <w:p w14:paraId="1E149B69" w14:textId="77777777" w:rsidR="00793BA7" w:rsidRPr="00422CA2" w:rsidRDefault="006C3F62" w:rsidP="001A53AC">
      <w:pPr>
        <w:spacing w:after="200" w:line="276" w:lineRule="auto"/>
        <w:ind w:left="1134"/>
        <w:jc w:val="both"/>
        <w:rPr>
          <w:rFonts w:ascii="ITC Avant Garde" w:hAnsi="ITC Avant Garde"/>
          <w:sz w:val="22"/>
          <w:szCs w:val="22"/>
          <w:lang w:val="es-ES"/>
        </w:rPr>
      </w:pPr>
      <w:r w:rsidRPr="00422CA2">
        <w:rPr>
          <w:rFonts w:ascii="ITC Avant Garde" w:hAnsi="ITC Avant Garde"/>
          <w:sz w:val="22"/>
          <w:szCs w:val="22"/>
          <w:lang w:val="es-ES"/>
        </w:rPr>
        <w:t xml:space="preserve">Cada prueba realizada que implique el uso de un equipo de medición deberá </w:t>
      </w:r>
      <w:r w:rsidR="00793BA7" w:rsidRPr="00422CA2">
        <w:rPr>
          <w:rFonts w:ascii="ITC Avant Garde" w:hAnsi="ITC Avant Garde"/>
          <w:sz w:val="22"/>
          <w:szCs w:val="22"/>
          <w:lang w:val="es-ES"/>
        </w:rPr>
        <w:t xml:space="preserve">ser ejecutada una vez calibrado correctamente dicho equipo. </w:t>
      </w:r>
    </w:p>
    <w:p w14:paraId="40E856F7" w14:textId="77777777" w:rsidR="00530A32" w:rsidRPr="00422CA2" w:rsidRDefault="00011A1B" w:rsidP="001A53AC">
      <w:pPr>
        <w:spacing w:after="200" w:line="276" w:lineRule="auto"/>
        <w:ind w:left="1134"/>
        <w:jc w:val="both"/>
        <w:rPr>
          <w:rFonts w:ascii="ITC Avant Garde" w:hAnsi="ITC Avant Garde"/>
          <w:sz w:val="22"/>
          <w:szCs w:val="22"/>
          <w:lang w:val="es-ES"/>
        </w:rPr>
      </w:pPr>
      <w:r w:rsidRPr="00422CA2">
        <w:rPr>
          <w:rFonts w:ascii="ITC Avant Garde" w:hAnsi="ITC Avant Garde"/>
          <w:sz w:val="22"/>
          <w:szCs w:val="22"/>
          <w:lang w:val="es-ES"/>
        </w:rPr>
        <w:t>De igual manera se observa en el ejemplo la medición de la distancia, la cual se calcula con base en la siguiente fórmula:</w:t>
      </w:r>
    </w:p>
    <w:tbl>
      <w:tblPr>
        <w:tblpPr w:leftFromText="141" w:rightFromText="141" w:vertAnchor="text" w:tblpXSpec="center" w:tblpY="49"/>
        <w:tblW w:w="0" w:type="auto"/>
        <w:tblCellMar>
          <w:left w:w="0" w:type="dxa"/>
          <w:right w:w="0" w:type="dxa"/>
        </w:tblCellMar>
        <w:tblLook w:val="04A0" w:firstRow="1" w:lastRow="0" w:firstColumn="1" w:lastColumn="0" w:noHBand="0" w:noVBand="1"/>
      </w:tblPr>
      <w:tblGrid>
        <w:gridCol w:w="2507"/>
        <w:gridCol w:w="3305"/>
      </w:tblGrid>
      <w:tr w:rsidR="00422CA2" w:rsidRPr="00422CA2" w14:paraId="40E856FA" w14:textId="77777777" w:rsidTr="00B14C61">
        <w:trPr>
          <w:cantSplit/>
        </w:trPr>
        <w:tc>
          <w:tcPr>
            <w:tcW w:w="2507" w:type="dxa"/>
            <w:vMerge w:val="restart"/>
            <w:tcMar>
              <w:top w:w="0" w:type="dxa"/>
              <w:left w:w="70" w:type="dxa"/>
              <w:bottom w:w="0" w:type="dxa"/>
              <w:right w:w="70" w:type="dxa"/>
            </w:tcMar>
            <w:vAlign w:val="center"/>
            <w:hideMark/>
          </w:tcPr>
          <w:p w14:paraId="40E856F8" w14:textId="77777777" w:rsidR="008B678E" w:rsidRPr="00422CA2" w:rsidRDefault="00011A1B" w:rsidP="00B14C61">
            <w:pPr>
              <w:rPr>
                <w:rFonts w:ascii="ITC Avant Garde" w:eastAsiaTheme="minorHAnsi" w:hAnsi="ITC Avant Garde" w:cs="Arial"/>
                <w:sz w:val="22"/>
                <w:szCs w:val="22"/>
                <w:lang w:val="en-US"/>
              </w:rPr>
            </w:pPr>
            <w:r w:rsidRPr="00422CA2">
              <w:rPr>
                <w:rFonts w:ascii="ITC Avant Garde" w:hAnsi="ITC Avant Garde"/>
                <w:b/>
                <w:i/>
                <w:sz w:val="22"/>
                <w:szCs w:val="22"/>
                <w:lang w:val="en-US"/>
              </w:rPr>
              <w:t xml:space="preserve">Distancia (Km) = </w:t>
            </w:r>
          </w:p>
        </w:tc>
        <w:tc>
          <w:tcPr>
            <w:tcW w:w="3305" w:type="dxa"/>
            <w:tcBorders>
              <w:top w:val="nil"/>
              <w:left w:val="nil"/>
              <w:bottom w:val="single" w:sz="18" w:space="0" w:color="auto"/>
              <w:right w:val="nil"/>
            </w:tcBorders>
            <w:tcMar>
              <w:top w:w="0" w:type="dxa"/>
              <w:left w:w="70" w:type="dxa"/>
              <w:bottom w:w="0" w:type="dxa"/>
              <w:right w:w="70" w:type="dxa"/>
            </w:tcMar>
            <w:vAlign w:val="center"/>
            <w:hideMark/>
          </w:tcPr>
          <w:p w14:paraId="40E856F9" w14:textId="77777777" w:rsidR="008B678E" w:rsidRPr="00422CA2" w:rsidRDefault="00011A1B" w:rsidP="00B14C61">
            <w:pPr>
              <w:jc w:val="center"/>
              <w:rPr>
                <w:rFonts w:ascii="ITC Avant Garde" w:eastAsiaTheme="minorHAnsi" w:hAnsi="ITC Avant Garde" w:cs="Arial"/>
                <w:sz w:val="22"/>
                <w:szCs w:val="22"/>
                <w:lang w:val="en-US"/>
              </w:rPr>
            </w:pPr>
            <w:r w:rsidRPr="00422CA2">
              <w:rPr>
                <w:rFonts w:ascii="ITC Avant Garde" w:hAnsi="ITC Avant Garde"/>
                <w:b/>
                <w:i/>
                <w:sz w:val="22"/>
                <w:szCs w:val="22"/>
                <w:lang w:val="en-US"/>
              </w:rPr>
              <w:t>MIN(Cat, Cbt)</w:t>
            </w:r>
          </w:p>
        </w:tc>
      </w:tr>
      <w:tr w:rsidR="00422CA2" w:rsidRPr="00422CA2" w14:paraId="40E856FD" w14:textId="77777777" w:rsidTr="00B14C61">
        <w:trPr>
          <w:cantSplit/>
        </w:trPr>
        <w:tc>
          <w:tcPr>
            <w:tcW w:w="0" w:type="auto"/>
            <w:vMerge/>
            <w:vAlign w:val="center"/>
            <w:hideMark/>
          </w:tcPr>
          <w:p w14:paraId="40E856FB" w14:textId="77777777" w:rsidR="008B678E" w:rsidRPr="00422CA2" w:rsidRDefault="008B678E" w:rsidP="00B14C61">
            <w:pPr>
              <w:rPr>
                <w:rFonts w:ascii="ITC Avant Garde" w:eastAsiaTheme="minorHAnsi" w:hAnsi="ITC Avant Garde" w:cs="Arial"/>
                <w:sz w:val="22"/>
                <w:szCs w:val="22"/>
                <w:lang w:val="en-US"/>
              </w:rPr>
            </w:pPr>
          </w:p>
        </w:tc>
        <w:tc>
          <w:tcPr>
            <w:tcW w:w="3305" w:type="dxa"/>
            <w:tcMar>
              <w:top w:w="0" w:type="dxa"/>
              <w:left w:w="70" w:type="dxa"/>
              <w:bottom w:w="0" w:type="dxa"/>
              <w:right w:w="70" w:type="dxa"/>
            </w:tcMar>
            <w:vAlign w:val="center"/>
            <w:hideMark/>
          </w:tcPr>
          <w:p w14:paraId="40E856FC" w14:textId="77777777" w:rsidR="008B678E" w:rsidRPr="00422CA2" w:rsidRDefault="00011A1B" w:rsidP="00B14C61">
            <w:pPr>
              <w:jc w:val="center"/>
              <w:rPr>
                <w:rFonts w:ascii="ITC Avant Garde" w:eastAsiaTheme="minorHAnsi" w:hAnsi="ITC Avant Garde" w:cs="Arial"/>
                <w:sz w:val="22"/>
                <w:szCs w:val="22"/>
                <w:lang w:val="en-US"/>
              </w:rPr>
            </w:pPr>
            <w:r w:rsidRPr="00422CA2">
              <w:rPr>
                <w:rFonts w:ascii="ITC Avant Garde" w:hAnsi="ITC Avant Garde"/>
                <w:b/>
                <w:i/>
                <w:sz w:val="22"/>
                <w:szCs w:val="22"/>
                <w:lang w:val="en-US"/>
              </w:rPr>
              <w:t>64 nF/Km</w:t>
            </w:r>
          </w:p>
        </w:tc>
      </w:tr>
    </w:tbl>
    <w:p w14:paraId="40E856FE" w14:textId="77777777" w:rsidR="008B678E" w:rsidRPr="00422CA2" w:rsidRDefault="008B678E" w:rsidP="008B678E">
      <w:pPr>
        <w:pStyle w:val="Prrafodelista"/>
        <w:ind w:left="720"/>
        <w:rPr>
          <w:rFonts w:ascii="ITC Avant Garde" w:hAnsi="ITC Avant Garde"/>
          <w:sz w:val="22"/>
          <w:szCs w:val="22"/>
          <w:lang w:val="es-MX"/>
        </w:rPr>
      </w:pPr>
    </w:p>
    <w:p w14:paraId="40E856FF" w14:textId="77777777" w:rsidR="008B678E" w:rsidRPr="00422CA2" w:rsidRDefault="008B678E" w:rsidP="008B678E">
      <w:pPr>
        <w:pStyle w:val="Prrafodelista"/>
        <w:ind w:left="720"/>
        <w:rPr>
          <w:rFonts w:ascii="ITC Avant Garde" w:hAnsi="ITC Avant Garde"/>
          <w:sz w:val="22"/>
          <w:szCs w:val="22"/>
          <w:lang w:val="es-MX"/>
        </w:rPr>
      </w:pPr>
    </w:p>
    <w:p w14:paraId="40E85700" w14:textId="77777777" w:rsidR="00530A32" w:rsidRPr="00422CA2" w:rsidRDefault="00530A32">
      <w:pPr>
        <w:rPr>
          <w:rFonts w:ascii="ITC Avant Garde" w:hAnsi="ITC Avant Garde"/>
          <w:sz w:val="22"/>
          <w:szCs w:val="22"/>
          <w:lang w:val="es-MX"/>
        </w:rPr>
      </w:pPr>
    </w:p>
    <w:p w14:paraId="4378AFF6" w14:textId="3C05C5D2" w:rsidR="002B66BA" w:rsidRPr="00422CA2" w:rsidRDefault="002B66BA" w:rsidP="002B66BA">
      <w:pPr>
        <w:pStyle w:val="IFTnormal"/>
      </w:pPr>
      <w:r w:rsidRPr="00422CA2">
        <w:t>D</w:t>
      </w:r>
      <w:r w:rsidR="00093121" w:rsidRPr="00422CA2">
        <w:t>onde</w:t>
      </w:r>
      <w:r w:rsidRPr="00422CA2">
        <w:t>:</w:t>
      </w:r>
    </w:p>
    <w:p w14:paraId="08033CA6" w14:textId="60B423A7" w:rsidR="002B66BA" w:rsidRPr="00422CA2" w:rsidRDefault="002B66BA" w:rsidP="002B66BA">
      <w:pPr>
        <w:pStyle w:val="IFTnormal"/>
      </w:pPr>
      <w:r w:rsidRPr="00422CA2">
        <w:t>Cat</w:t>
      </w:r>
      <w:r w:rsidR="00B17F4A" w:rsidRPr="00422CA2">
        <w:t xml:space="preserve">: </w:t>
      </w:r>
      <w:r w:rsidRPr="00422CA2">
        <w:t>Capacitancia del  punto A a tierra.</w:t>
      </w:r>
    </w:p>
    <w:p w14:paraId="7F3A5C55" w14:textId="79C8B6E6" w:rsidR="002B66BA" w:rsidRPr="00422CA2" w:rsidRDefault="002B66BA" w:rsidP="002B66BA">
      <w:pPr>
        <w:pStyle w:val="IFTnormal"/>
      </w:pPr>
      <w:r w:rsidRPr="00422CA2">
        <w:t>Cbt</w:t>
      </w:r>
      <w:r w:rsidR="00B17F4A" w:rsidRPr="00422CA2">
        <w:t xml:space="preserve">: </w:t>
      </w:r>
      <w:r w:rsidRPr="00422CA2">
        <w:t>Capacitancia del punto B a tierra.</w:t>
      </w:r>
    </w:p>
    <w:p w14:paraId="48D91CEE" w14:textId="7439C27F" w:rsidR="00B17F4A" w:rsidRPr="00422CA2" w:rsidRDefault="004459DC" w:rsidP="002B66BA">
      <w:pPr>
        <w:pStyle w:val="IFTnormal"/>
      </w:pPr>
      <w:r w:rsidRPr="00422CA2">
        <w:t>MIN (Cat, Cbt</w:t>
      </w:r>
      <w:r w:rsidR="00B17F4A" w:rsidRPr="00422CA2">
        <w:t>): Mínimo entre Cat y Cbt</w:t>
      </w:r>
    </w:p>
    <w:p w14:paraId="40E85701" w14:textId="578377C0" w:rsidR="00530A32" w:rsidRPr="00422CA2" w:rsidRDefault="00011A1B" w:rsidP="001A53AC">
      <w:pPr>
        <w:pStyle w:val="Prrafodelista"/>
        <w:numPr>
          <w:ilvl w:val="1"/>
          <w:numId w:val="85"/>
        </w:numPr>
        <w:spacing w:after="200" w:line="276" w:lineRule="auto"/>
        <w:ind w:left="1434" w:hanging="357"/>
        <w:jc w:val="both"/>
        <w:rPr>
          <w:rFonts w:ascii="ITC Avant Garde" w:hAnsi="ITC Avant Garde"/>
          <w:sz w:val="22"/>
          <w:szCs w:val="22"/>
          <w:lang w:val="es-MX"/>
        </w:rPr>
      </w:pPr>
      <w:r w:rsidRPr="00422CA2">
        <w:rPr>
          <w:rFonts w:ascii="ITC Avant Garde" w:hAnsi="ITC Avant Garde"/>
          <w:sz w:val="22"/>
          <w:szCs w:val="22"/>
          <w:lang w:val="es-MX"/>
        </w:rPr>
        <w:t>Con base en el dato de distancia obtenido, los valores del ancho de banda alcanzable serán los indicados en la Tabla de Relación entre distancia y velocidad máxima alcanzable por bucle</w:t>
      </w:r>
      <w:r w:rsidR="00CB3EA9" w:rsidRPr="00422CA2">
        <w:rPr>
          <w:rFonts w:ascii="ITC Avant Garde" w:hAnsi="ITC Avant Garde"/>
          <w:sz w:val="22"/>
          <w:szCs w:val="22"/>
          <w:lang w:val="es-MX"/>
        </w:rPr>
        <w:t xml:space="preserve"> que ejemplifica los datos para el c</w:t>
      </w:r>
      <w:r w:rsidR="004459DC" w:rsidRPr="00422CA2">
        <w:rPr>
          <w:rFonts w:ascii="ITC Avant Garde" w:hAnsi="ITC Avant Garde"/>
          <w:sz w:val="22"/>
          <w:szCs w:val="22"/>
          <w:lang w:val="es-MX"/>
        </w:rPr>
        <w:t>aso de uso de tecnología ADSL2+</w:t>
      </w:r>
      <w:r w:rsidRPr="00422CA2">
        <w:rPr>
          <w:rFonts w:ascii="ITC Avant Garde" w:hAnsi="ITC Avant Garde"/>
          <w:sz w:val="22"/>
          <w:szCs w:val="22"/>
          <w:lang w:val="es-MX"/>
        </w:rPr>
        <w:t>.</w:t>
      </w:r>
    </w:p>
    <w:tbl>
      <w:tblPr>
        <w:tblStyle w:val="Tablaconcuadrcula"/>
        <w:tblW w:w="0" w:type="auto"/>
        <w:tblLook w:val="04A0" w:firstRow="1" w:lastRow="0" w:firstColumn="1" w:lastColumn="0" w:noHBand="0" w:noVBand="1"/>
      </w:tblPr>
      <w:tblGrid>
        <w:gridCol w:w="2202"/>
        <w:gridCol w:w="2204"/>
        <w:gridCol w:w="2215"/>
        <w:gridCol w:w="2209"/>
      </w:tblGrid>
      <w:tr w:rsidR="00422CA2" w:rsidRPr="00422CA2" w14:paraId="40E85705" w14:textId="77777777" w:rsidTr="001B711E">
        <w:tc>
          <w:tcPr>
            <w:tcW w:w="2245" w:type="dxa"/>
            <w:vMerge w:val="restart"/>
            <w:shd w:val="clear" w:color="auto" w:fill="0070C0"/>
            <w:vAlign w:val="center"/>
          </w:tcPr>
          <w:p w14:paraId="40E85702" w14:textId="77777777" w:rsidR="00530A32" w:rsidRPr="00422CA2" w:rsidRDefault="00011A1B" w:rsidP="001A53A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Distancia Máxima (km)</w:t>
            </w:r>
          </w:p>
        </w:tc>
        <w:tc>
          <w:tcPr>
            <w:tcW w:w="4490" w:type="dxa"/>
            <w:gridSpan w:val="2"/>
            <w:shd w:val="clear" w:color="auto" w:fill="0070C0"/>
            <w:vAlign w:val="center"/>
          </w:tcPr>
          <w:p w14:paraId="40E85703" w14:textId="77777777" w:rsidR="00530A32" w:rsidRPr="00422CA2" w:rsidRDefault="00011A1B" w:rsidP="001A53A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Ancho de Banda ADSL2+</w:t>
            </w:r>
          </w:p>
        </w:tc>
        <w:tc>
          <w:tcPr>
            <w:tcW w:w="2245" w:type="dxa"/>
            <w:vMerge w:val="restart"/>
            <w:shd w:val="clear" w:color="auto" w:fill="0070C0"/>
            <w:vAlign w:val="center"/>
          </w:tcPr>
          <w:p w14:paraId="40E85704" w14:textId="77777777" w:rsidR="00530A32" w:rsidRPr="00422CA2" w:rsidRDefault="00011A1B" w:rsidP="001A53A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Velocidad máxima alcanzable por Bucle</w:t>
            </w:r>
          </w:p>
        </w:tc>
      </w:tr>
      <w:tr w:rsidR="00422CA2" w:rsidRPr="00422CA2" w14:paraId="40E8570A" w14:textId="77777777" w:rsidTr="001B711E">
        <w:tc>
          <w:tcPr>
            <w:tcW w:w="2245" w:type="dxa"/>
            <w:vMerge/>
            <w:shd w:val="clear" w:color="auto" w:fill="0070C0"/>
          </w:tcPr>
          <w:p w14:paraId="40E85706" w14:textId="77777777" w:rsidR="00530A32" w:rsidRPr="00422CA2" w:rsidRDefault="00530A32" w:rsidP="001A53AC">
            <w:pPr>
              <w:spacing w:before="60" w:after="60" w:line="276" w:lineRule="auto"/>
              <w:jc w:val="both"/>
              <w:rPr>
                <w:rFonts w:ascii="ITC Avant Garde" w:hAnsi="ITC Avant Garde"/>
                <w:b/>
                <w:sz w:val="20"/>
                <w:szCs w:val="20"/>
                <w:lang w:val="es-MX"/>
              </w:rPr>
            </w:pPr>
          </w:p>
        </w:tc>
        <w:tc>
          <w:tcPr>
            <w:tcW w:w="2245" w:type="dxa"/>
            <w:shd w:val="clear" w:color="auto" w:fill="0070C0"/>
            <w:vAlign w:val="center"/>
          </w:tcPr>
          <w:p w14:paraId="40E85707" w14:textId="77777777" w:rsidR="00530A32" w:rsidRPr="00422CA2" w:rsidRDefault="00011A1B" w:rsidP="001A53A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UpStream Max (Kbps)</w:t>
            </w:r>
          </w:p>
        </w:tc>
        <w:tc>
          <w:tcPr>
            <w:tcW w:w="2245" w:type="dxa"/>
            <w:shd w:val="clear" w:color="auto" w:fill="0070C0"/>
            <w:vAlign w:val="center"/>
          </w:tcPr>
          <w:p w14:paraId="40E85708" w14:textId="77777777" w:rsidR="00530A32" w:rsidRPr="00422CA2" w:rsidRDefault="00011A1B" w:rsidP="001A53A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DownStream Max (Kbps)</w:t>
            </w:r>
          </w:p>
        </w:tc>
        <w:tc>
          <w:tcPr>
            <w:tcW w:w="2245" w:type="dxa"/>
            <w:vMerge/>
            <w:shd w:val="clear" w:color="auto" w:fill="0070C0"/>
          </w:tcPr>
          <w:p w14:paraId="40E85709" w14:textId="77777777" w:rsidR="00530A32" w:rsidRPr="00422CA2" w:rsidRDefault="00530A32" w:rsidP="001A53AC">
            <w:pPr>
              <w:spacing w:before="60" w:after="60" w:line="276" w:lineRule="auto"/>
              <w:jc w:val="both"/>
              <w:rPr>
                <w:rFonts w:ascii="ITC Avant Garde" w:hAnsi="ITC Avant Garde"/>
                <w:b/>
                <w:sz w:val="20"/>
                <w:szCs w:val="20"/>
                <w:lang w:val="es-MX"/>
              </w:rPr>
            </w:pPr>
          </w:p>
        </w:tc>
      </w:tr>
      <w:tr w:rsidR="00422CA2" w:rsidRPr="00422CA2" w14:paraId="40E8570F" w14:textId="77777777" w:rsidTr="001B711E">
        <w:tc>
          <w:tcPr>
            <w:tcW w:w="2245" w:type="dxa"/>
          </w:tcPr>
          <w:p w14:paraId="40E8570B"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3.5</w:t>
            </w:r>
          </w:p>
        </w:tc>
        <w:tc>
          <w:tcPr>
            <w:tcW w:w="2245" w:type="dxa"/>
          </w:tcPr>
          <w:p w14:paraId="40E8570C"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128</w:t>
            </w:r>
          </w:p>
        </w:tc>
        <w:tc>
          <w:tcPr>
            <w:tcW w:w="2245" w:type="dxa"/>
          </w:tcPr>
          <w:p w14:paraId="40E8570D"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1024</w:t>
            </w:r>
          </w:p>
        </w:tc>
        <w:tc>
          <w:tcPr>
            <w:tcW w:w="2245" w:type="dxa"/>
          </w:tcPr>
          <w:p w14:paraId="40E8570E"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Hasta 1 Mbps</w:t>
            </w:r>
          </w:p>
        </w:tc>
      </w:tr>
      <w:tr w:rsidR="00422CA2" w:rsidRPr="00422CA2" w14:paraId="40E85714" w14:textId="77777777" w:rsidTr="001B711E">
        <w:tc>
          <w:tcPr>
            <w:tcW w:w="2245" w:type="dxa"/>
          </w:tcPr>
          <w:p w14:paraId="40E85710"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3.2</w:t>
            </w:r>
          </w:p>
        </w:tc>
        <w:tc>
          <w:tcPr>
            <w:tcW w:w="2245" w:type="dxa"/>
          </w:tcPr>
          <w:p w14:paraId="40E85711"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384</w:t>
            </w:r>
          </w:p>
        </w:tc>
        <w:tc>
          <w:tcPr>
            <w:tcW w:w="2245" w:type="dxa"/>
          </w:tcPr>
          <w:p w14:paraId="40E85712"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2048</w:t>
            </w:r>
          </w:p>
        </w:tc>
        <w:tc>
          <w:tcPr>
            <w:tcW w:w="2245" w:type="dxa"/>
          </w:tcPr>
          <w:p w14:paraId="40E85713"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Hasta 2 Mbps</w:t>
            </w:r>
          </w:p>
        </w:tc>
      </w:tr>
      <w:tr w:rsidR="00422CA2" w:rsidRPr="00422CA2" w14:paraId="40E85719" w14:textId="77777777" w:rsidTr="001B711E">
        <w:tc>
          <w:tcPr>
            <w:tcW w:w="2245" w:type="dxa"/>
          </w:tcPr>
          <w:p w14:paraId="40E85715"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2.4</w:t>
            </w:r>
          </w:p>
        </w:tc>
        <w:tc>
          <w:tcPr>
            <w:tcW w:w="2245" w:type="dxa"/>
          </w:tcPr>
          <w:p w14:paraId="40E85716"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384</w:t>
            </w:r>
          </w:p>
        </w:tc>
        <w:tc>
          <w:tcPr>
            <w:tcW w:w="2245" w:type="dxa"/>
          </w:tcPr>
          <w:p w14:paraId="40E85717"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3648</w:t>
            </w:r>
          </w:p>
        </w:tc>
        <w:tc>
          <w:tcPr>
            <w:tcW w:w="2245" w:type="dxa"/>
          </w:tcPr>
          <w:p w14:paraId="40E85718"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Hasta 3 Mbps</w:t>
            </w:r>
          </w:p>
        </w:tc>
      </w:tr>
      <w:tr w:rsidR="00422CA2" w:rsidRPr="00422CA2" w14:paraId="40E8571E" w14:textId="77777777" w:rsidTr="001B711E">
        <w:tc>
          <w:tcPr>
            <w:tcW w:w="2245" w:type="dxa"/>
          </w:tcPr>
          <w:p w14:paraId="40E8571A"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1.8</w:t>
            </w:r>
          </w:p>
        </w:tc>
        <w:tc>
          <w:tcPr>
            <w:tcW w:w="2245" w:type="dxa"/>
          </w:tcPr>
          <w:p w14:paraId="40E8571B"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768</w:t>
            </w:r>
          </w:p>
        </w:tc>
        <w:tc>
          <w:tcPr>
            <w:tcW w:w="2245" w:type="dxa"/>
          </w:tcPr>
          <w:p w14:paraId="40E8571C"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6016</w:t>
            </w:r>
          </w:p>
        </w:tc>
        <w:tc>
          <w:tcPr>
            <w:tcW w:w="2245" w:type="dxa"/>
          </w:tcPr>
          <w:p w14:paraId="40E8571D"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Hasta 5 Mbps</w:t>
            </w:r>
          </w:p>
        </w:tc>
      </w:tr>
      <w:tr w:rsidR="00422CA2" w:rsidRPr="00422CA2" w14:paraId="40E85723" w14:textId="77777777" w:rsidTr="001B711E">
        <w:tc>
          <w:tcPr>
            <w:tcW w:w="2245" w:type="dxa"/>
          </w:tcPr>
          <w:p w14:paraId="40E8571F"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1.5</w:t>
            </w:r>
          </w:p>
        </w:tc>
        <w:tc>
          <w:tcPr>
            <w:tcW w:w="2245" w:type="dxa"/>
          </w:tcPr>
          <w:p w14:paraId="40E85720"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960</w:t>
            </w:r>
          </w:p>
        </w:tc>
        <w:tc>
          <w:tcPr>
            <w:tcW w:w="2245" w:type="dxa"/>
          </w:tcPr>
          <w:p w14:paraId="40E85721"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12544</w:t>
            </w:r>
          </w:p>
        </w:tc>
        <w:tc>
          <w:tcPr>
            <w:tcW w:w="2245" w:type="dxa"/>
          </w:tcPr>
          <w:p w14:paraId="40E85722" w14:textId="77777777" w:rsidR="00530A32" w:rsidRPr="00422CA2" w:rsidRDefault="00011A1B" w:rsidP="001A53A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Hasta 10 Mbps</w:t>
            </w:r>
          </w:p>
        </w:tc>
      </w:tr>
    </w:tbl>
    <w:p w14:paraId="40E85724" w14:textId="54EDBE96" w:rsidR="00530A32" w:rsidRPr="00422CA2" w:rsidRDefault="00594A0A" w:rsidP="00756439">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7 </w:t>
      </w:r>
      <w:r w:rsidR="00011A1B" w:rsidRPr="00422CA2">
        <w:rPr>
          <w:rFonts w:ascii="ITC Avant Garde" w:hAnsi="ITC Avant Garde"/>
          <w:sz w:val="18"/>
          <w:szCs w:val="18"/>
          <w:lang w:val="es-MX"/>
        </w:rPr>
        <w:t>Relación entre distancia y velocidad máxima alcanzable por bucle</w:t>
      </w:r>
    </w:p>
    <w:p w14:paraId="0FC38BC6" w14:textId="77777777" w:rsidR="00CB3EA9" w:rsidRPr="00422CA2" w:rsidRDefault="00CB3EA9" w:rsidP="00CB3EA9">
      <w:pPr>
        <w:pStyle w:val="CondicionesFinales"/>
        <w:rPr>
          <w:color w:val="auto"/>
        </w:rPr>
      </w:pPr>
      <w:r w:rsidRPr="00422CA2">
        <w:rPr>
          <w:color w:val="auto"/>
        </w:rPr>
        <w:t>Para cualquier otra de las tecnologías xDSL disponibles y vigentes se deberá utilizar la referencia de la recomendación de la UIT correspondiente.</w:t>
      </w:r>
    </w:p>
    <w:p w14:paraId="40E85726" w14:textId="29B0E7EB" w:rsidR="00530A32" w:rsidRPr="00422CA2" w:rsidRDefault="00011A1B" w:rsidP="001A53AC">
      <w:pPr>
        <w:pStyle w:val="Prrafodelista"/>
        <w:numPr>
          <w:ilvl w:val="0"/>
          <w:numId w:val="85"/>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Adicionalmente, el CS para poder contratar la velocidad máxima alcanzable por bucle, también debe tomar en consideración que no se haya rebasado el porcentaje de penetración </w:t>
      </w:r>
      <w:r w:rsidR="00594A0A" w:rsidRPr="00422CA2">
        <w:rPr>
          <w:rFonts w:ascii="ITC Avant Garde" w:hAnsi="ITC Avant Garde"/>
          <w:sz w:val="22"/>
          <w:szCs w:val="22"/>
          <w:lang w:val="es-MX"/>
        </w:rPr>
        <w:t xml:space="preserve">permitido </w:t>
      </w:r>
      <w:r w:rsidRPr="00422CA2">
        <w:rPr>
          <w:rFonts w:ascii="ITC Avant Garde" w:hAnsi="ITC Avant Garde"/>
          <w:sz w:val="22"/>
          <w:szCs w:val="22"/>
          <w:lang w:val="es-MX"/>
        </w:rPr>
        <w:t xml:space="preserve">por tecnologías </w:t>
      </w:r>
      <w:r w:rsidRPr="00422CA2">
        <w:rPr>
          <w:rFonts w:ascii="ITC Avant Garde" w:hAnsi="ITC Avant Garde"/>
          <w:sz w:val="22"/>
          <w:szCs w:val="22"/>
          <w:lang w:val="es-MX"/>
        </w:rPr>
        <w:lastRenderedPageBreak/>
        <w:t xml:space="preserve">existentes en la red secundaria y primaria para los servicios indicados en las reglas de penetración del </w:t>
      </w:r>
      <w:r w:rsidR="003E0497" w:rsidRPr="00422CA2">
        <w:rPr>
          <w:rFonts w:ascii="ITC Avant Garde" w:hAnsi="ITC Avant Garde"/>
          <w:sz w:val="22"/>
          <w:szCs w:val="22"/>
          <w:lang w:val="es-MX"/>
        </w:rPr>
        <w:t>PGE</w:t>
      </w:r>
      <w:r w:rsidRPr="00422CA2">
        <w:rPr>
          <w:rFonts w:ascii="ITC Avant Garde" w:hAnsi="ITC Avant Garde"/>
          <w:sz w:val="22"/>
          <w:szCs w:val="22"/>
          <w:lang w:val="es-MX"/>
        </w:rPr>
        <w:t xml:space="preserve">, conforme la siguiente tabla: </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3"/>
        <w:gridCol w:w="3006"/>
        <w:gridCol w:w="993"/>
        <w:gridCol w:w="1132"/>
        <w:gridCol w:w="1037"/>
        <w:gridCol w:w="1087"/>
      </w:tblGrid>
      <w:tr w:rsidR="00422CA2" w:rsidRPr="00422CA2" w14:paraId="40E8572E" w14:textId="77777777" w:rsidTr="00774762">
        <w:trPr>
          <w:jc w:val="center"/>
        </w:trPr>
        <w:tc>
          <w:tcPr>
            <w:tcW w:w="649" w:type="pct"/>
            <w:shd w:val="clear" w:color="auto" w:fill="0070C0"/>
            <w:tcMar>
              <w:top w:w="0" w:type="dxa"/>
              <w:left w:w="108" w:type="dxa"/>
              <w:bottom w:w="0" w:type="dxa"/>
              <w:right w:w="108" w:type="dxa"/>
            </w:tcMar>
            <w:vAlign w:val="center"/>
            <w:hideMark/>
          </w:tcPr>
          <w:p w14:paraId="40E85728" w14:textId="77777777" w:rsidR="008B678E" w:rsidRPr="00422CA2" w:rsidRDefault="00011A1B" w:rsidP="004459DC">
            <w:pPr>
              <w:spacing w:before="60" w:after="60" w:line="276" w:lineRule="auto"/>
              <w:jc w:val="center"/>
              <w:rPr>
                <w:rFonts w:ascii="ITC Avant Garde" w:eastAsiaTheme="minorHAnsi" w:hAnsi="ITC Avant Garde" w:cs="Arial"/>
                <w:b/>
                <w:bCs/>
                <w:spacing w:val="-4"/>
                <w:sz w:val="20"/>
                <w:szCs w:val="20"/>
              </w:rPr>
            </w:pPr>
            <w:r w:rsidRPr="00422CA2">
              <w:rPr>
                <w:rFonts w:ascii="ITC Avant Garde" w:hAnsi="ITC Avant Garde"/>
                <w:b/>
                <w:bCs/>
                <w:spacing w:val="-4"/>
                <w:sz w:val="20"/>
                <w:szCs w:val="20"/>
              </w:rPr>
              <w:t>Número de Grupo</w:t>
            </w:r>
          </w:p>
        </w:tc>
        <w:tc>
          <w:tcPr>
            <w:tcW w:w="1801" w:type="pct"/>
            <w:shd w:val="clear" w:color="auto" w:fill="0070C0"/>
            <w:tcMar>
              <w:top w:w="0" w:type="dxa"/>
              <w:left w:w="108" w:type="dxa"/>
              <w:bottom w:w="0" w:type="dxa"/>
              <w:right w:w="108" w:type="dxa"/>
            </w:tcMar>
            <w:vAlign w:val="center"/>
            <w:hideMark/>
          </w:tcPr>
          <w:p w14:paraId="40E85729" w14:textId="77777777" w:rsidR="00530A32" w:rsidRPr="00422CA2" w:rsidRDefault="00011A1B" w:rsidP="004459DC">
            <w:pPr>
              <w:spacing w:before="60" w:after="60" w:line="276" w:lineRule="auto"/>
              <w:jc w:val="center"/>
              <w:rPr>
                <w:rFonts w:ascii="ITC Avant Garde" w:eastAsiaTheme="minorHAnsi" w:hAnsi="ITC Avant Garde" w:cs="Arial"/>
                <w:b/>
                <w:bCs/>
                <w:sz w:val="20"/>
                <w:szCs w:val="20"/>
              </w:rPr>
            </w:pPr>
            <w:r w:rsidRPr="00422CA2">
              <w:rPr>
                <w:rFonts w:ascii="ITC Avant Garde" w:hAnsi="ITC Avant Garde"/>
                <w:b/>
                <w:bCs/>
                <w:sz w:val="20"/>
                <w:szCs w:val="20"/>
              </w:rPr>
              <w:t>Clasificación</w:t>
            </w:r>
          </w:p>
        </w:tc>
        <w:tc>
          <w:tcPr>
            <w:tcW w:w="595" w:type="pct"/>
            <w:shd w:val="clear" w:color="auto" w:fill="0070C0"/>
            <w:tcMar>
              <w:top w:w="0" w:type="dxa"/>
              <w:left w:w="108" w:type="dxa"/>
              <w:bottom w:w="0" w:type="dxa"/>
              <w:right w:w="108" w:type="dxa"/>
            </w:tcMar>
            <w:vAlign w:val="center"/>
            <w:hideMark/>
          </w:tcPr>
          <w:p w14:paraId="40E8572A" w14:textId="77777777" w:rsidR="00530A32" w:rsidRPr="00422CA2" w:rsidRDefault="00011A1B" w:rsidP="004459DC">
            <w:pPr>
              <w:spacing w:before="60" w:after="60" w:line="276" w:lineRule="auto"/>
              <w:jc w:val="center"/>
              <w:rPr>
                <w:rFonts w:ascii="ITC Avant Garde" w:eastAsiaTheme="minorHAnsi" w:hAnsi="ITC Avant Garde" w:cs="Arial"/>
                <w:b/>
                <w:bCs/>
                <w:sz w:val="20"/>
                <w:szCs w:val="20"/>
              </w:rPr>
            </w:pPr>
            <w:r w:rsidRPr="00422CA2">
              <w:rPr>
                <w:rFonts w:ascii="ITC Avant Garde" w:hAnsi="ITC Avant Garde"/>
                <w:b/>
                <w:bCs/>
                <w:sz w:val="20"/>
                <w:szCs w:val="20"/>
              </w:rPr>
              <w:t>&lt;= 1 Km</w:t>
            </w:r>
          </w:p>
        </w:tc>
        <w:tc>
          <w:tcPr>
            <w:tcW w:w="679" w:type="pct"/>
            <w:shd w:val="clear" w:color="auto" w:fill="0070C0"/>
            <w:tcMar>
              <w:top w:w="0" w:type="dxa"/>
              <w:left w:w="108" w:type="dxa"/>
              <w:bottom w:w="0" w:type="dxa"/>
              <w:right w:w="108" w:type="dxa"/>
            </w:tcMar>
            <w:vAlign w:val="center"/>
            <w:hideMark/>
          </w:tcPr>
          <w:p w14:paraId="40E8572B" w14:textId="77777777" w:rsidR="00530A32" w:rsidRPr="00422CA2" w:rsidRDefault="00011A1B" w:rsidP="004459DC">
            <w:pPr>
              <w:spacing w:before="60" w:after="60" w:line="276" w:lineRule="auto"/>
              <w:jc w:val="center"/>
              <w:rPr>
                <w:rFonts w:ascii="ITC Avant Garde" w:eastAsiaTheme="minorHAnsi" w:hAnsi="ITC Avant Garde" w:cs="Arial"/>
                <w:b/>
                <w:bCs/>
                <w:sz w:val="20"/>
                <w:szCs w:val="20"/>
              </w:rPr>
            </w:pPr>
            <w:r w:rsidRPr="00422CA2">
              <w:rPr>
                <w:rFonts w:ascii="ITC Avant Garde" w:hAnsi="ITC Avant Garde"/>
                <w:b/>
                <w:bCs/>
                <w:sz w:val="20"/>
                <w:szCs w:val="20"/>
              </w:rPr>
              <w:t>&lt;= 2 Km</w:t>
            </w:r>
          </w:p>
        </w:tc>
        <w:tc>
          <w:tcPr>
            <w:tcW w:w="622" w:type="pct"/>
            <w:shd w:val="clear" w:color="auto" w:fill="0070C0"/>
            <w:tcMar>
              <w:top w:w="0" w:type="dxa"/>
              <w:left w:w="108" w:type="dxa"/>
              <w:bottom w:w="0" w:type="dxa"/>
              <w:right w:w="108" w:type="dxa"/>
            </w:tcMar>
            <w:vAlign w:val="center"/>
            <w:hideMark/>
          </w:tcPr>
          <w:p w14:paraId="40E8572C" w14:textId="77777777" w:rsidR="00530A32" w:rsidRPr="00422CA2" w:rsidRDefault="00011A1B" w:rsidP="004459DC">
            <w:pPr>
              <w:spacing w:before="60" w:after="60" w:line="276" w:lineRule="auto"/>
              <w:jc w:val="center"/>
              <w:rPr>
                <w:rFonts w:ascii="ITC Avant Garde" w:eastAsiaTheme="minorHAnsi" w:hAnsi="ITC Avant Garde" w:cs="Arial"/>
                <w:b/>
                <w:bCs/>
                <w:sz w:val="20"/>
                <w:szCs w:val="20"/>
              </w:rPr>
            </w:pPr>
            <w:r w:rsidRPr="00422CA2">
              <w:rPr>
                <w:rFonts w:ascii="ITC Avant Garde" w:hAnsi="ITC Avant Garde"/>
                <w:b/>
                <w:bCs/>
                <w:sz w:val="20"/>
                <w:szCs w:val="20"/>
              </w:rPr>
              <w:t>&lt;= 3 Km</w:t>
            </w:r>
          </w:p>
        </w:tc>
        <w:tc>
          <w:tcPr>
            <w:tcW w:w="652" w:type="pct"/>
            <w:shd w:val="clear" w:color="auto" w:fill="0070C0"/>
            <w:tcMar>
              <w:top w:w="0" w:type="dxa"/>
              <w:left w:w="108" w:type="dxa"/>
              <w:bottom w:w="0" w:type="dxa"/>
              <w:right w:w="108" w:type="dxa"/>
            </w:tcMar>
            <w:vAlign w:val="center"/>
            <w:hideMark/>
          </w:tcPr>
          <w:p w14:paraId="40E8572D" w14:textId="77777777" w:rsidR="00530A32" w:rsidRPr="00422CA2" w:rsidRDefault="00011A1B" w:rsidP="004459DC">
            <w:pPr>
              <w:spacing w:before="60" w:after="60" w:line="276" w:lineRule="auto"/>
              <w:jc w:val="center"/>
              <w:rPr>
                <w:rFonts w:ascii="ITC Avant Garde" w:eastAsiaTheme="minorHAnsi" w:hAnsi="ITC Avant Garde" w:cs="Arial"/>
                <w:b/>
                <w:bCs/>
                <w:sz w:val="20"/>
                <w:szCs w:val="20"/>
              </w:rPr>
            </w:pPr>
            <w:r w:rsidRPr="00422CA2">
              <w:rPr>
                <w:rFonts w:ascii="ITC Avant Garde" w:hAnsi="ITC Avant Garde"/>
                <w:b/>
                <w:bCs/>
                <w:sz w:val="20"/>
                <w:szCs w:val="20"/>
              </w:rPr>
              <w:t>&lt;= 4 Km</w:t>
            </w:r>
          </w:p>
        </w:tc>
      </w:tr>
      <w:tr w:rsidR="00422CA2" w:rsidRPr="00422CA2" w14:paraId="40E85735" w14:textId="77777777" w:rsidTr="00774762">
        <w:trPr>
          <w:jc w:val="center"/>
        </w:trPr>
        <w:tc>
          <w:tcPr>
            <w:tcW w:w="649" w:type="pct"/>
            <w:tcMar>
              <w:top w:w="0" w:type="dxa"/>
              <w:left w:w="108" w:type="dxa"/>
              <w:bottom w:w="0" w:type="dxa"/>
              <w:right w:w="108" w:type="dxa"/>
            </w:tcMar>
            <w:vAlign w:val="center"/>
            <w:hideMark/>
          </w:tcPr>
          <w:p w14:paraId="40E8572F"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A</w:t>
            </w:r>
          </w:p>
        </w:tc>
        <w:tc>
          <w:tcPr>
            <w:tcW w:w="1801" w:type="pct"/>
            <w:tcMar>
              <w:top w:w="0" w:type="dxa"/>
              <w:left w:w="108" w:type="dxa"/>
              <w:bottom w:w="0" w:type="dxa"/>
              <w:right w:w="108" w:type="dxa"/>
            </w:tcMar>
            <w:vAlign w:val="center"/>
            <w:hideMark/>
          </w:tcPr>
          <w:p w14:paraId="40E85730" w14:textId="77777777" w:rsidR="00530A32" w:rsidRPr="00422CA2" w:rsidRDefault="00011A1B" w:rsidP="004459DC">
            <w:pPr>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Sistemas de Alimentación de Corriente Directa (DC)</w:t>
            </w:r>
          </w:p>
        </w:tc>
        <w:tc>
          <w:tcPr>
            <w:tcW w:w="595" w:type="pct"/>
            <w:tcMar>
              <w:top w:w="0" w:type="dxa"/>
              <w:left w:w="108" w:type="dxa"/>
              <w:bottom w:w="0" w:type="dxa"/>
              <w:right w:w="108" w:type="dxa"/>
            </w:tcMar>
            <w:vAlign w:val="center"/>
            <w:hideMark/>
          </w:tcPr>
          <w:p w14:paraId="40E85731"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79" w:type="pct"/>
            <w:tcMar>
              <w:top w:w="0" w:type="dxa"/>
              <w:left w:w="108" w:type="dxa"/>
              <w:bottom w:w="0" w:type="dxa"/>
              <w:right w:w="108" w:type="dxa"/>
            </w:tcMar>
            <w:vAlign w:val="center"/>
            <w:hideMark/>
          </w:tcPr>
          <w:p w14:paraId="40E85732"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22" w:type="pct"/>
            <w:tcMar>
              <w:top w:w="0" w:type="dxa"/>
              <w:left w:w="108" w:type="dxa"/>
              <w:bottom w:w="0" w:type="dxa"/>
              <w:right w:w="108" w:type="dxa"/>
            </w:tcMar>
            <w:vAlign w:val="center"/>
            <w:hideMark/>
          </w:tcPr>
          <w:p w14:paraId="40E85733"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52" w:type="pct"/>
            <w:tcMar>
              <w:top w:w="0" w:type="dxa"/>
              <w:left w:w="108" w:type="dxa"/>
              <w:bottom w:w="0" w:type="dxa"/>
              <w:right w:w="108" w:type="dxa"/>
            </w:tcMar>
            <w:vAlign w:val="center"/>
            <w:hideMark/>
          </w:tcPr>
          <w:p w14:paraId="40E85734"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r>
      <w:tr w:rsidR="00422CA2" w:rsidRPr="00422CA2" w14:paraId="40E8573C" w14:textId="77777777" w:rsidTr="00774762">
        <w:trPr>
          <w:jc w:val="center"/>
        </w:trPr>
        <w:tc>
          <w:tcPr>
            <w:tcW w:w="649" w:type="pct"/>
            <w:tcMar>
              <w:top w:w="0" w:type="dxa"/>
              <w:left w:w="108" w:type="dxa"/>
              <w:bottom w:w="0" w:type="dxa"/>
              <w:right w:w="108" w:type="dxa"/>
            </w:tcMar>
            <w:vAlign w:val="center"/>
            <w:hideMark/>
          </w:tcPr>
          <w:p w14:paraId="40E85736"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w:t>
            </w:r>
          </w:p>
        </w:tc>
        <w:tc>
          <w:tcPr>
            <w:tcW w:w="1801" w:type="pct"/>
            <w:tcMar>
              <w:top w:w="0" w:type="dxa"/>
              <w:left w:w="108" w:type="dxa"/>
              <w:bottom w:w="0" w:type="dxa"/>
              <w:right w:w="108" w:type="dxa"/>
            </w:tcMar>
            <w:vAlign w:val="center"/>
            <w:hideMark/>
          </w:tcPr>
          <w:p w14:paraId="40E85737" w14:textId="77777777" w:rsidR="00530A32" w:rsidRPr="00422CA2" w:rsidRDefault="00011A1B" w:rsidP="004459DC">
            <w:pPr>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Servicios de Voz (POTS)</w:t>
            </w:r>
          </w:p>
        </w:tc>
        <w:tc>
          <w:tcPr>
            <w:tcW w:w="595" w:type="pct"/>
            <w:tcMar>
              <w:top w:w="0" w:type="dxa"/>
              <w:left w:w="108" w:type="dxa"/>
              <w:bottom w:w="0" w:type="dxa"/>
              <w:right w:w="108" w:type="dxa"/>
            </w:tcMar>
            <w:vAlign w:val="center"/>
            <w:hideMark/>
          </w:tcPr>
          <w:p w14:paraId="40E85738"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79" w:type="pct"/>
            <w:tcMar>
              <w:top w:w="0" w:type="dxa"/>
              <w:left w:w="108" w:type="dxa"/>
              <w:bottom w:w="0" w:type="dxa"/>
              <w:right w:w="108" w:type="dxa"/>
            </w:tcMar>
            <w:vAlign w:val="center"/>
            <w:hideMark/>
          </w:tcPr>
          <w:p w14:paraId="40E85739"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22" w:type="pct"/>
            <w:tcMar>
              <w:top w:w="0" w:type="dxa"/>
              <w:left w:w="108" w:type="dxa"/>
              <w:bottom w:w="0" w:type="dxa"/>
              <w:right w:w="108" w:type="dxa"/>
            </w:tcMar>
            <w:vAlign w:val="center"/>
            <w:hideMark/>
          </w:tcPr>
          <w:p w14:paraId="40E8573A"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52" w:type="pct"/>
            <w:tcMar>
              <w:top w:w="0" w:type="dxa"/>
              <w:left w:w="108" w:type="dxa"/>
              <w:bottom w:w="0" w:type="dxa"/>
              <w:right w:w="108" w:type="dxa"/>
            </w:tcMar>
            <w:vAlign w:val="center"/>
            <w:hideMark/>
          </w:tcPr>
          <w:p w14:paraId="40E8573B"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r>
      <w:tr w:rsidR="00422CA2" w:rsidRPr="00422CA2" w14:paraId="40E85743" w14:textId="77777777" w:rsidTr="00774762">
        <w:trPr>
          <w:jc w:val="center"/>
        </w:trPr>
        <w:tc>
          <w:tcPr>
            <w:tcW w:w="649" w:type="pct"/>
            <w:tcMar>
              <w:top w:w="0" w:type="dxa"/>
              <w:left w:w="108" w:type="dxa"/>
              <w:bottom w:w="0" w:type="dxa"/>
              <w:right w:w="108" w:type="dxa"/>
            </w:tcMar>
            <w:vAlign w:val="center"/>
            <w:hideMark/>
          </w:tcPr>
          <w:p w14:paraId="40E8573D"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2</w:t>
            </w:r>
          </w:p>
        </w:tc>
        <w:tc>
          <w:tcPr>
            <w:tcW w:w="1801" w:type="pct"/>
            <w:tcMar>
              <w:top w:w="0" w:type="dxa"/>
              <w:left w:w="108" w:type="dxa"/>
              <w:bottom w:w="0" w:type="dxa"/>
              <w:right w:w="108" w:type="dxa"/>
            </w:tcMar>
            <w:vAlign w:val="center"/>
            <w:hideMark/>
          </w:tcPr>
          <w:p w14:paraId="40E8573E" w14:textId="77777777" w:rsidR="00530A32" w:rsidRPr="00422CA2" w:rsidRDefault="00011A1B" w:rsidP="004459DC">
            <w:pPr>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Semi-Banda Ancha (ISDN)</w:t>
            </w:r>
          </w:p>
        </w:tc>
        <w:tc>
          <w:tcPr>
            <w:tcW w:w="595" w:type="pct"/>
            <w:tcMar>
              <w:top w:w="0" w:type="dxa"/>
              <w:left w:w="108" w:type="dxa"/>
              <w:bottom w:w="0" w:type="dxa"/>
              <w:right w:w="108" w:type="dxa"/>
            </w:tcMar>
            <w:vAlign w:val="center"/>
            <w:hideMark/>
          </w:tcPr>
          <w:p w14:paraId="40E8573F"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30%</w:t>
            </w:r>
          </w:p>
        </w:tc>
        <w:tc>
          <w:tcPr>
            <w:tcW w:w="679" w:type="pct"/>
            <w:tcMar>
              <w:top w:w="0" w:type="dxa"/>
              <w:left w:w="108" w:type="dxa"/>
              <w:bottom w:w="0" w:type="dxa"/>
              <w:right w:w="108" w:type="dxa"/>
            </w:tcMar>
            <w:vAlign w:val="center"/>
            <w:hideMark/>
          </w:tcPr>
          <w:p w14:paraId="40E85740"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30%</w:t>
            </w:r>
          </w:p>
        </w:tc>
        <w:tc>
          <w:tcPr>
            <w:tcW w:w="622" w:type="pct"/>
            <w:tcMar>
              <w:top w:w="0" w:type="dxa"/>
              <w:left w:w="108" w:type="dxa"/>
              <w:bottom w:w="0" w:type="dxa"/>
              <w:right w:w="108" w:type="dxa"/>
            </w:tcMar>
            <w:vAlign w:val="center"/>
            <w:hideMark/>
          </w:tcPr>
          <w:p w14:paraId="40E85741"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30%</w:t>
            </w:r>
          </w:p>
        </w:tc>
        <w:tc>
          <w:tcPr>
            <w:tcW w:w="652" w:type="pct"/>
            <w:tcMar>
              <w:top w:w="0" w:type="dxa"/>
              <w:left w:w="108" w:type="dxa"/>
              <w:bottom w:w="0" w:type="dxa"/>
              <w:right w:w="108" w:type="dxa"/>
            </w:tcMar>
            <w:vAlign w:val="center"/>
            <w:hideMark/>
          </w:tcPr>
          <w:p w14:paraId="40E85742"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20%</w:t>
            </w:r>
          </w:p>
        </w:tc>
      </w:tr>
      <w:tr w:rsidR="00422CA2" w:rsidRPr="00422CA2" w14:paraId="40E8574A" w14:textId="77777777" w:rsidTr="00774762">
        <w:trPr>
          <w:jc w:val="center"/>
        </w:trPr>
        <w:tc>
          <w:tcPr>
            <w:tcW w:w="649" w:type="pct"/>
            <w:tcMar>
              <w:top w:w="0" w:type="dxa"/>
              <w:left w:w="108" w:type="dxa"/>
              <w:bottom w:w="0" w:type="dxa"/>
              <w:right w:w="108" w:type="dxa"/>
            </w:tcMar>
            <w:vAlign w:val="center"/>
            <w:hideMark/>
          </w:tcPr>
          <w:p w14:paraId="40E85744" w14:textId="77777777" w:rsidR="00530A32" w:rsidRPr="00422CA2" w:rsidRDefault="00011A1B" w:rsidP="004459DC">
            <w:pPr>
              <w:autoSpaceDE w:val="0"/>
              <w:autoSpaceDN w:val="0"/>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w:t>
            </w:r>
          </w:p>
        </w:tc>
        <w:tc>
          <w:tcPr>
            <w:tcW w:w="1801" w:type="pct"/>
            <w:tcMar>
              <w:top w:w="0" w:type="dxa"/>
              <w:left w:w="108" w:type="dxa"/>
              <w:bottom w:w="0" w:type="dxa"/>
              <w:right w:w="108" w:type="dxa"/>
            </w:tcMar>
            <w:vAlign w:val="center"/>
            <w:hideMark/>
          </w:tcPr>
          <w:p w14:paraId="40E85745" w14:textId="77777777" w:rsidR="00530A32" w:rsidRPr="00422CA2" w:rsidRDefault="00011A1B" w:rsidP="004459DC">
            <w:pPr>
              <w:autoSpaceDE w:val="0"/>
              <w:autoSpaceDN w:val="0"/>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Banda Ancha Simétrica (SHDSL)</w:t>
            </w:r>
          </w:p>
        </w:tc>
        <w:tc>
          <w:tcPr>
            <w:tcW w:w="595" w:type="pct"/>
            <w:tcMar>
              <w:top w:w="0" w:type="dxa"/>
              <w:left w:w="108" w:type="dxa"/>
              <w:bottom w:w="0" w:type="dxa"/>
              <w:right w:w="108" w:type="dxa"/>
            </w:tcMar>
            <w:vAlign w:val="center"/>
            <w:hideMark/>
          </w:tcPr>
          <w:p w14:paraId="40E85746"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30%</w:t>
            </w:r>
          </w:p>
        </w:tc>
        <w:tc>
          <w:tcPr>
            <w:tcW w:w="679" w:type="pct"/>
            <w:tcMar>
              <w:top w:w="0" w:type="dxa"/>
              <w:left w:w="108" w:type="dxa"/>
              <w:bottom w:w="0" w:type="dxa"/>
              <w:right w:w="108" w:type="dxa"/>
            </w:tcMar>
            <w:vAlign w:val="center"/>
            <w:hideMark/>
          </w:tcPr>
          <w:p w14:paraId="40E85747"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30%</w:t>
            </w:r>
          </w:p>
        </w:tc>
        <w:tc>
          <w:tcPr>
            <w:tcW w:w="622" w:type="pct"/>
            <w:tcMar>
              <w:top w:w="0" w:type="dxa"/>
              <w:left w:w="108" w:type="dxa"/>
              <w:bottom w:w="0" w:type="dxa"/>
              <w:right w:w="108" w:type="dxa"/>
            </w:tcMar>
            <w:vAlign w:val="center"/>
            <w:hideMark/>
          </w:tcPr>
          <w:p w14:paraId="40E85748"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20%</w:t>
            </w:r>
          </w:p>
        </w:tc>
        <w:tc>
          <w:tcPr>
            <w:tcW w:w="652" w:type="pct"/>
            <w:tcMar>
              <w:top w:w="0" w:type="dxa"/>
              <w:left w:w="108" w:type="dxa"/>
              <w:bottom w:w="0" w:type="dxa"/>
              <w:right w:w="108" w:type="dxa"/>
            </w:tcMar>
            <w:vAlign w:val="center"/>
            <w:hideMark/>
          </w:tcPr>
          <w:p w14:paraId="40E85749"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20%</w:t>
            </w:r>
          </w:p>
        </w:tc>
      </w:tr>
      <w:tr w:rsidR="00422CA2" w:rsidRPr="00422CA2" w14:paraId="40E85752" w14:textId="77777777" w:rsidTr="00774762">
        <w:trPr>
          <w:jc w:val="center"/>
        </w:trPr>
        <w:tc>
          <w:tcPr>
            <w:tcW w:w="649" w:type="pct"/>
            <w:tcMar>
              <w:top w:w="0" w:type="dxa"/>
              <w:left w:w="108" w:type="dxa"/>
              <w:bottom w:w="0" w:type="dxa"/>
              <w:right w:w="108" w:type="dxa"/>
            </w:tcMar>
            <w:vAlign w:val="center"/>
            <w:hideMark/>
          </w:tcPr>
          <w:p w14:paraId="40E8574B" w14:textId="77777777" w:rsidR="00530A32" w:rsidRPr="00422CA2" w:rsidRDefault="00011A1B" w:rsidP="004459DC">
            <w:pPr>
              <w:autoSpaceDE w:val="0"/>
              <w:autoSpaceDN w:val="0"/>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4</w:t>
            </w:r>
          </w:p>
        </w:tc>
        <w:tc>
          <w:tcPr>
            <w:tcW w:w="1801" w:type="pct"/>
            <w:tcMar>
              <w:top w:w="0" w:type="dxa"/>
              <w:left w:w="108" w:type="dxa"/>
              <w:bottom w:w="0" w:type="dxa"/>
              <w:right w:w="108" w:type="dxa"/>
            </w:tcMar>
            <w:vAlign w:val="center"/>
            <w:hideMark/>
          </w:tcPr>
          <w:p w14:paraId="40E8574C" w14:textId="77777777" w:rsidR="00530A32" w:rsidRPr="00422CA2" w:rsidRDefault="00011A1B" w:rsidP="004459DC">
            <w:pPr>
              <w:autoSpaceDE w:val="0"/>
              <w:autoSpaceDN w:val="0"/>
              <w:spacing w:before="60" w:after="60" w:line="276" w:lineRule="auto"/>
              <w:rPr>
                <w:rFonts w:ascii="ITC Avant Garde" w:eastAsiaTheme="minorHAnsi" w:hAnsi="ITC Avant Garde" w:cs="Arial"/>
                <w:spacing w:val="-4"/>
                <w:sz w:val="20"/>
                <w:szCs w:val="20"/>
              </w:rPr>
            </w:pPr>
            <w:r w:rsidRPr="00422CA2">
              <w:rPr>
                <w:rFonts w:ascii="ITC Avant Garde" w:hAnsi="ITC Avant Garde"/>
                <w:spacing w:val="-4"/>
                <w:sz w:val="20"/>
                <w:szCs w:val="20"/>
              </w:rPr>
              <w:t>Banda Ancha Asimétrica</w:t>
            </w:r>
          </w:p>
          <w:p w14:paraId="40E8574D" w14:textId="77777777" w:rsidR="00530A32" w:rsidRPr="00422CA2" w:rsidRDefault="00011A1B" w:rsidP="004459DC">
            <w:pPr>
              <w:spacing w:before="60" w:after="60" w:line="276" w:lineRule="auto"/>
              <w:rPr>
                <w:rFonts w:ascii="ITC Avant Garde" w:eastAsiaTheme="minorHAnsi" w:hAnsi="ITC Avant Garde" w:cs="Arial"/>
                <w:sz w:val="20"/>
                <w:szCs w:val="20"/>
              </w:rPr>
            </w:pPr>
            <w:r w:rsidRPr="00422CA2">
              <w:rPr>
                <w:rFonts w:ascii="ITC Avant Garde" w:hAnsi="ITC Avant Garde"/>
                <w:spacing w:val="-4"/>
                <w:sz w:val="20"/>
                <w:szCs w:val="20"/>
              </w:rPr>
              <w:t>Hasta 2.2 MHz (ADSL,ADSL2,ADSL2+)</w:t>
            </w:r>
          </w:p>
        </w:tc>
        <w:tc>
          <w:tcPr>
            <w:tcW w:w="595" w:type="pct"/>
            <w:tcMar>
              <w:top w:w="0" w:type="dxa"/>
              <w:left w:w="108" w:type="dxa"/>
              <w:bottom w:w="0" w:type="dxa"/>
              <w:right w:w="108" w:type="dxa"/>
            </w:tcMar>
            <w:vAlign w:val="center"/>
            <w:hideMark/>
          </w:tcPr>
          <w:p w14:paraId="40E8574E"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79" w:type="pct"/>
            <w:tcMar>
              <w:top w:w="0" w:type="dxa"/>
              <w:left w:w="108" w:type="dxa"/>
              <w:bottom w:w="0" w:type="dxa"/>
              <w:right w:w="108" w:type="dxa"/>
            </w:tcMar>
            <w:vAlign w:val="center"/>
            <w:hideMark/>
          </w:tcPr>
          <w:p w14:paraId="40E8574F"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60%</w:t>
            </w:r>
          </w:p>
        </w:tc>
        <w:tc>
          <w:tcPr>
            <w:tcW w:w="622" w:type="pct"/>
            <w:tcMar>
              <w:top w:w="0" w:type="dxa"/>
              <w:left w:w="108" w:type="dxa"/>
              <w:bottom w:w="0" w:type="dxa"/>
              <w:right w:w="108" w:type="dxa"/>
            </w:tcMar>
            <w:vAlign w:val="center"/>
            <w:hideMark/>
          </w:tcPr>
          <w:p w14:paraId="40E85750"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50%</w:t>
            </w:r>
          </w:p>
        </w:tc>
        <w:tc>
          <w:tcPr>
            <w:tcW w:w="652" w:type="pct"/>
            <w:tcMar>
              <w:top w:w="0" w:type="dxa"/>
              <w:left w:w="108" w:type="dxa"/>
              <w:bottom w:w="0" w:type="dxa"/>
              <w:right w:w="108" w:type="dxa"/>
            </w:tcMar>
            <w:vAlign w:val="center"/>
            <w:hideMark/>
          </w:tcPr>
          <w:p w14:paraId="40E85751"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40%</w:t>
            </w:r>
          </w:p>
        </w:tc>
      </w:tr>
      <w:tr w:rsidR="00422CA2" w:rsidRPr="00422CA2" w14:paraId="40E8575A" w14:textId="77777777" w:rsidTr="00774762">
        <w:trPr>
          <w:jc w:val="center"/>
        </w:trPr>
        <w:tc>
          <w:tcPr>
            <w:tcW w:w="649" w:type="pct"/>
            <w:tcMar>
              <w:top w:w="0" w:type="dxa"/>
              <w:left w:w="108" w:type="dxa"/>
              <w:bottom w:w="0" w:type="dxa"/>
              <w:right w:w="108" w:type="dxa"/>
            </w:tcMar>
            <w:vAlign w:val="center"/>
            <w:hideMark/>
          </w:tcPr>
          <w:p w14:paraId="40E85753" w14:textId="77777777" w:rsidR="00530A32" w:rsidRPr="00422CA2" w:rsidRDefault="00011A1B" w:rsidP="004459DC">
            <w:pPr>
              <w:autoSpaceDE w:val="0"/>
              <w:autoSpaceDN w:val="0"/>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5</w:t>
            </w:r>
          </w:p>
        </w:tc>
        <w:tc>
          <w:tcPr>
            <w:tcW w:w="1801" w:type="pct"/>
            <w:tcMar>
              <w:top w:w="0" w:type="dxa"/>
              <w:left w:w="108" w:type="dxa"/>
              <w:bottom w:w="0" w:type="dxa"/>
              <w:right w:w="108" w:type="dxa"/>
            </w:tcMar>
            <w:vAlign w:val="center"/>
            <w:hideMark/>
          </w:tcPr>
          <w:p w14:paraId="40E85754" w14:textId="77777777" w:rsidR="00530A32" w:rsidRPr="00422CA2" w:rsidRDefault="00011A1B" w:rsidP="004459DC">
            <w:pPr>
              <w:autoSpaceDE w:val="0"/>
              <w:autoSpaceDN w:val="0"/>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Banda Ancha Asimétrica</w:t>
            </w:r>
          </w:p>
          <w:p w14:paraId="40E85755" w14:textId="77777777" w:rsidR="00530A32" w:rsidRPr="00422CA2" w:rsidRDefault="00011A1B" w:rsidP="004459DC">
            <w:pPr>
              <w:spacing w:before="60" w:after="60" w:line="276" w:lineRule="auto"/>
              <w:rPr>
                <w:rFonts w:ascii="ITC Avant Garde" w:eastAsiaTheme="minorHAnsi" w:hAnsi="ITC Avant Garde" w:cs="Arial"/>
                <w:sz w:val="20"/>
                <w:szCs w:val="20"/>
              </w:rPr>
            </w:pPr>
            <w:r w:rsidRPr="00422CA2">
              <w:rPr>
                <w:rFonts w:ascii="ITC Avant Garde" w:hAnsi="ITC Avant Garde"/>
                <w:sz w:val="20"/>
                <w:szCs w:val="20"/>
              </w:rPr>
              <w:t>Hasta 30 MHz (VDSL2)</w:t>
            </w:r>
          </w:p>
        </w:tc>
        <w:tc>
          <w:tcPr>
            <w:tcW w:w="595" w:type="pct"/>
            <w:tcMar>
              <w:top w:w="0" w:type="dxa"/>
              <w:left w:w="108" w:type="dxa"/>
              <w:bottom w:w="0" w:type="dxa"/>
              <w:right w:w="108" w:type="dxa"/>
            </w:tcMar>
            <w:vAlign w:val="center"/>
            <w:hideMark/>
          </w:tcPr>
          <w:p w14:paraId="40E85756"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100%</w:t>
            </w:r>
          </w:p>
        </w:tc>
        <w:tc>
          <w:tcPr>
            <w:tcW w:w="679" w:type="pct"/>
            <w:tcMar>
              <w:top w:w="0" w:type="dxa"/>
              <w:left w:w="108" w:type="dxa"/>
              <w:bottom w:w="0" w:type="dxa"/>
              <w:right w:w="108" w:type="dxa"/>
            </w:tcMar>
            <w:vAlign w:val="center"/>
            <w:hideMark/>
          </w:tcPr>
          <w:p w14:paraId="40E85757"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50%</w:t>
            </w:r>
          </w:p>
        </w:tc>
        <w:tc>
          <w:tcPr>
            <w:tcW w:w="622" w:type="pct"/>
            <w:tcMar>
              <w:top w:w="0" w:type="dxa"/>
              <w:left w:w="108" w:type="dxa"/>
              <w:bottom w:w="0" w:type="dxa"/>
              <w:right w:w="108" w:type="dxa"/>
            </w:tcMar>
            <w:vAlign w:val="center"/>
            <w:hideMark/>
          </w:tcPr>
          <w:p w14:paraId="40E85758"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25%</w:t>
            </w:r>
          </w:p>
        </w:tc>
        <w:tc>
          <w:tcPr>
            <w:tcW w:w="652" w:type="pct"/>
            <w:tcMar>
              <w:top w:w="0" w:type="dxa"/>
              <w:left w:w="108" w:type="dxa"/>
              <w:bottom w:w="0" w:type="dxa"/>
              <w:right w:w="108" w:type="dxa"/>
            </w:tcMar>
            <w:vAlign w:val="center"/>
            <w:hideMark/>
          </w:tcPr>
          <w:p w14:paraId="40E85759" w14:textId="77777777" w:rsidR="00530A32" w:rsidRPr="00422CA2" w:rsidRDefault="00011A1B" w:rsidP="004459DC">
            <w:pPr>
              <w:spacing w:before="60" w:after="60" w:line="276" w:lineRule="auto"/>
              <w:jc w:val="center"/>
              <w:rPr>
                <w:rFonts w:ascii="ITC Avant Garde" w:eastAsiaTheme="minorHAnsi" w:hAnsi="ITC Avant Garde" w:cs="Arial"/>
                <w:sz w:val="20"/>
                <w:szCs w:val="20"/>
              </w:rPr>
            </w:pPr>
            <w:r w:rsidRPr="00422CA2">
              <w:rPr>
                <w:rFonts w:ascii="ITC Avant Garde" w:hAnsi="ITC Avant Garde"/>
                <w:sz w:val="20"/>
                <w:szCs w:val="20"/>
              </w:rPr>
              <w:t>0%</w:t>
            </w:r>
          </w:p>
        </w:tc>
      </w:tr>
    </w:tbl>
    <w:p w14:paraId="40E8575B" w14:textId="6F2D036F" w:rsidR="00530A32" w:rsidRPr="00422CA2" w:rsidRDefault="00594A0A" w:rsidP="006D5504">
      <w:pPr>
        <w:spacing w:before="120" w:after="200" w:line="276" w:lineRule="auto"/>
        <w:ind w:left="284"/>
        <w:jc w:val="center"/>
        <w:rPr>
          <w:rFonts w:ascii="ITC Avant Garde" w:hAnsi="ITC Avant Garde"/>
          <w:sz w:val="16"/>
          <w:szCs w:val="16"/>
          <w:lang w:val="es-MX"/>
        </w:rPr>
      </w:pPr>
      <w:r w:rsidRPr="00422CA2">
        <w:rPr>
          <w:rFonts w:ascii="ITC Avant Garde" w:hAnsi="ITC Avant Garde"/>
          <w:sz w:val="16"/>
          <w:szCs w:val="16"/>
          <w:lang w:val="es-MX"/>
        </w:rPr>
        <w:t xml:space="preserve">Tabla 8 </w:t>
      </w:r>
      <w:r w:rsidR="00011A1B" w:rsidRPr="00422CA2">
        <w:rPr>
          <w:rFonts w:ascii="ITC Avant Garde" w:hAnsi="ITC Avant Garde"/>
          <w:sz w:val="16"/>
          <w:szCs w:val="16"/>
          <w:lang w:val="es-MX"/>
        </w:rPr>
        <w:t>Proporción de Penetración de Tecnologías en una unidad básica de bucle, de acuerdo al PGE</w:t>
      </w:r>
    </w:p>
    <w:p w14:paraId="40E8575D" w14:textId="77777777" w:rsidR="00530A32" w:rsidRPr="00422CA2" w:rsidRDefault="00011A1B" w:rsidP="001A53AC">
      <w:pPr>
        <w:spacing w:after="200" w:line="276" w:lineRule="auto"/>
        <w:ind w:left="425"/>
        <w:jc w:val="both"/>
        <w:rPr>
          <w:rFonts w:ascii="ITC Avant Garde" w:hAnsi="ITC Avant Garde"/>
          <w:sz w:val="22"/>
          <w:szCs w:val="22"/>
          <w:lang w:val="es-MX"/>
        </w:rPr>
      </w:pPr>
      <w:r w:rsidRPr="00422CA2">
        <w:rPr>
          <w:rFonts w:ascii="ITC Avant Garde" w:hAnsi="ITC Avant Garde"/>
          <w:sz w:val="22"/>
          <w:szCs w:val="22"/>
          <w:lang w:val="es-MX"/>
        </w:rPr>
        <w:t>Para las tecnologías digitales (Grupos 2 al 5) la penetración máxima a ser aplicada en un mismo cable multipar, no podrá rebasar el 70% de ocupación en cualquier combinación de tecnologías de estos grupos.</w:t>
      </w:r>
    </w:p>
    <w:p w14:paraId="40E8575F" w14:textId="77777777" w:rsidR="00530A32" w:rsidRPr="00422CA2" w:rsidRDefault="00011A1B" w:rsidP="00B54180">
      <w:pPr>
        <w:spacing w:after="200" w:line="276" w:lineRule="auto"/>
        <w:rPr>
          <w:rFonts w:ascii="ITC Avant Garde" w:hAnsi="ITC Avant Garde"/>
          <w:b/>
          <w:i/>
          <w:sz w:val="22"/>
          <w:szCs w:val="22"/>
          <w:lang w:val="es-MX"/>
        </w:rPr>
      </w:pPr>
      <w:r w:rsidRPr="00422CA2">
        <w:rPr>
          <w:rFonts w:ascii="ITC Avant Garde" w:hAnsi="ITC Avant Garde"/>
          <w:b/>
          <w:i/>
          <w:sz w:val="22"/>
          <w:szCs w:val="22"/>
          <w:lang w:val="es-MX"/>
        </w:rPr>
        <w:t>Bucle Nuevo.</w:t>
      </w:r>
    </w:p>
    <w:p w14:paraId="40E85760" w14:textId="77777777" w:rsidR="00530A32" w:rsidRPr="00422CA2" w:rsidRDefault="00011A1B" w:rsidP="00B54180">
      <w:pPr>
        <w:spacing w:after="200" w:line="276" w:lineRule="auto"/>
        <w:rPr>
          <w:rFonts w:ascii="ITC Avant Garde" w:hAnsi="ITC Avant Garde"/>
          <w:sz w:val="22"/>
          <w:szCs w:val="22"/>
          <w:lang w:val="es-MX"/>
        </w:rPr>
      </w:pPr>
      <w:r w:rsidRPr="00422CA2">
        <w:rPr>
          <w:rFonts w:ascii="ITC Avant Garde" w:hAnsi="ITC Avant Garde"/>
          <w:sz w:val="22"/>
          <w:szCs w:val="22"/>
          <w:lang w:val="es-MX"/>
        </w:rPr>
        <w:t>Premisas: Usuario sin servicio activo de datos y/o voz.</w:t>
      </w:r>
    </w:p>
    <w:p w14:paraId="40E85762" w14:textId="77777777" w:rsidR="00530A32" w:rsidRPr="00422CA2" w:rsidRDefault="00011A1B" w:rsidP="00B54180">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Mecánica para calificar el bucle y determinar el ancho de banda por distancia:</w:t>
      </w:r>
    </w:p>
    <w:p w14:paraId="40E85763" w14:textId="77777777" w:rsidR="00530A32" w:rsidRPr="00422CA2" w:rsidRDefault="00011A1B" w:rsidP="00B54180">
      <w:pPr>
        <w:pStyle w:val="Prrafodelista"/>
        <w:numPr>
          <w:ilvl w:val="0"/>
          <w:numId w:val="8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obtener el dato de la distancia del bucle se toma como referencia el distrito asociado al domicilio del cliente. De esta forma la distancia se calcula considerando la distancia de la central al distrito, adicionando </w:t>
      </w:r>
      <w:smartTag w:uri="urn:schemas-microsoft-com:office:smarttags" w:element="metricconverter">
        <w:smartTagPr>
          <w:attr w:name="ProductID" w:val="500 m"/>
        </w:smartTagPr>
        <w:r w:rsidRPr="00422CA2">
          <w:rPr>
            <w:rFonts w:ascii="ITC Avant Garde" w:hAnsi="ITC Avant Garde"/>
            <w:sz w:val="22"/>
            <w:szCs w:val="22"/>
            <w:lang w:val="es-MX"/>
          </w:rPr>
          <w:t>500 m</w:t>
        </w:r>
      </w:smartTag>
      <w:r w:rsidRPr="00422CA2">
        <w:rPr>
          <w:rFonts w:ascii="ITC Avant Garde" w:hAnsi="ITC Avant Garde"/>
          <w:sz w:val="22"/>
          <w:szCs w:val="22"/>
          <w:lang w:val="es-MX"/>
        </w:rPr>
        <w:t>etros correspondientes a la distancia promedio al domicilio del cliente. Los valores del ancho de banda alcanzables serán los referidos en la Tabla de Relación entre distancia y velocidad máxima alcanzable por bucle.</w:t>
      </w:r>
    </w:p>
    <w:p w14:paraId="40E85764" w14:textId="0EEE3022" w:rsidR="00530A32" w:rsidRPr="00422CA2" w:rsidRDefault="00011A1B" w:rsidP="00B54180">
      <w:pPr>
        <w:pStyle w:val="Prrafodelista"/>
        <w:numPr>
          <w:ilvl w:val="0"/>
          <w:numId w:val="86"/>
        </w:numPr>
        <w:spacing w:after="200" w:line="276" w:lineRule="auto"/>
        <w:ind w:left="714" w:hanging="357"/>
        <w:jc w:val="both"/>
        <w:rPr>
          <w:rFonts w:ascii="ITC Avant Garde" w:hAnsi="ITC Avant Garde"/>
          <w:sz w:val="22"/>
          <w:szCs w:val="22"/>
          <w:lang w:val="es-MX"/>
        </w:rPr>
      </w:pPr>
      <w:r w:rsidRPr="00422CA2">
        <w:rPr>
          <w:rFonts w:ascii="ITC Avant Garde" w:hAnsi="ITC Avant Garde"/>
          <w:sz w:val="22"/>
          <w:szCs w:val="22"/>
          <w:lang w:val="es-MX"/>
        </w:rPr>
        <w:t xml:space="preserve">Adicional a esta información se indicará si existen pares vacantes para los servicios indicados en las reglas de penetración del </w:t>
      </w:r>
      <w:r w:rsidR="003E0497" w:rsidRPr="00422CA2">
        <w:rPr>
          <w:rFonts w:ascii="ITC Avant Garde" w:hAnsi="ITC Avant Garde"/>
          <w:sz w:val="22"/>
          <w:szCs w:val="22"/>
          <w:lang w:val="es-MX"/>
        </w:rPr>
        <w:t>PGE</w:t>
      </w:r>
      <w:r w:rsidRPr="00422CA2">
        <w:rPr>
          <w:rFonts w:ascii="ITC Avant Garde" w:hAnsi="ITC Avant Garde"/>
          <w:sz w:val="22"/>
          <w:szCs w:val="22"/>
          <w:lang w:val="es-MX"/>
        </w:rPr>
        <w:t>, conforme a la tabla de Proporción de Penetración de Tecnologías en una unidad básica de bucle, de acuerdo al PGE</w:t>
      </w:r>
      <w:r w:rsidR="0069013A" w:rsidRPr="00422CA2">
        <w:rPr>
          <w:rFonts w:ascii="ITC Avant Garde" w:hAnsi="ITC Avant Garde"/>
          <w:sz w:val="22"/>
          <w:szCs w:val="22"/>
          <w:lang w:val="es-MX"/>
        </w:rPr>
        <w:t>.</w:t>
      </w:r>
    </w:p>
    <w:p w14:paraId="29A04FB9" w14:textId="77777777" w:rsidR="00530A32" w:rsidRPr="00422CA2" w:rsidRDefault="00011A1B" w:rsidP="004129D1">
      <w:pPr>
        <w:pStyle w:val="Ttulo1"/>
      </w:pPr>
      <w:bookmarkStart w:id="112" w:name="_Toc436840870"/>
      <w:bookmarkStart w:id="113" w:name="_Toc436846307"/>
      <w:bookmarkStart w:id="114" w:name="_Toc436848257"/>
      <w:bookmarkStart w:id="115" w:name="_Toc436856505"/>
      <w:bookmarkStart w:id="116" w:name="_Toc436862651"/>
      <w:bookmarkStart w:id="117" w:name="_Toc436866301"/>
      <w:bookmarkStart w:id="118" w:name="_Toc436870880"/>
      <w:bookmarkStart w:id="119" w:name="_Toc436875872"/>
      <w:bookmarkStart w:id="120" w:name="_Toc437602060"/>
      <w:r w:rsidRPr="00422CA2">
        <w:lastRenderedPageBreak/>
        <w:t>1.7</w:t>
      </w:r>
      <w:r w:rsidR="00326841" w:rsidRPr="00422CA2">
        <w:t>.</w:t>
      </w:r>
      <w:r w:rsidRPr="00422CA2">
        <w:tab/>
        <w:t>Condiciones generales para la prestación de los servicios.</w:t>
      </w:r>
      <w:bookmarkEnd w:id="112"/>
      <w:bookmarkEnd w:id="113"/>
      <w:bookmarkEnd w:id="114"/>
      <w:bookmarkEnd w:id="115"/>
      <w:bookmarkEnd w:id="116"/>
      <w:bookmarkEnd w:id="117"/>
      <w:bookmarkEnd w:id="118"/>
      <w:bookmarkEnd w:id="119"/>
      <w:bookmarkEnd w:id="120"/>
      <w:r w:rsidRPr="00422CA2">
        <w:t xml:space="preserve"> </w:t>
      </w:r>
    </w:p>
    <w:p w14:paraId="40E85767" w14:textId="77777777" w:rsidR="007E0F7E" w:rsidRPr="00422CA2" w:rsidRDefault="00011A1B" w:rsidP="001642A1">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Generales:</w:t>
      </w:r>
    </w:p>
    <w:p w14:paraId="40E85768" w14:textId="43F1EA64"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Tanto Telmex como los CS no será</w:t>
      </w:r>
      <w:r w:rsidR="00CB2905" w:rsidRPr="00422CA2">
        <w:rPr>
          <w:rFonts w:ascii="ITC Avant Garde" w:hAnsi="ITC Avant Garde"/>
          <w:sz w:val="22"/>
          <w:szCs w:val="22"/>
        </w:rPr>
        <w:t>n</w:t>
      </w:r>
      <w:r w:rsidRPr="00422CA2">
        <w:rPr>
          <w:rFonts w:ascii="ITC Avant Garde" w:hAnsi="ITC Avant Garde"/>
          <w:sz w:val="22"/>
          <w:szCs w:val="22"/>
        </w:rPr>
        <w:t xml:space="preserve"> responsable</w:t>
      </w:r>
      <w:r w:rsidR="00AA10E9" w:rsidRPr="00422CA2">
        <w:rPr>
          <w:rFonts w:ascii="ITC Avant Garde" w:hAnsi="ITC Avant Garde"/>
          <w:sz w:val="22"/>
          <w:szCs w:val="22"/>
        </w:rPr>
        <w:t>s</w:t>
      </w:r>
      <w:r w:rsidRPr="00422CA2">
        <w:rPr>
          <w:rFonts w:ascii="ITC Avant Garde" w:hAnsi="ITC Avant Garde"/>
          <w:sz w:val="22"/>
          <w:szCs w:val="22"/>
        </w:rPr>
        <w:t xml:space="preserve"> por cualquier incidencia o daño que se presente en la red pública de telecomunicaciones por causas de fuerza mayor o caso fortuito, o por aquellas no imputables a Telmex</w:t>
      </w:r>
      <w:r w:rsidR="00566D37" w:rsidRPr="00422CA2">
        <w:rPr>
          <w:rFonts w:ascii="ITC Avant Garde" w:hAnsi="ITC Avant Garde"/>
          <w:sz w:val="22"/>
          <w:szCs w:val="22"/>
        </w:rPr>
        <w:t xml:space="preserve"> ni a los CS</w:t>
      </w:r>
      <w:r w:rsidRPr="00422CA2">
        <w:rPr>
          <w:rFonts w:ascii="ITC Avant Garde" w:hAnsi="ITC Avant Garde"/>
          <w:sz w:val="22"/>
          <w:szCs w:val="22"/>
        </w:rPr>
        <w:t xml:space="preserve">, las cuales de manera enunciativa más no limitativa pueden consistir en: vandalismo, manifestaciones, incendios, inundaciones, temblores, </w:t>
      </w:r>
      <w:r w:rsidR="00501BB0" w:rsidRPr="00422CA2">
        <w:rPr>
          <w:rFonts w:ascii="ITC Avant Garde" w:hAnsi="ITC Avant Garde"/>
          <w:sz w:val="22"/>
          <w:szCs w:val="22"/>
        </w:rPr>
        <w:t xml:space="preserve">obras públicas o daños provocados por terceros, </w:t>
      </w:r>
      <w:r w:rsidRPr="00422CA2">
        <w:rPr>
          <w:rFonts w:ascii="ITC Avant Garde" w:hAnsi="ITC Avant Garde"/>
          <w:sz w:val="22"/>
          <w:szCs w:val="22"/>
        </w:rPr>
        <w:t xml:space="preserve">etc., por ende cada </w:t>
      </w:r>
      <w:r w:rsidR="009E6685" w:rsidRPr="00422CA2">
        <w:rPr>
          <w:rFonts w:ascii="ITC Avant Garde" w:hAnsi="ITC Avant Garde"/>
          <w:sz w:val="22"/>
          <w:szCs w:val="22"/>
        </w:rPr>
        <w:t xml:space="preserve">CS </w:t>
      </w:r>
      <w:r w:rsidRPr="00422CA2">
        <w:rPr>
          <w:rFonts w:ascii="ITC Avant Garde" w:hAnsi="ITC Avant Garde"/>
          <w:sz w:val="22"/>
          <w:szCs w:val="22"/>
        </w:rPr>
        <w:t>será responsable del restablecimiento de sus servicios y de su red, por sus propios medios</w:t>
      </w:r>
      <w:r w:rsidR="00566D37" w:rsidRPr="00422CA2">
        <w:rPr>
          <w:rFonts w:ascii="ITC Avant Garde" w:hAnsi="ITC Avant Garde"/>
          <w:sz w:val="22"/>
          <w:szCs w:val="22"/>
        </w:rPr>
        <w:t>.</w:t>
      </w:r>
      <w:r w:rsidR="00464CEC" w:rsidRPr="00422CA2">
        <w:rPr>
          <w:rFonts w:ascii="ITC Avant Garde" w:hAnsi="ITC Avant Garde"/>
          <w:sz w:val="22"/>
          <w:szCs w:val="22"/>
        </w:rPr>
        <w:t xml:space="preserve"> </w:t>
      </w:r>
      <w:r w:rsidR="00320A15" w:rsidRPr="00422CA2">
        <w:rPr>
          <w:rFonts w:ascii="ITC Avant Garde" w:hAnsi="ITC Avant Garde"/>
          <w:sz w:val="22"/>
          <w:szCs w:val="22"/>
        </w:rPr>
        <w:t>L</w:t>
      </w:r>
      <w:r w:rsidR="00F47C06" w:rsidRPr="00422CA2">
        <w:rPr>
          <w:rFonts w:ascii="ITC Avant Garde" w:hAnsi="ITC Avant Garde"/>
          <w:sz w:val="22"/>
          <w:szCs w:val="22"/>
        </w:rPr>
        <w:t xml:space="preserve">a parte responsable </w:t>
      </w:r>
      <w:r w:rsidR="00464CEC" w:rsidRPr="00422CA2">
        <w:rPr>
          <w:rFonts w:ascii="ITC Avant Garde" w:hAnsi="ITC Avant Garde"/>
          <w:sz w:val="22"/>
          <w:szCs w:val="22"/>
        </w:rPr>
        <w:t>proporcionar</w:t>
      </w:r>
      <w:r w:rsidR="00F47C06" w:rsidRPr="00422CA2">
        <w:rPr>
          <w:rFonts w:ascii="ITC Avant Garde" w:hAnsi="ITC Avant Garde"/>
          <w:sz w:val="22"/>
          <w:szCs w:val="22"/>
        </w:rPr>
        <w:t>á</w:t>
      </w:r>
      <w:r w:rsidR="00464CEC" w:rsidRPr="00422CA2">
        <w:rPr>
          <w:rFonts w:ascii="ITC Avant Garde" w:hAnsi="ITC Avant Garde"/>
          <w:sz w:val="22"/>
          <w:szCs w:val="22"/>
        </w:rPr>
        <w:t xml:space="preserve"> pruebas fehacientes</w:t>
      </w:r>
      <w:r w:rsidR="00F47C06" w:rsidRPr="00422CA2">
        <w:rPr>
          <w:rFonts w:ascii="ITC Avant Garde" w:hAnsi="ITC Avant Garde"/>
          <w:sz w:val="22"/>
          <w:szCs w:val="22"/>
        </w:rPr>
        <w:t xml:space="preserve"> que justifiquen las causas de la incidencia o daño</w:t>
      </w:r>
      <w:r w:rsidR="00464CEC" w:rsidRPr="00422CA2">
        <w:rPr>
          <w:rFonts w:ascii="ITC Avant Garde" w:hAnsi="ITC Avant Garde"/>
          <w:sz w:val="22"/>
          <w:szCs w:val="22"/>
        </w:rPr>
        <w:t xml:space="preserve"> a la parte afectada y al Instituto</w:t>
      </w:r>
      <w:r w:rsidR="00B05FC0" w:rsidRPr="00422CA2">
        <w:rPr>
          <w:rFonts w:ascii="ITC Avant Garde" w:hAnsi="ITC Avant Garde"/>
          <w:sz w:val="22"/>
          <w:szCs w:val="22"/>
        </w:rPr>
        <w:t>.</w:t>
      </w:r>
      <w:r w:rsidR="00464CEC" w:rsidRPr="00422CA2">
        <w:rPr>
          <w:rFonts w:ascii="ITC Avant Garde" w:hAnsi="ITC Avant Garde"/>
          <w:sz w:val="22"/>
          <w:szCs w:val="22"/>
        </w:rPr>
        <w:t xml:space="preserve"> </w:t>
      </w:r>
      <w:r w:rsidRPr="00422CA2">
        <w:rPr>
          <w:rFonts w:ascii="ITC Avant Garde" w:hAnsi="ITC Avant Garde"/>
          <w:sz w:val="22"/>
          <w:szCs w:val="22"/>
        </w:rPr>
        <w:t>En caso de que se presente alguno de los eventos anteriores, el periodo de afectación no será considerado dentro de los parámetros de calidad del servicio ni en la medición de tiempos de entrega.</w:t>
      </w:r>
      <w:r w:rsidR="008369C1" w:rsidRPr="00422CA2">
        <w:rPr>
          <w:rFonts w:ascii="ITC Avant Garde" w:hAnsi="ITC Avant Garde"/>
          <w:sz w:val="22"/>
          <w:szCs w:val="22"/>
        </w:rPr>
        <w:t xml:space="preserve"> </w:t>
      </w:r>
    </w:p>
    <w:p w14:paraId="40E85769" w14:textId="77777777" w:rsidR="004A73B5"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Los tiempos de autorización de permisos por parte de la autoridad para la construcción de una obra civil, no serán considerados dentro de los tiempos de entrega de Telmex, siempre y cuando haya actuado con diligencia en la realización del trámite correspondiente.</w:t>
      </w:r>
    </w:p>
    <w:p w14:paraId="40E8576A" w14:textId="3174F425" w:rsidR="004A73B5"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cs="Arial"/>
          <w:sz w:val="22"/>
          <w:szCs w:val="22"/>
          <w:lang w:val="es-MX" w:eastAsia="es-MX"/>
        </w:rPr>
        <w:t xml:space="preserve">El encargado de realizar una obra civil, ya sea Telmex o el </w:t>
      </w:r>
      <w:r w:rsidR="009E6685" w:rsidRPr="00422CA2">
        <w:rPr>
          <w:rFonts w:ascii="ITC Avant Garde" w:hAnsi="ITC Avant Garde" w:cs="Arial"/>
          <w:sz w:val="22"/>
          <w:szCs w:val="22"/>
          <w:lang w:val="es-MX" w:eastAsia="es-MX"/>
        </w:rPr>
        <w:t>CS</w:t>
      </w:r>
      <w:r w:rsidRPr="00422CA2">
        <w:rPr>
          <w:rFonts w:ascii="ITC Avant Garde" w:hAnsi="ITC Avant Garde" w:cs="Arial"/>
          <w:sz w:val="22"/>
          <w:szCs w:val="22"/>
          <w:lang w:val="es-MX" w:eastAsia="es-MX"/>
        </w:rPr>
        <w:t xml:space="preserve">, será responsable de la tramitación de los permisos de dicha obra civil ante la autoridad competente. Para la medición del cumplimiento de los plazos de entrega no se considerarán los días de retraso atribuibles a los </w:t>
      </w:r>
      <w:r w:rsidR="009E6685" w:rsidRPr="00422CA2">
        <w:rPr>
          <w:rFonts w:ascii="ITC Avant Garde" w:hAnsi="ITC Avant Garde" w:cs="Arial"/>
          <w:sz w:val="22"/>
          <w:szCs w:val="22"/>
          <w:lang w:val="es-MX" w:eastAsia="es-MX"/>
        </w:rPr>
        <w:t>CS</w:t>
      </w:r>
      <w:r w:rsidRPr="00422CA2">
        <w:rPr>
          <w:rFonts w:ascii="ITC Avant Garde" w:hAnsi="ITC Avant Garde" w:cs="Arial"/>
          <w:sz w:val="22"/>
          <w:szCs w:val="22"/>
          <w:lang w:val="es-MX" w:eastAsia="es-MX"/>
        </w:rPr>
        <w:t xml:space="preserve"> del servicio, ni los que deriven de una causa de fuerza mayor o caso fortuito, ni aquellos no imputables a Te</w:t>
      </w:r>
      <w:r w:rsidR="00C513BB" w:rsidRPr="00422CA2">
        <w:rPr>
          <w:rFonts w:ascii="ITC Avant Garde" w:hAnsi="ITC Avant Garde" w:cs="Arial"/>
          <w:sz w:val="22"/>
          <w:szCs w:val="22"/>
          <w:lang w:val="es-MX" w:eastAsia="es-MX"/>
        </w:rPr>
        <w:t>lmex</w:t>
      </w:r>
      <w:r w:rsidRPr="00422CA2">
        <w:rPr>
          <w:rFonts w:ascii="ITC Avant Garde" w:hAnsi="ITC Avant Garde" w:cs="Arial"/>
          <w:sz w:val="22"/>
          <w:szCs w:val="22"/>
          <w:lang w:val="es-MX" w:eastAsia="es-MX"/>
        </w:rPr>
        <w:t xml:space="preserve"> o a los </w:t>
      </w:r>
      <w:r w:rsidR="009E6685" w:rsidRPr="00422CA2">
        <w:rPr>
          <w:rFonts w:ascii="ITC Avant Garde" w:hAnsi="ITC Avant Garde" w:cs="Arial"/>
          <w:sz w:val="22"/>
          <w:szCs w:val="22"/>
          <w:lang w:val="es-MX" w:eastAsia="es-MX"/>
        </w:rPr>
        <w:t>CS</w:t>
      </w:r>
      <w:r w:rsidRPr="00422CA2">
        <w:rPr>
          <w:rFonts w:ascii="ITC Avant Garde" w:hAnsi="ITC Avant Garde" w:cs="Arial"/>
          <w:sz w:val="22"/>
          <w:szCs w:val="22"/>
          <w:lang w:val="es-MX" w:eastAsia="es-MX"/>
        </w:rPr>
        <w:t>.</w:t>
      </w:r>
    </w:p>
    <w:p w14:paraId="40E8576B" w14:textId="4E4EAF68"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 xml:space="preserve">Es responsabilidad tanto de Telmex como del </w:t>
      </w:r>
      <w:r w:rsidR="009E6685" w:rsidRPr="00422CA2">
        <w:rPr>
          <w:rFonts w:ascii="ITC Avant Garde" w:hAnsi="ITC Avant Garde"/>
          <w:sz w:val="22"/>
          <w:szCs w:val="22"/>
        </w:rPr>
        <w:t>CS</w:t>
      </w:r>
      <w:r w:rsidRPr="00422CA2">
        <w:rPr>
          <w:rFonts w:ascii="ITC Avant Garde" w:hAnsi="ITC Avant Garde"/>
          <w:sz w:val="22"/>
          <w:szCs w:val="22"/>
        </w:rPr>
        <w:t xml:space="preserve"> tomar las medidas precautorias necesarias en caso de fenómenos climatológicos, que pudieran afectar la prestación de los </w:t>
      </w:r>
      <w:r w:rsidR="00CA2349" w:rsidRPr="00422CA2">
        <w:rPr>
          <w:rFonts w:ascii="ITC Avant Garde" w:hAnsi="ITC Avant Garde"/>
          <w:sz w:val="22"/>
          <w:szCs w:val="22"/>
        </w:rPr>
        <w:t>servicios</w:t>
      </w:r>
      <w:r w:rsidRPr="00422CA2">
        <w:rPr>
          <w:rFonts w:ascii="ITC Avant Garde" w:hAnsi="ITC Avant Garde"/>
          <w:sz w:val="22"/>
          <w:szCs w:val="22"/>
        </w:rPr>
        <w:t xml:space="preserve"> de </w:t>
      </w:r>
      <w:r w:rsidR="00CA2349" w:rsidRPr="00422CA2">
        <w:rPr>
          <w:rFonts w:ascii="ITC Avant Garde" w:hAnsi="ITC Avant Garde"/>
          <w:sz w:val="22"/>
          <w:szCs w:val="22"/>
        </w:rPr>
        <w:t>d</w:t>
      </w:r>
      <w:r w:rsidRPr="00422CA2">
        <w:rPr>
          <w:rFonts w:ascii="ITC Avant Garde" w:hAnsi="ITC Avant Garde"/>
          <w:sz w:val="22"/>
          <w:szCs w:val="22"/>
        </w:rPr>
        <w:t>esagregación.</w:t>
      </w:r>
    </w:p>
    <w:p w14:paraId="40E8576C" w14:textId="506EE520"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 xml:space="preserve">Telmex no será responsable de la provisión de servicios finales que el </w:t>
      </w:r>
      <w:r w:rsidR="009E6685" w:rsidRPr="00422CA2">
        <w:rPr>
          <w:rFonts w:ascii="ITC Avant Garde" w:hAnsi="ITC Avant Garde"/>
          <w:sz w:val="22"/>
          <w:szCs w:val="22"/>
        </w:rPr>
        <w:t>CS</w:t>
      </w:r>
      <w:r w:rsidRPr="00422CA2">
        <w:rPr>
          <w:rFonts w:ascii="ITC Avant Garde" w:hAnsi="ITC Avant Garde"/>
          <w:sz w:val="22"/>
          <w:szCs w:val="22"/>
        </w:rPr>
        <w:t xml:space="preserve"> proporcione a sus usuarios a través de la red de acceso desplegada mediante los servicios objeto del presente documento, con excepción de</w:t>
      </w:r>
      <w:r w:rsidR="007A78EB" w:rsidRPr="00422CA2">
        <w:rPr>
          <w:rFonts w:ascii="ITC Avant Garde" w:hAnsi="ITC Avant Garde"/>
          <w:sz w:val="22"/>
          <w:szCs w:val="22"/>
        </w:rPr>
        <w:t xml:space="preserve">l Servicio de Reventa de Línea que los </w:t>
      </w:r>
      <w:r w:rsidR="004E5E96" w:rsidRPr="00422CA2">
        <w:rPr>
          <w:rFonts w:ascii="ITC Avant Garde" w:hAnsi="ITC Avant Garde"/>
          <w:sz w:val="22"/>
          <w:szCs w:val="22"/>
        </w:rPr>
        <w:t>CS</w:t>
      </w:r>
      <w:r w:rsidR="007A78EB" w:rsidRPr="00422CA2">
        <w:rPr>
          <w:rFonts w:ascii="ITC Avant Garde" w:hAnsi="ITC Avant Garde"/>
          <w:sz w:val="22"/>
          <w:szCs w:val="22"/>
        </w:rPr>
        <w:t xml:space="preserve"> proporcionen a </w:t>
      </w:r>
      <w:r w:rsidR="001457DE" w:rsidRPr="00422CA2">
        <w:rPr>
          <w:rFonts w:ascii="ITC Avant Garde" w:hAnsi="ITC Avant Garde"/>
          <w:sz w:val="22"/>
          <w:szCs w:val="22"/>
        </w:rPr>
        <w:t>U</w:t>
      </w:r>
      <w:r w:rsidR="007A78EB" w:rsidRPr="00422CA2">
        <w:rPr>
          <w:rFonts w:ascii="ITC Avant Garde" w:hAnsi="ITC Avant Garde"/>
          <w:sz w:val="22"/>
          <w:szCs w:val="22"/>
        </w:rPr>
        <w:t xml:space="preserve">suarios </w:t>
      </w:r>
      <w:r w:rsidR="001457DE" w:rsidRPr="00422CA2">
        <w:rPr>
          <w:rFonts w:ascii="ITC Avant Garde" w:hAnsi="ITC Avant Garde"/>
          <w:sz w:val="22"/>
          <w:szCs w:val="22"/>
        </w:rPr>
        <w:t>F</w:t>
      </w:r>
      <w:r w:rsidR="007A78EB" w:rsidRPr="00422CA2">
        <w:rPr>
          <w:rFonts w:ascii="ITC Avant Garde" w:hAnsi="ITC Avant Garde"/>
          <w:sz w:val="22"/>
          <w:szCs w:val="22"/>
        </w:rPr>
        <w:t xml:space="preserve">inales hasta el Punto de Conexión Terminal, además del mantenimiento del Bucle y Sub-bucle Local, así como de la calidad del servicio y seguridad del Tráfico hasta el punto de entrega al </w:t>
      </w:r>
      <w:r w:rsidR="00340AE1" w:rsidRPr="00422CA2">
        <w:rPr>
          <w:rFonts w:ascii="ITC Avant Garde" w:hAnsi="ITC Avant Garde"/>
          <w:sz w:val="22"/>
          <w:szCs w:val="22"/>
        </w:rPr>
        <w:t>CS</w:t>
      </w:r>
      <w:r w:rsidR="007A78EB" w:rsidRPr="00422CA2">
        <w:rPr>
          <w:rFonts w:ascii="ITC Avant Garde" w:hAnsi="ITC Avant Garde"/>
          <w:sz w:val="22"/>
          <w:szCs w:val="22"/>
        </w:rPr>
        <w:t>.</w:t>
      </w:r>
    </w:p>
    <w:p w14:paraId="298E18DA" w14:textId="4958CB86" w:rsidR="00C513BB" w:rsidRPr="00422CA2" w:rsidRDefault="00C513B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lastRenderedPageBreak/>
        <w:t xml:space="preserve">Telmex y los CS, según sea el caso, serán responsables de aquellas fallas que llegaran a ocasionar a </w:t>
      </w:r>
      <w:r w:rsidR="00E2414C" w:rsidRPr="00422CA2">
        <w:rPr>
          <w:rFonts w:ascii="ITC Avant Garde" w:hAnsi="ITC Avant Garde"/>
          <w:sz w:val="22"/>
          <w:szCs w:val="22"/>
        </w:rPr>
        <w:t xml:space="preserve">los </w:t>
      </w:r>
      <w:r w:rsidRPr="00422CA2">
        <w:rPr>
          <w:rFonts w:ascii="ITC Avant Garde" w:hAnsi="ITC Avant Garde"/>
          <w:sz w:val="22"/>
          <w:szCs w:val="22"/>
        </w:rPr>
        <w:t xml:space="preserve">Usuarios </w:t>
      </w:r>
      <w:r w:rsidR="001457DE" w:rsidRPr="00422CA2">
        <w:rPr>
          <w:rFonts w:ascii="ITC Avant Garde" w:hAnsi="ITC Avant Garde"/>
          <w:sz w:val="22"/>
          <w:szCs w:val="22"/>
        </w:rPr>
        <w:t>F</w:t>
      </w:r>
      <w:r w:rsidRPr="00422CA2">
        <w:rPr>
          <w:rFonts w:ascii="ITC Avant Garde" w:hAnsi="ITC Avant Garde"/>
          <w:sz w:val="22"/>
          <w:szCs w:val="22"/>
        </w:rPr>
        <w:t>inales</w:t>
      </w:r>
      <w:r w:rsidR="00E2414C" w:rsidRPr="00422CA2">
        <w:rPr>
          <w:rFonts w:ascii="ITC Avant Garde" w:hAnsi="ITC Avant Garde"/>
          <w:sz w:val="22"/>
          <w:szCs w:val="22"/>
        </w:rPr>
        <w:t xml:space="preserve"> de cualquiera de las partes</w:t>
      </w:r>
      <w:r w:rsidRPr="00422CA2">
        <w:rPr>
          <w:rFonts w:ascii="ITC Avant Garde" w:hAnsi="ITC Avant Garde"/>
          <w:sz w:val="22"/>
          <w:szCs w:val="22"/>
        </w:rPr>
        <w:t xml:space="preserve">, con motivo de la incorrecta instalación del equipo sobre la red pública de telecomunicaciones y </w:t>
      </w:r>
      <w:r w:rsidR="00BF0992" w:rsidRPr="00422CA2">
        <w:rPr>
          <w:rFonts w:ascii="ITC Avant Garde" w:hAnsi="ITC Avant Garde"/>
          <w:sz w:val="22"/>
          <w:szCs w:val="22"/>
        </w:rPr>
        <w:t>deberán cubrir los daños y fallas a la parte afectada ocasionadas en la red pública de telecomunicaciones</w:t>
      </w:r>
      <w:r w:rsidRPr="00422CA2">
        <w:rPr>
          <w:rFonts w:ascii="ITC Avant Garde" w:hAnsi="ITC Avant Garde"/>
          <w:sz w:val="22"/>
          <w:szCs w:val="22"/>
        </w:rPr>
        <w:t xml:space="preserve"> y en los equipos a través de los cuales presten</w:t>
      </w:r>
      <w:r w:rsidRPr="00422CA2" w:rsidDel="00F13634">
        <w:rPr>
          <w:rFonts w:ascii="ITC Avant Garde" w:hAnsi="ITC Avant Garde"/>
          <w:sz w:val="22"/>
          <w:szCs w:val="22"/>
        </w:rPr>
        <w:t xml:space="preserve"> </w:t>
      </w:r>
      <w:r w:rsidRPr="00422CA2">
        <w:rPr>
          <w:rFonts w:ascii="ITC Avant Garde" w:hAnsi="ITC Avant Garde"/>
          <w:sz w:val="22"/>
          <w:szCs w:val="22"/>
        </w:rPr>
        <w:t>servicios a los Usuarios Finales, asociados exclusivamente a la instalación del equipo.</w:t>
      </w:r>
    </w:p>
    <w:p w14:paraId="40E8576D" w14:textId="2ACD52ED"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 xml:space="preserve">Telmex no será responsable cuando un CS solicite la baja de un servicio, y </w:t>
      </w:r>
      <w:r w:rsidR="00594A0A" w:rsidRPr="00422CA2">
        <w:rPr>
          <w:rFonts w:ascii="ITC Avant Garde" w:hAnsi="ITC Avant Garde"/>
          <w:sz w:val="22"/>
          <w:szCs w:val="22"/>
        </w:rPr>
        <w:t>tal CS</w:t>
      </w:r>
      <w:r w:rsidRPr="00422CA2">
        <w:rPr>
          <w:rFonts w:ascii="ITC Avant Garde" w:hAnsi="ITC Avant Garde"/>
          <w:sz w:val="22"/>
          <w:szCs w:val="22"/>
        </w:rPr>
        <w:t xml:space="preserve"> esté cursando tráfico en el momento de la baja, con excepción de los</w:t>
      </w:r>
      <w:r w:rsidR="00922271" w:rsidRPr="00422CA2">
        <w:rPr>
          <w:rFonts w:ascii="ITC Avant Garde" w:hAnsi="ITC Avant Garde"/>
          <w:sz w:val="22"/>
          <w:szCs w:val="22"/>
        </w:rPr>
        <w:t xml:space="preserve"> SRL</w:t>
      </w:r>
      <w:r w:rsidRPr="00422CA2">
        <w:rPr>
          <w:rFonts w:ascii="ITC Avant Garde" w:hAnsi="ITC Avant Garde"/>
          <w:sz w:val="22"/>
          <w:szCs w:val="22"/>
        </w:rPr>
        <w:t>.</w:t>
      </w:r>
    </w:p>
    <w:p w14:paraId="40E8576E" w14:textId="21F30699"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sz w:val="22"/>
          <w:szCs w:val="22"/>
        </w:rPr>
        <w:t xml:space="preserve">Telmex no será responsable de proveer los servicios de desagregación cuando no existan recursos de red </w:t>
      </w:r>
      <w:r w:rsidR="00881023" w:rsidRPr="00422CA2">
        <w:rPr>
          <w:rFonts w:ascii="ITC Avant Garde" w:hAnsi="ITC Avant Garde"/>
          <w:sz w:val="22"/>
          <w:szCs w:val="22"/>
        </w:rPr>
        <w:t>(</w:t>
      </w:r>
      <w:r w:rsidR="00555323" w:rsidRPr="00422CA2">
        <w:rPr>
          <w:rFonts w:ascii="ITC Avant Garde" w:hAnsi="ITC Avant Garde"/>
          <w:sz w:val="22"/>
          <w:szCs w:val="22"/>
        </w:rPr>
        <w:t>en los términos a que se refiere el apartado 1.4 de la OREDA</w:t>
      </w:r>
      <w:r w:rsidR="00881023" w:rsidRPr="00422CA2">
        <w:rPr>
          <w:rFonts w:ascii="ITC Avant Garde" w:hAnsi="ITC Avant Garde"/>
          <w:sz w:val="22"/>
          <w:szCs w:val="22"/>
        </w:rPr>
        <w:t xml:space="preserve">) </w:t>
      </w:r>
      <w:r w:rsidRPr="00422CA2">
        <w:rPr>
          <w:rFonts w:ascii="ITC Avant Garde" w:hAnsi="ITC Avant Garde"/>
          <w:sz w:val="22"/>
          <w:szCs w:val="22"/>
        </w:rPr>
        <w:t>o facilidades asociadas al domicilio que el CS está solicitando</w:t>
      </w:r>
      <w:r w:rsidR="00B05A89" w:rsidRPr="00422CA2">
        <w:rPr>
          <w:rFonts w:ascii="ITC Avant Garde" w:hAnsi="ITC Avant Garde"/>
          <w:sz w:val="22"/>
          <w:szCs w:val="22"/>
        </w:rPr>
        <w:t xml:space="preserve">. Previo a ello, Telmex presentará un proyecto especial que indique </w:t>
      </w:r>
      <w:r w:rsidR="000557F5" w:rsidRPr="00422CA2">
        <w:rPr>
          <w:rFonts w:ascii="ITC Avant Garde" w:hAnsi="ITC Avant Garde"/>
          <w:sz w:val="22"/>
          <w:szCs w:val="22"/>
        </w:rPr>
        <w:t xml:space="preserve">detalladamente </w:t>
      </w:r>
      <w:r w:rsidR="00B05A89" w:rsidRPr="00422CA2">
        <w:rPr>
          <w:rFonts w:ascii="ITC Avant Garde" w:hAnsi="ITC Avant Garde"/>
          <w:sz w:val="22"/>
          <w:szCs w:val="22"/>
        </w:rPr>
        <w:t xml:space="preserve">al CS una solución </w:t>
      </w:r>
      <w:r w:rsidR="0099448C" w:rsidRPr="00422CA2">
        <w:rPr>
          <w:rFonts w:ascii="ITC Avant Garde" w:hAnsi="ITC Avant Garde"/>
          <w:sz w:val="22"/>
          <w:szCs w:val="22"/>
        </w:rPr>
        <w:t xml:space="preserve">para brindar el servicio solicitado, </w:t>
      </w:r>
      <w:r w:rsidR="00A33ED4" w:rsidRPr="00422CA2">
        <w:rPr>
          <w:rFonts w:ascii="ITC Avant Garde" w:hAnsi="ITC Avant Garde"/>
          <w:sz w:val="22"/>
          <w:szCs w:val="22"/>
        </w:rPr>
        <w:t>así</w:t>
      </w:r>
      <w:r w:rsidR="0099448C" w:rsidRPr="00422CA2">
        <w:rPr>
          <w:rFonts w:ascii="ITC Avant Garde" w:hAnsi="ITC Avant Garde"/>
          <w:sz w:val="22"/>
          <w:szCs w:val="22"/>
        </w:rPr>
        <w:t xml:space="preserve"> como la tarifa correspondiente a dicho proyecto</w:t>
      </w:r>
      <w:r w:rsidR="00A33ED4" w:rsidRPr="00422CA2">
        <w:rPr>
          <w:rFonts w:ascii="ITC Avant Garde" w:hAnsi="ITC Avant Garde"/>
          <w:sz w:val="22"/>
          <w:szCs w:val="22"/>
        </w:rPr>
        <w:t>.</w:t>
      </w:r>
    </w:p>
    <w:p w14:paraId="40E8576F" w14:textId="77777777" w:rsidR="007E0F7E" w:rsidRPr="00422CA2" w:rsidRDefault="00011A1B" w:rsidP="001642A1">
      <w:pPr>
        <w:numPr>
          <w:ilvl w:val="0"/>
          <w:numId w:val="39"/>
        </w:numPr>
        <w:tabs>
          <w:tab w:val="clear" w:pos="720"/>
          <w:tab w:val="num" w:pos="567"/>
        </w:tabs>
        <w:spacing w:after="200" w:line="276" w:lineRule="auto"/>
        <w:ind w:left="426"/>
        <w:jc w:val="both"/>
        <w:rPr>
          <w:rFonts w:ascii="ITC Avant Garde" w:hAnsi="ITC Avant Garde"/>
          <w:sz w:val="22"/>
          <w:szCs w:val="22"/>
        </w:rPr>
      </w:pPr>
      <w:r w:rsidRPr="00422CA2">
        <w:rPr>
          <w:rFonts w:ascii="ITC Avant Garde" w:hAnsi="ITC Avant Garde" w:cs="Arial"/>
          <w:sz w:val="22"/>
          <w:szCs w:val="22"/>
        </w:rPr>
        <w:t>Si un usuario final tiene contratados servicios de terceros o de tienda Telmex aplicarán las condiciones vigentes de acuerdo a su contrato.</w:t>
      </w:r>
    </w:p>
    <w:p w14:paraId="40E85770" w14:textId="750A47AA" w:rsidR="007E0F7E" w:rsidRPr="00422CA2" w:rsidRDefault="002C4C87" w:rsidP="001642A1">
      <w:pPr>
        <w:pStyle w:val="Prrafodelista"/>
        <w:numPr>
          <w:ilvl w:val="0"/>
          <w:numId w:val="39"/>
        </w:numPr>
        <w:tabs>
          <w:tab w:val="clear" w:pos="720"/>
          <w:tab w:val="num" w:pos="567"/>
        </w:tabs>
        <w:spacing w:after="200" w:line="276" w:lineRule="auto"/>
        <w:ind w:left="426"/>
        <w:jc w:val="both"/>
        <w:rPr>
          <w:rFonts w:ascii="ITC Avant Garde" w:hAnsi="ITC Avant Garde" w:cs="Arial"/>
          <w:sz w:val="22"/>
          <w:szCs w:val="22"/>
        </w:rPr>
      </w:pPr>
      <w:r w:rsidRPr="00422CA2">
        <w:rPr>
          <w:rFonts w:ascii="ITC Avant Garde" w:hAnsi="ITC Avant Garde" w:cs="Arial"/>
          <w:sz w:val="22"/>
          <w:szCs w:val="22"/>
        </w:rPr>
        <w:t>L</w:t>
      </w:r>
      <w:r w:rsidR="00011A1B" w:rsidRPr="00422CA2">
        <w:rPr>
          <w:rFonts w:ascii="ITC Avant Garde" w:hAnsi="ITC Avant Garde" w:cs="Arial"/>
          <w:sz w:val="22"/>
          <w:szCs w:val="22"/>
        </w:rPr>
        <w:t>os retrasos generados por proveedores de equipo</w:t>
      </w:r>
      <w:r w:rsidRPr="00422CA2">
        <w:rPr>
          <w:rFonts w:ascii="ITC Avant Garde" w:hAnsi="ITC Avant Garde" w:cs="Arial"/>
          <w:sz w:val="22"/>
          <w:szCs w:val="22"/>
        </w:rPr>
        <w:t xml:space="preserve"> serán contabilizados en los tiempos de entrega.</w:t>
      </w:r>
    </w:p>
    <w:p w14:paraId="40E85772" w14:textId="182B81A2" w:rsidR="00530A32" w:rsidRPr="00422CA2" w:rsidRDefault="00011A1B" w:rsidP="001642A1">
      <w:pPr>
        <w:pStyle w:val="Prrafodelista"/>
        <w:numPr>
          <w:ilvl w:val="0"/>
          <w:numId w:val="39"/>
        </w:numPr>
        <w:tabs>
          <w:tab w:val="clear" w:pos="720"/>
          <w:tab w:val="num" w:pos="567"/>
        </w:tabs>
        <w:spacing w:after="200" w:line="276" w:lineRule="auto"/>
        <w:ind w:left="426"/>
        <w:jc w:val="both"/>
        <w:rPr>
          <w:rFonts w:ascii="ITC Avant Garde" w:hAnsi="ITC Avant Garde"/>
          <w:sz w:val="22"/>
          <w:szCs w:val="22"/>
          <w:lang w:val="es-ES"/>
        </w:rPr>
      </w:pPr>
      <w:r w:rsidRPr="00422CA2">
        <w:rPr>
          <w:rFonts w:ascii="ITC Avant Garde" w:hAnsi="ITC Avant Garde"/>
          <w:sz w:val="22"/>
          <w:szCs w:val="22"/>
          <w:lang w:val="es-ES"/>
        </w:rPr>
        <w:t>En el momento que sea necesario actualizar o modernizar los elementos de red con que opera actualmente Telmex, éste se obliga a notificar a los CS con</w:t>
      </w:r>
      <w:r w:rsidR="00463D0D" w:rsidRPr="00422CA2">
        <w:rPr>
          <w:rFonts w:ascii="ITC Avant Garde" w:hAnsi="ITC Avant Garde"/>
          <w:sz w:val="22"/>
          <w:szCs w:val="22"/>
          <w:lang w:val="es-ES"/>
        </w:rPr>
        <w:t xml:space="preserve"> </w:t>
      </w:r>
      <w:r w:rsidRPr="00422CA2">
        <w:rPr>
          <w:rFonts w:ascii="ITC Avant Garde" w:hAnsi="ITC Avant Garde"/>
          <w:sz w:val="22"/>
          <w:szCs w:val="22"/>
          <w:lang w:val="es-ES"/>
        </w:rPr>
        <w:t xml:space="preserve">6 meses de antelación en el caso de nueva tecnología o funcionalidades. </w:t>
      </w:r>
      <w:r w:rsidR="00555323" w:rsidRPr="00422CA2">
        <w:rPr>
          <w:rFonts w:ascii="ITC Avant Garde" w:hAnsi="ITC Avant Garde"/>
          <w:sz w:val="22"/>
          <w:szCs w:val="22"/>
          <w:lang w:val="es-ES"/>
        </w:rPr>
        <w:t>Para</w:t>
      </w:r>
      <w:r w:rsidRPr="00422CA2">
        <w:rPr>
          <w:rFonts w:ascii="ITC Avant Garde" w:hAnsi="ITC Avant Garde"/>
          <w:sz w:val="22"/>
          <w:szCs w:val="22"/>
          <w:lang w:val="es-ES"/>
        </w:rPr>
        <w:t xml:space="preserve"> el caso de actualizaciones de software se avisará al CS con 30 días de antelación.</w:t>
      </w:r>
    </w:p>
    <w:p w14:paraId="40E85773" w14:textId="1B9C5920" w:rsidR="007E0F7E" w:rsidRPr="00422CA2" w:rsidRDefault="00011A1B" w:rsidP="001642A1">
      <w:pPr>
        <w:pStyle w:val="Prrafodelista"/>
        <w:numPr>
          <w:ilvl w:val="0"/>
          <w:numId w:val="39"/>
        </w:numPr>
        <w:tabs>
          <w:tab w:val="clear" w:pos="720"/>
          <w:tab w:val="num" w:pos="567"/>
        </w:tabs>
        <w:spacing w:after="200" w:line="276" w:lineRule="auto"/>
        <w:ind w:left="426"/>
        <w:jc w:val="both"/>
        <w:rPr>
          <w:rFonts w:ascii="ITC Avant Garde" w:hAnsi="ITC Avant Garde" w:cs="Arial"/>
          <w:sz w:val="22"/>
          <w:szCs w:val="22"/>
        </w:rPr>
      </w:pPr>
      <w:r w:rsidRPr="00422CA2">
        <w:rPr>
          <w:rFonts w:ascii="ITC Avant Garde" w:hAnsi="ITC Avant Garde" w:cs="Arial"/>
          <w:sz w:val="22"/>
          <w:szCs w:val="22"/>
        </w:rPr>
        <w:t xml:space="preserve">En caso de que Telmex </w:t>
      </w:r>
      <w:r w:rsidR="00EF2F8A" w:rsidRPr="00422CA2">
        <w:rPr>
          <w:rFonts w:ascii="ITC Avant Garde" w:hAnsi="ITC Avant Garde" w:cs="Arial"/>
          <w:sz w:val="22"/>
          <w:szCs w:val="22"/>
        </w:rPr>
        <w:t>no</w:t>
      </w:r>
      <w:r w:rsidRPr="00422CA2">
        <w:rPr>
          <w:rFonts w:ascii="ITC Avant Garde" w:hAnsi="ITC Avant Garde" w:cs="Arial"/>
          <w:sz w:val="22"/>
          <w:szCs w:val="22"/>
        </w:rPr>
        <w:t xml:space="preserve"> realice la instalación </w:t>
      </w:r>
      <w:r w:rsidR="000C1A46" w:rsidRPr="00422CA2">
        <w:rPr>
          <w:rFonts w:ascii="ITC Avant Garde" w:hAnsi="ITC Avant Garde" w:cs="Arial"/>
          <w:sz w:val="22"/>
          <w:szCs w:val="22"/>
        </w:rPr>
        <w:t>o adecuación</w:t>
      </w:r>
      <w:r w:rsidRPr="00422CA2">
        <w:rPr>
          <w:rFonts w:ascii="ITC Avant Garde" w:hAnsi="ITC Avant Garde" w:cs="Arial"/>
          <w:sz w:val="22"/>
          <w:szCs w:val="22"/>
        </w:rPr>
        <w:t xml:space="preserve"> de la acometida derivado de razones asociadas al usuario</w:t>
      </w:r>
      <w:r w:rsidR="00EF2F8A" w:rsidRPr="00422CA2">
        <w:rPr>
          <w:rFonts w:ascii="ITC Avant Garde" w:hAnsi="ITC Avant Garde" w:cs="Arial"/>
          <w:sz w:val="22"/>
          <w:szCs w:val="22"/>
        </w:rPr>
        <w:t>,</w:t>
      </w:r>
      <w:r w:rsidRPr="00422CA2">
        <w:rPr>
          <w:rFonts w:ascii="ITC Avant Garde" w:hAnsi="ITC Avant Garde" w:cs="Arial"/>
          <w:sz w:val="22"/>
          <w:szCs w:val="22"/>
        </w:rPr>
        <w:t xml:space="preserve"> o al CS, dicha situación no se</w:t>
      </w:r>
      <w:r w:rsidR="00200C70" w:rsidRPr="00422CA2">
        <w:rPr>
          <w:rFonts w:ascii="ITC Avant Garde" w:hAnsi="ITC Avant Garde" w:cs="Arial"/>
          <w:sz w:val="22"/>
          <w:szCs w:val="22"/>
        </w:rPr>
        <w:t>rá</w:t>
      </w:r>
      <w:r w:rsidRPr="00422CA2">
        <w:rPr>
          <w:rFonts w:ascii="ITC Avant Garde" w:hAnsi="ITC Avant Garde" w:cs="Arial"/>
          <w:sz w:val="22"/>
          <w:szCs w:val="22"/>
        </w:rPr>
        <w:t xml:space="preserve"> considera</w:t>
      </w:r>
      <w:r w:rsidR="00200C70" w:rsidRPr="00422CA2">
        <w:rPr>
          <w:rFonts w:ascii="ITC Avant Garde" w:hAnsi="ITC Avant Garde" w:cs="Arial"/>
          <w:sz w:val="22"/>
          <w:szCs w:val="22"/>
        </w:rPr>
        <w:t>da</w:t>
      </w:r>
      <w:r w:rsidRPr="00422CA2">
        <w:rPr>
          <w:rFonts w:ascii="ITC Avant Garde" w:hAnsi="ITC Avant Garde" w:cs="Arial"/>
          <w:sz w:val="22"/>
          <w:szCs w:val="22"/>
        </w:rPr>
        <w:t xml:space="preserve"> dentro de los plazos. </w:t>
      </w:r>
      <w:r w:rsidR="00200C70" w:rsidRPr="00422CA2">
        <w:rPr>
          <w:rFonts w:ascii="ITC Avant Garde" w:hAnsi="ITC Avant Garde" w:cs="Arial"/>
          <w:sz w:val="22"/>
          <w:szCs w:val="22"/>
        </w:rPr>
        <w:t>Cuando sea atribuible a Telmex</w:t>
      </w:r>
      <w:r w:rsidR="00A61EB2" w:rsidRPr="00422CA2">
        <w:rPr>
          <w:rFonts w:ascii="ITC Avant Garde" w:hAnsi="ITC Avant Garde" w:cs="Arial"/>
          <w:sz w:val="22"/>
          <w:szCs w:val="22"/>
        </w:rPr>
        <w:t xml:space="preserve"> será su responsabilidad </w:t>
      </w:r>
      <w:r w:rsidR="002B09B2" w:rsidRPr="00422CA2">
        <w:rPr>
          <w:rFonts w:ascii="ITC Avant Garde" w:hAnsi="ITC Avant Garde" w:cs="Arial"/>
          <w:sz w:val="22"/>
          <w:szCs w:val="22"/>
        </w:rPr>
        <w:t>ofrecer</w:t>
      </w:r>
      <w:r w:rsidR="0062797A" w:rsidRPr="00422CA2">
        <w:rPr>
          <w:rFonts w:ascii="ITC Avant Garde" w:hAnsi="ITC Avant Garde" w:cs="Arial"/>
          <w:sz w:val="22"/>
          <w:szCs w:val="22"/>
        </w:rPr>
        <w:t xml:space="preserve"> </w:t>
      </w:r>
      <w:r w:rsidRPr="00422CA2">
        <w:rPr>
          <w:rFonts w:ascii="ITC Avant Garde" w:hAnsi="ITC Avant Garde" w:cs="Arial"/>
          <w:sz w:val="22"/>
          <w:szCs w:val="22"/>
        </w:rPr>
        <w:t xml:space="preserve">pruebas </w:t>
      </w:r>
      <w:r w:rsidR="00162DF5" w:rsidRPr="00422CA2">
        <w:rPr>
          <w:rFonts w:ascii="ITC Avant Garde" w:hAnsi="ITC Avant Garde" w:cs="Arial"/>
          <w:sz w:val="22"/>
          <w:szCs w:val="22"/>
        </w:rPr>
        <w:t>fehacientes</w:t>
      </w:r>
      <w:r w:rsidR="00E26F4F" w:rsidRPr="00422CA2">
        <w:rPr>
          <w:rFonts w:ascii="ITC Avant Garde" w:hAnsi="ITC Avant Garde" w:cs="Arial"/>
          <w:sz w:val="22"/>
          <w:szCs w:val="22"/>
        </w:rPr>
        <w:t xml:space="preserve"> que justifiquen las causas</w:t>
      </w:r>
      <w:r w:rsidR="00162DF5" w:rsidRPr="00422CA2">
        <w:rPr>
          <w:rFonts w:ascii="ITC Avant Garde" w:hAnsi="ITC Avant Garde" w:cs="Arial"/>
          <w:sz w:val="22"/>
          <w:szCs w:val="22"/>
        </w:rPr>
        <w:t xml:space="preserve"> de</w:t>
      </w:r>
      <w:r w:rsidRPr="00422CA2">
        <w:rPr>
          <w:rFonts w:ascii="ITC Avant Garde" w:hAnsi="ITC Avant Garde" w:cs="Arial"/>
          <w:sz w:val="22"/>
          <w:szCs w:val="22"/>
        </w:rPr>
        <w:t xml:space="preserve"> que la instalación de la acometida </w:t>
      </w:r>
      <w:r w:rsidR="001C6238" w:rsidRPr="00422CA2">
        <w:rPr>
          <w:rFonts w:ascii="ITC Avant Garde" w:hAnsi="ITC Avant Garde" w:cs="Arial"/>
          <w:sz w:val="22"/>
          <w:szCs w:val="22"/>
        </w:rPr>
        <w:t xml:space="preserve">o la adecuación de la misma </w:t>
      </w:r>
      <w:r w:rsidRPr="00422CA2">
        <w:rPr>
          <w:rFonts w:ascii="ITC Avant Garde" w:hAnsi="ITC Avant Garde" w:cs="Arial"/>
          <w:sz w:val="22"/>
          <w:szCs w:val="22"/>
        </w:rPr>
        <w:t>no fue</w:t>
      </w:r>
      <w:r w:rsidR="001C6238" w:rsidRPr="00422CA2">
        <w:rPr>
          <w:rFonts w:ascii="ITC Avant Garde" w:hAnsi="ITC Avant Garde" w:cs="Arial"/>
          <w:sz w:val="22"/>
          <w:szCs w:val="22"/>
        </w:rPr>
        <w:t>ra</w:t>
      </w:r>
      <w:r w:rsidRPr="00422CA2">
        <w:rPr>
          <w:rFonts w:ascii="ITC Avant Garde" w:hAnsi="ITC Avant Garde" w:cs="Arial"/>
          <w:sz w:val="22"/>
          <w:szCs w:val="22"/>
        </w:rPr>
        <w:t xml:space="preserve"> posible.</w:t>
      </w:r>
    </w:p>
    <w:p w14:paraId="40E85775" w14:textId="1B329A5D" w:rsidR="00353A20" w:rsidRPr="00422CA2" w:rsidRDefault="00011A1B" w:rsidP="001642A1">
      <w:pPr>
        <w:pStyle w:val="Prrafodelista"/>
        <w:numPr>
          <w:ilvl w:val="0"/>
          <w:numId w:val="39"/>
        </w:numPr>
        <w:tabs>
          <w:tab w:val="clear" w:pos="720"/>
          <w:tab w:val="num" w:pos="567"/>
        </w:tabs>
        <w:spacing w:after="200" w:line="276" w:lineRule="auto"/>
        <w:ind w:left="426"/>
        <w:jc w:val="both"/>
        <w:rPr>
          <w:rFonts w:ascii="ITC Avant Garde" w:hAnsi="ITC Avant Garde" w:cs="Arial"/>
          <w:sz w:val="22"/>
          <w:szCs w:val="22"/>
        </w:rPr>
      </w:pPr>
      <w:r w:rsidRPr="00422CA2">
        <w:rPr>
          <w:rFonts w:ascii="ITC Avant Garde" w:hAnsi="ITC Avant Garde" w:cs="Arial"/>
          <w:sz w:val="22"/>
          <w:szCs w:val="22"/>
        </w:rPr>
        <w:t xml:space="preserve">Los servicios proporcionados por terceros no forman parte de la </w:t>
      </w:r>
      <w:r w:rsidR="00CA026A">
        <w:rPr>
          <w:rFonts w:ascii="ITC Avant Garde" w:hAnsi="ITC Avant Garde" w:cs="Arial"/>
          <w:sz w:val="22"/>
          <w:szCs w:val="22"/>
        </w:rPr>
        <w:t>OREDA</w:t>
      </w:r>
      <w:r w:rsidRPr="00422CA2">
        <w:rPr>
          <w:rFonts w:ascii="ITC Avant Garde" w:hAnsi="ITC Avant Garde" w:cs="Arial"/>
          <w:sz w:val="22"/>
          <w:szCs w:val="22"/>
        </w:rPr>
        <w:t>.</w:t>
      </w:r>
    </w:p>
    <w:p w14:paraId="65D8BDB5" w14:textId="7BDB148A" w:rsidR="00831A94" w:rsidRPr="00422CA2" w:rsidRDefault="00831A94" w:rsidP="001642A1">
      <w:pPr>
        <w:pStyle w:val="Prrafodelista"/>
        <w:numPr>
          <w:ilvl w:val="0"/>
          <w:numId w:val="39"/>
        </w:numPr>
        <w:tabs>
          <w:tab w:val="clear" w:pos="720"/>
          <w:tab w:val="num" w:pos="567"/>
        </w:tabs>
        <w:spacing w:after="200" w:line="276" w:lineRule="auto"/>
        <w:ind w:left="426"/>
        <w:jc w:val="both"/>
        <w:rPr>
          <w:rFonts w:ascii="ITC Avant Garde" w:hAnsi="ITC Avant Garde" w:cs="Arial"/>
          <w:sz w:val="22"/>
          <w:szCs w:val="22"/>
        </w:rPr>
      </w:pPr>
      <w:r w:rsidRPr="00422CA2">
        <w:rPr>
          <w:rFonts w:ascii="ITC Avant Garde" w:hAnsi="ITC Avant Garde" w:cs="Arial"/>
          <w:sz w:val="22"/>
          <w:szCs w:val="22"/>
        </w:rPr>
        <w:t xml:space="preserve">La información sobre cualquiera de los servicios contratados por los CS </w:t>
      </w:r>
      <w:r w:rsidR="005442CA" w:rsidRPr="00422CA2">
        <w:rPr>
          <w:rFonts w:ascii="ITC Avant Garde" w:hAnsi="ITC Avant Garde" w:cs="Arial"/>
          <w:sz w:val="22"/>
          <w:szCs w:val="22"/>
        </w:rPr>
        <w:t xml:space="preserve">será </w:t>
      </w:r>
      <w:r w:rsidR="00C74BE9" w:rsidRPr="00422CA2">
        <w:rPr>
          <w:rFonts w:ascii="ITC Avant Garde" w:hAnsi="ITC Avant Garde" w:cs="Arial"/>
          <w:sz w:val="22"/>
          <w:szCs w:val="22"/>
        </w:rPr>
        <w:t xml:space="preserve">utilizada por </w:t>
      </w:r>
      <w:r w:rsidR="00CC2AC2" w:rsidRPr="00422CA2">
        <w:rPr>
          <w:rFonts w:ascii="ITC Avant Garde" w:hAnsi="ITC Avant Garde" w:cs="Arial"/>
          <w:sz w:val="22"/>
          <w:szCs w:val="22"/>
        </w:rPr>
        <w:t>Telmex</w:t>
      </w:r>
      <w:r w:rsidR="00C74BE9" w:rsidRPr="00422CA2">
        <w:rPr>
          <w:rFonts w:ascii="ITC Avant Garde" w:hAnsi="ITC Avant Garde" w:cs="Arial"/>
          <w:sz w:val="22"/>
          <w:szCs w:val="22"/>
        </w:rPr>
        <w:t xml:space="preserve"> </w:t>
      </w:r>
      <w:r w:rsidR="005442CA" w:rsidRPr="00422CA2">
        <w:rPr>
          <w:rFonts w:ascii="ITC Avant Garde" w:hAnsi="ITC Avant Garde" w:cs="Arial"/>
          <w:sz w:val="22"/>
          <w:szCs w:val="22"/>
        </w:rPr>
        <w:t xml:space="preserve">únicamente en lo concerniente a la prestación de servicios, </w:t>
      </w:r>
      <w:r w:rsidR="002A1830" w:rsidRPr="00422CA2">
        <w:rPr>
          <w:rFonts w:ascii="ITC Avant Garde" w:hAnsi="ITC Avant Garde" w:cs="Arial"/>
          <w:sz w:val="22"/>
          <w:szCs w:val="22"/>
        </w:rPr>
        <w:t xml:space="preserve">ya que </w:t>
      </w:r>
      <w:r w:rsidR="00CC2AC2" w:rsidRPr="00422CA2">
        <w:rPr>
          <w:rFonts w:ascii="ITC Avant Garde" w:hAnsi="ITC Avant Garde" w:cs="Arial"/>
          <w:sz w:val="22"/>
          <w:szCs w:val="22"/>
        </w:rPr>
        <w:t>Telmex</w:t>
      </w:r>
      <w:r w:rsidR="002A1830" w:rsidRPr="00422CA2">
        <w:rPr>
          <w:rFonts w:ascii="ITC Avant Garde" w:hAnsi="ITC Avant Garde" w:cs="Arial"/>
          <w:sz w:val="22"/>
          <w:szCs w:val="22"/>
        </w:rPr>
        <w:t xml:space="preserve"> reconoce que </w:t>
      </w:r>
      <w:r w:rsidRPr="00422CA2">
        <w:rPr>
          <w:rFonts w:ascii="ITC Avant Garde" w:hAnsi="ITC Avant Garde" w:cs="Arial"/>
          <w:sz w:val="22"/>
          <w:szCs w:val="22"/>
        </w:rPr>
        <w:t>dicha información proporciona datos sensibles sobre intereses y estrategias de desarrollo comercial de cada uno de los CS</w:t>
      </w:r>
      <w:r w:rsidR="002A1830" w:rsidRPr="00422CA2">
        <w:rPr>
          <w:rFonts w:ascii="ITC Avant Garde" w:hAnsi="ITC Avant Garde" w:cs="Arial"/>
          <w:sz w:val="22"/>
          <w:szCs w:val="22"/>
        </w:rPr>
        <w:t>.</w:t>
      </w:r>
      <w:r w:rsidR="00496B09" w:rsidRPr="00422CA2">
        <w:rPr>
          <w:rFonts w:ascii="ITC Avant Garde" w:hAnsi="ITC Avant Garde" w:cs="Arial"/>
          <w:sz w:val="22"/>
          <w:szCs w:val="22"/>
        </w:rPr>
        <w:t xml:space="preserve"> Por </w:t>
      </w:r>
      <w:r w:rsidR="00496B09" w:rsidRPr="00422CA2">
        <w:rPr>
          <w:rFonts w:ascii="ITC Avant Garde" w:hAnsi="ITC Avant Garde" w:cs="Arial"/>
          <w:sz w:val="22"/>
          <w:szCs w:val="22"/>
        </w:rPr>
        <w:lastRenderedPageBreak/>
        <w:t>lo que no se hará del conocimiento de las áreas comerciales de T</w:t>
      </w:r>
      <w:r w:rsidR="00A118CA" w:rsidRPr="00422CA2">
        <w:rPr>
          <w:rFonts w:ascii="ITC Avant Garde" w:hAnsi="ITC Avant Garde" w:cs="Arial"/>
          <w:sz w:val="22"/>
          <w:szCs w:val="22"/>
        </w:rPr>
        <w:t>elmex</w:t>
      </w:r>
      <w:r w:rsidR="00496B09" w:rsidRPr="00422CA2">
        <w:rPr>
          <w:rFonts w:ascii="ITC Avant Garde" w:hAnsi="ITC Avant Garde" w:cs="Arial"/>
          <w:sz w:val="22"/>
          <w:szCs w:val="22"/>
        </w:rPr>
        <w:t xml:space="preserve"> ni de otro</w:t>
      </w:r>
      <w:r w:rsidR="00A118CA" w:rsidRPr="00422CA2">
        <w:rPr>
          <w:rFonts w:ascii="ITC Avant Garde" w:hAnsi="ITC Avant Garde" w:cs="Arial"/>
          <w:sz w:val="22"/>
          <w:szCs w:val="22"/>
        </w:rPr>
        <w:t>s</w:t>
      </w:r>
      <w:r w:rsidR="00496B09" w:rsidRPr="00422CA2">
        <w:rPr>
          <w:rFonts w:ascii="ITC Avant Garde" w:hAnsi="ITC Avant Garde" w:cs="Arial"/>
          <w:sz w:val="22"/>
          <w:szCs w:val="22"/>
        </w:rPr>
        <w:t xml:space="preserve"> </w:t>
      </w:r>
      <w:r w:rsidR="00A118CA" w:rsidRPr="00422CA2">
        <w:rPr>
          <w:rFonts w:ascii="ITC Avant Garde" w:hAnsi="ITC Avant Garde" w:cs="Arial"/>
          <w:sz w:val="22"/>
          <w:szCs w:val="22"/>
        </w:rPr>
        <w:t>concesionarios</w:t>
      </w:r>
      <w:r w:rsidR="00496B09" w:rsidRPr="00422CA2">
        <w:rPr>
          <w:rFonts w:ascii="ITC Avant Garde" w:hAnsi="ITC Avant Garde" w:cs="Arial"/>
          <w:sz w:val="22"/>
          <w:szCs w:val="22"/>
        </w:rPr>
        <w:t>.</w:t>
      </w:r>
    </w:p>
    <w:p w14:paraId="40E85785" w14:textId="0DD25551" w:rsidR="00530A32" w:rsidRPr="00422CA2" w:rsidRDefault="00DB40E9" w:rsidP="004129D1">
      <w:pPr>
        <w:pStyle w:val="Ttulo1"/>
      </w:pPr>
      <w:bookmarkStart w:id="121" w:name="_Toc436840871"/>
      <w:bookmarkStart w:id="122" w:name="_Toc436846308"/>
      <w:bookmarkStart w:id="123" w:name="_Toc436848258"/>
      <w:bookmarkStart w:id="124" w:name="_Toc436856506"/>
      <w:bookmarkStart w:id="125" w:name="_Toc436862652"/>
      <w:bookmarkStart w:id="126" w:name="_Toc436866302"/>
      <w:bookmarkStart w:id="127" w:name="_Toc436870881"/>
      <w:bookmarkStart w:id="128" w:name="_Toc436875873"/>
      <w:bookmarkStart w:id="129" w:name="_Toc437602061"/>
      <w:r w:rsidRPr="00422CA2">
        <w:t xml:space="preserve">2. </w:t>
      </w:r>
      <w:r w:rsidR="00011A1B" w:rsidRPr="00422CA2">
        <w:t>Inicio de la prestación de los servicios.</w:t>
      </w:r>
      <w:bookmarkEnd w:id="121"/>
      <w:bookmarkEnd w:id="122"/>
      <w:bookmarkEnd w:id="123"/>
      <w:bookmarkEnd w:id="124"/>
      <w:bookmarkEnd w:id="125"/>
      <w:bookmarkEnd w:id="126"/>
      <w:bookmarkEnd w:id="127"/>
      <w:bookmarkEnd w:id="128"/>
      <w:bookmarkEnd w:id="129"/>
    </w:p>
    <w:p w14:paraId="40E85786" w14:textId="0648C729" w:rsidR="004C2F54" w:rsidRPr="00422CA2" w:rsidRDefault="00011A1B" w:rsidP="001642A1">
      <w:pPr>
        <w:spacing w:after="200" w:line="276" w:lineRule="auto"/>
        <w:jc w:val="both"/>
        <w:rPr>
          <w:rFonts w:ascii="ITC Avant Garde" w:hAnsi="ITC Avant Garde"/>
          <w:sz w:val="22"/>
          <w:szCs w:val="22"/>
        </w:rPr>
      </w:pPr>
      <w:r w:rsidRPr="00422CA2">
        <w:rPr>
          <w:rFonts w:ascii="ITC Avant Garde" w:hAnsi="ITC Avant Garde"/>
          <w:sz w:val="22"/>
          <w:szCs w:val="22"/>
        </w:rPr>
        <w:t xml:space="preserve">Al momento de la publicación de la </w:t>
      </w:r>
      <w:r w:rsidR="00CA026A">
        <w:rPr>
          <w:rFonts w:ascii="ITC Avant Garde" w:hAnsi="ITC Avant Garde"/>
          <w:sz w:val="22"/>
          <w:szCs w:val="22"/>
        </w:rPr>
        <w:t>OREDA</w:t>
      </w:r>
      <w:r w:rsidRPr="00422CA2">
        <w:rPr>
          <w:rFonts w:ascii="ITC Avant Garde" w:hAnsi="ITC Avant Garde"/>
          <w:sz w:val="22"/>
          <w:szCs w:val="22"/>
        </w:rPr>
        <w:t>, se podrán prestar los servicios de Reventa de Línea y el Servicio de Acceso Indirecto a nivel nacional, junto con sus servicios auxiliares asociados.</w:t>
      </w:r>
    </w:p>
    <w:p w14:paraId="40E85788" w14:textId="4F77CBE4" w:rsidR="00E87FA0" w:rsidRPr="00422CA2" w:rsidRDefault="00011A1B" w:rsidP="001642A1">
      <w:pPr>
        <w:spacing w:after="200" w:line="276" w:lineRule="auto"/>
        <w:jc w:val="both"/>
        <w:rPr>
          <w:rFonts w:ascii="ITC Avant Garde" w:hAnsi="ITC Avant Garde"/>
          <w:sz w:val="22"/>
          <w:szCs w:val="22"/>
        </w:rPr>
      </w:pPr>
      <w:r w:rsidRPr="00422CA2">
        <w:rPr>
          <w:rFonts w:ascii="ITC Avant Garde" w:hAnsi="ITC Avant Garde"/>
          <w:sz w:val="22"/>
          <w:szCs w:val="22"/>
        </w:rPr>
        <w:t xml:space="preserve">La prestación de los </w:t>
      </w:r>
      <w:r w:rsidR="007E681D" w:rsidRPr="00422CA2">
        <w:rPr>
          <w:rFonts w:ascii="ITC Avant Garde" w:hAnsi="ITC Avant Garde"/>
          <w:sz w:val="22"/>
          <w:szCs w:val="22"/>
        </w:rPr>
        <w:t xml:space="preserve">SDTBL, SDCBL, SDTSBL y SDCSBL </w:t>
      </w:r>
      <w:r w:rsidRPr="00422CA2">
        <w:rPr>
          <w:rFonts w:ascii="ITC Avant Garde" w:hAnsi="ITC Avant Garde"/>
          <w:sz w:val="22"/>
          <w:szCs w:val="22"/>
        </w:rPr>
        <w:t xml:space="preserve">será inicialmente en todas las Centrales Telefónicas o </w:t>
      </w:r>
      <w:r w:rsidR="001B4BBF" w:rsidRPr="00422CA2">
        <w:rPr>
          <w:rFonts w:ascii="ITC Avant Garde" w:hAnsi="ITC Avant Garde"/>
          <w:sz w:val="22"/>
          <w:szCs w:val="22"/>
        </w:rPr>
        <w:t>I</w:t>
      </w:r>
      <w:r w:rsidRPr="00422CA2">
        <w:rPr>
          <w:rFonts w:ascii="ITC Avant Garde" w:hAnsi="ITC Avant Garde"/>
          <w:sz w:val="22"/>
          <w:szCs w:val="22"/>
        </w:rPr>
        <w:t xml:space="preserve">nstalaciones </w:t>
      </w:r>
      <w:r w:rsidR="001B4BBF" w:rsidRPr="00422CA2">
        <w:rPr>
          <w:rFonts w:ascii="ITC Avant Garde" w:hAnsi="ITC Avant Garde"/>
          <w:sz w:val="22"/>
          <w:szCs w:val="22"/>
        </w:rPr>
        <w:t>E</w:t>
      </w:r>
      <w:r w:rsidRPr="00422CA2">
        <w:rPr>
          <w:rFonts w:ascii="ITC Avant Garde" w:hAnsi="ITC Avant Garde"/>
          <w:sz w:val="22"/>
          <w:szCs w:val="22"/>
        </w:rPr>
        <w:t xml:space="preserve">quivalentes </w:t>
      </w:r>
      <w:r w:rsidR="00156D9F" w:rsidRPr="00422CA2">
        <w:rPr>
          <w:rFonts w:ascii="ITC Avant Garde" w:hAnsi="ITC Avant Garde"/>
          <w:sz w:val="22"/>
          <w:szCs w:val="22"/>
        </w:rPr>
        <w:t>de las siguientes ciudades: Acapulco, Aguascalientes, Celaya, Chihuahua, Cd. de México, Cd. Juárez, Coatzacoalcos, Cuernavaca, Guadalajara, Hermosillo, La Laguna, La Paz, León, Mérida, Monterrey, Morelia, Puebla, Querétaro, San Luis Potosí, Tampico, Toluca, Veracruz y Villahermosa</w:t>
      </w:r>
      <w:r w:rsidRPr="00422CA2">
        <w:rPr>
          <w:rFonts w:ascii="ITC Avant Garde" w:hAnsi="ITC Avant Garde"/>
          <w:sz w:val="22"/>
          <w:szCs w:val="22"/>
        </w:rPr>
        <w:t xml:space="preserve">, </w:t>
      </w:r>
      <w:r w:rsidR="00156D9F" w:rsidRPr="00422CA2">
        <w:rPr>
          <w:rFonts w:ascii="ITC Avant Garde" w:hAnsi="ITC Avant Garde"/>
          <w:sz w:val="22"/>
          <w:szCs w:val="22"/>
        </w:rPr>
        <w:t>dándole prioridad a aquellas con una capacidad superior a 5,000 líneas, así como a</w:t>
      </w:r>
      <w:r w:rsidRPr="00422CA2">
        <w:rPr>
          <w:rFonts w:ascii="ITC Avant Garde" w:hAnsi="ITC Avant Garde"/>
          <w:sz w:val="22"/>
          <w:szCs w:val="22"/>
        </w:rPr>
        <w:t xml:space="preserve"> aquellas que sean PDIC´s (Puntos de Interconexión de voz pública conmutada). </w:t>
      </w:r>
    </w:p>
    <w:p w14:paraId="40E8578A" w14:textId="506D1817" w:rsidR="006C5A8B" w:rsidRPr="00422CA2" w:rsidRDefault="00011A1B" w:rsidP="001642A1">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CS podrá requerir adecuaciones a </w:t>
      </w:r>
      <w:r w:rsidR="00704AB1" w:rsidRPr="00422CA2">
        <w:rPr>
          <w:rFonts w:ascii="ITC Avant Garde" w:hAnsi="ITC Avant Garde"/>
          <w:sz w:val="22"/>
          <w:szCs w:val="22"/>
        </w:rPr>
        <w:t>cualquier</w:t>
      </w:r>
      <w:r w:rsidRPr="00422CA2">
        <w:rPr>
          <w:rFonts w:ascii="ITC Avant Garde" w:hAnsi="ITC Avant Garde"/>
          <w:sz w:val="22"/>
          <w:szCs w:val="22"/>
        </w:rPr>
        <w:t xml:space="preserve"> </w:t>
      </w:r>
      <w:r w:rsidR="001B4BBF" w:rsidRPr="00422CA2">
        <w:rPr>
          <w:rFonts w:ascii="ITC Avant Garde" w:hAnsi="ITC Avant Garde"/>
          <w:sz w:val="22"/>
          <w:szCs w:val="22"/>
        </w:rPr>
        <w:t>C</w:t>
      </w:r>
      <w:r w:rsidRPr="00422CA2">
        <w:rPr>
          <w:rFonts w:ascii="ITC Avant Garde" w:hAnsi="ITC Avant Garde"/>
          <w:sz w:val="22"/>
          <w:szCs w:val="22"/>
        </w:rPr>
        <w:t>entral</w:t>
      </w:r>
      <w:r w:rsidR="001B4BBF" w:rsidRPr="00422CA2">
        <w:rPr>
          <w:rFonts w:ascii="ITC Avant Garde" w:hAnsi="ITC Avant Garde"/>
          <w:sz w:val="22"/>
          <w:szCs w:val="22"/>
        </w:rPr>
        <w:t xml:space="preserve"> Telefónica</w:t>
      </w:r>
      <w:r w:rsidRPr="00422CA2">
        <w:rPr>
          <w:rFonts w:ascii="ITC Avant Garde" w:hAnsi="ITC Avant Garde"/>
          <w:sz w:val="22"/>
          <w:szCs w:val="22"/>
        </w:rPr>
        <w:t xml:space="preserve"> o </w:t>
      </w:r>
      <w:r w:rsidR="009562CF" w:rsidRPr="00422CA2">
        <w:rPr>
          <w:rFonts w:ascii="ITC Avant Garde" w:hAnsi="ITC Avant Garde"/>
          <w:sz w:val="22"/>
          <w:szCs w:val="22"/>
        </w:rPr>
        <w:t>Instalación</w:t>
      </w:r>
      <w:r w:rsidRPr="00422CA2">
        <w:rPr>
          <w:rFonts w:ascii="ITC Avant Garde" w:hAnsi="ITC Avant Garde"/>
          <w:sz w:val="22"/>
          <w:szCs w:val="22"/>
        </w:rPr>
        <w:t xml:space="preserve"> </w:t>
      </w:r>
      <w:r w:rsidR="001B4BBF" w:rsidRPr="00422CA2">
        <w:rPr>
          <w:rFonts w:ascii="ITC Avant Garde" w:hAnsi="ITC Avant Garde"/>
          <w:sz w:val="22"/>
          <w:szCs w:val="22"/>
        </w:rPr>
        <w:t>E</w:t>
      </w:r>
      <w:r w:rsidRPr="00422CA2">
        <w:rPr>
          <w:rFonts w:ascii="ITC Avant Garde" w:hAnsi="ITC Avant Garde"/>
          <w:sz w:val="22"/>
          <w:szCs w:val="22"/>
        </w:rPr>
        <w:t>quivalente, en cuyo caso la prestación de los servicios deberá iniciar dentro de los seis meses posteriores al requerimiento, si un segundo CS solicita adecuaciones a la misma central, Telmex indicará que ya está siendo adecuada, el segundo CS podrá solicitar servicios en el momento en el que Telmex indique que han finalizado las adecuaciones correspondientes. En caso de que después de tres meses de terminadas y notificadas las adecuaciones requeridas, los CS no hayan solicitado servicios, deberán restituir en partes iguales los gastos correspondientes, de acuerdo con el siguiente procedimiento:</w:t>
      </w:r>
    </w:p>
    <w:p w14:paraId="40E8578B" w14:textId="04421A74" w:rsidR="00530A32" w:rsidRPr="00422CA2" w:rsidRDefault="00011A1B" w:rsidP="001642A1">
      <w:pPr>
        <w:pStyle w:val="Prrafodelista"/>
        <w:numPr>
          <w:ilvl w:val="1"/>
          <w:numId w:val="123"/>
        </w:numPr>
        <w:spacing w:after="200" w:line="276" w:lineRule="auto"/>
        <w:jc w:val="both"/>
        <w:rPr>
          <w:rFonts w:ascii="ITC Avant Garde" w:hAnsi="ITC Avant Garde"/>
          <w:sz w:val="22"/>
          <w:szCs w:val="22"/>
        </w:rPr>
      </w:pPr>
      <w:r w:rsidRPr="00422CA2">
        <w:rPr>
          <w:rFonts w:ascii="ITC Avant Garde" w:hAnsi="ITC Avant Garde"/>
          <w:sz w:val="22"/>
          <w:szCs w:val="22"/>
        </w:rPr>
        <w:t>Telmex informará al I</w:t>
      </w:r>
      <w:r w:rsidR="0091726E" w:rsidRPr="00422CA2">
        <w:rPr>
          <w:rFonts w:ascii="ITC Avant Garde" w:hAnsi="ITC Avant Garde"/>
          <w:sz w:val="22"/>
          <w:szCs w:val="22"/>
        </w:rPr>
        <w:t>nstituto</w:t>
      </w:r>
      <w:r w:rsidRPr="00422CA2">
        <w:rPr>
          <w:rFonts w:ascii="ITC Avant Garde" w:hAnsi="ITC Avant Garde"/>
          <w:sz w:val="22"/>
          <w:szCs w:val="22"/>
        </w:rPr>
        <w:t xml:space="preserve"> y a los CS dentro de los 30 días hábiles siguientes al término de los 3 meses de terminadas las adecuaciones, cuando no hubiera recibido solicitudes de servicios por parte de los CS que le solicitaron la adecuación, para lo cual presentará los elementos que comprueben los gastos incurridos.</w:t>
      </w:r>
    </w:p>
    <w:p w14:paraId="40E8578C" w14:textId="77777777" w:rsidR="00530A32" w:rsidRPr="00422CA2" w:rsidRDefault="00011A1B" w:rsidP="001642A1">
      <w:pPr>
        <w:pStyle w:val="Prrafodelista"/>
        <w:numPr>
          <w:ilvl w:val="1"/>
          <w:numId w:val="123"/>
        </w:numPr>
        <w:spacing w:after="200" w:line="276" w:lineRule="auto"/>
        <w:jc w:val="both"/>
        <w:rPr>
          <w:rFonts w:ascii="ITC Avant Garde" w:hAnsi="ITC Avant Garde"/>
          <w:sz w:val="22"/>
          <w:szCs w:val="22"/>
        </w:rPr>
      </w:pPr>
      <w:r w:rsidRPr="00422CA2">
        <w:rPr>
          <w:rFonts w:ascii="ITC Avant Garde" w:hAnsi="ITC Avant Garde"/>
          <w:sz w:val="22"/>
          <w:szCs w:val="22"/>
        </w:rPr>
        <w:t xml:space="preserve">El o los CS que hubieran solicitado las adecuaciones deberán resarcir los gastos incurridos, en un periodo máximo de 15 días hábiles después de haber recibido la notificación. </w:t>
      </w:r>
    </w:p>
    <w:p w14:paraId="40E8578E" w14:textId="76FD7D6C" w:rsidR="00751766" w:rsidRPr="00422CA2" w:rsidRDefault="00011A1B" w:rsidP="001642A1">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que el CS solicite las adecuaciones a las </w:t>
      </w:r>
      <w:r w:rsidR="001B4BBF" w:rsidRPr="00422CA2">
        <w:rPr>
          <w:rFonts w:ascii="ITC Avant Garde" w:hAnsi="ITC Avant Garde"/>
          <w:sz w:val="22"/>
          <w:szCs w:val="22"/>
        </w:rPr>
        <w:t>C</w:t>
      </w:r>
      <w:r w:rsidRPr="00422CA2">
        <w:rPr>
          <w:rFonts w:ascii="ITC Avant Garde" w:hAnsi="ITC Avant Garde"/>
          <w:sz w:val="22"/>
          <w:szCs w:val="22"/>
        </w:rPr>
        <w:t xml:space="preserve">entrales </w:t>
      </w:r>
      <w:r w:rsidR="001B4BBF" w:rsidRPr="00422CA2">
        <w:rPr>
          <w:rFonts w:ascii="ITC Avant Garde" w:hAnsi="ITC Avant Garde"/>
          <w:sz w:val="22"/>
          <w:szCs w:val="22"/>
        </w:rPr>
        <w:t xml:space="preserve">Telefónicas </w:t>
      </w:r>
      <w:r w:rsidRPr="00422CA2">
        <w:rPr>
          <w:rFonts w:ascii="ITC Avant Garde" w:hAnsi="ITC Avant Garde"/>
          <w:sz w:val="22"/>
          <w:szCs w:val="22"/>
        </w:rPr>
        <w:t xml:space="preserve">o </w:t>
      </w:r>
      <w:r w:rsidR="001B4BBF" w:rsidRPr="00422CA2">
        <w:rPr>
          <w:rFonts w:ascii="ITC Avant Garde" w:hAnsi="ITC Avant Garde"/>
          <w:sz w:val="22"/>
          <w:szCs w:val="22"/>
        </w:rPr>
        <w:t>I</w:t>
      </w:r>
      <w:r w:rsidRPr="00422CA2">
        <w:rPr>
          <w:rFonts w:ascii="ITC Avant Garde" w:hAnsi="ITC Avant Garde"/>
          <w:sz w:val="22"/>
          <w:szCs w:val="22"/>
        </w:rPr>
        <w:t xml:space="preserve">nstalaciones </w:t>
      </w:r>
      <w:r w:rsidR="001B4BBF" w:rsidRPr="00422CA2">
        <w:rPr>
          <w:rFonts w:ascii="ITC Avant Garde" w:hAnsi="ITC Avant Garde"/>
          <w:sz w:val="22"/>
          <w:szCs w:val="22"/>
        </w:rPr>
        <w:t>E</w:t>
      </w:r>
      <w:r w:rsidRPr="00422CA2">
        <w:rPr>
          <w:rFonts w:ascii="ITC Avant Garde" w:hAnsi="ITC Avant Garde"/>
          <w:sz w:val="22"/>
          <w:szCs w:val="22"/>
        </w:rPr>
        <w:t>quivalentes podrá solicitar información sobre las mismas</w:t>
      </w:r>
      <w:r w:rsidR="00094853" w:rsidRPr="00422CA2">
        <w:rPr>
          <w:rFonts w:ascii="ITC Avant Garde" w:hAnsi="ITC Avant Garde"/>
          <w:sz w:val="22"/>
          <w:szCs w:val="22"/>
        </w:rPr>
        <w:t xml:space="preserve"> sin necesidad de que exist</w:t>
      </w:r>
      <w:r w:rsidR="00910221" w:rsidRPr="00422CA2">
        <w:rPr>
          <w:rFonts w:ascii="ITC Avant Garde" w:hAnsi="ITC Avant Garde"/>
          <w:sz w:val="22"/>
          <w:szCs w:val="22"/>
        </w:rPr>
        <w:t>a</w:t>
      </w:r>
      <w:r w:rsidR="00094853" w:rsidRPr="00422CA2">
        <w:rPr>
          <w:rFonts w:ascii="ITC Avant Garde" w:hAnsi="ITC Avant Garde"/>
          <w:sz w:val="22"/>
          <w:szCs w:val="22"/>
        </w:rPr>
        <w:t xml:space="preserve"> un Convenio firmado por las partes</w:t>
      </w:r>
      <w:r w:rsidRPr="00422CA2">
        <w:rPr>
          <w:rFonts w:ascii="ITC Avant Garde" w:hAnsi="ITC Avant Garde"/>
          <w:sz w:val="22"/>
          <w:szCs w:val="22"/>
        </w:rPr>
        <w:t xml:space="preserve">, la </w:t>
      </w:r>
      <w:r w:rsidR="00910221" w:rsidRPr="00422CA2">
        <w:rPr>
          <w:rFonts w:ascii="ITC Avant Garde" w:hAnsi="ITC Avant Garde"/>
          <w:sz w:val="22"/>
          <w:szCs w:val="22"/>
        </w:rPr>
        <w:t xml:space="preserve">información </w:t>
      </w:r>
      <w:r w:rsidRPr="00422CA2">
        <w:rPr>
          <w:rFonts w:ascii="ITC Avant Garde" w:hAnsi="ITC Avant Garde"/>
          <w:sz w:val="22"/>
          <w:szCs w:val="22"/>
        </w:rPr>
        <w:t>será proporcionada por Telmex en un plazo máximo de tres días hábiles</w:t>
      </w:r>
      <w:r w:rsidR="008E05F3" w:rsidRPr="00422CA2">
        <w:rPr>
          <w:rFonts w:ascii="ITC Avant Garde" w:hAnsi="ITC Avant Garde"/>
          <w:sz w:val="22"/>
          <w:szCs w:val="22"/>
        </w:rPr>
        <w:t xml:space="preserve"> y deberá contemplar al menos, </w:t>
      </w:r>
      <w:r w:rsidR="008E05F3" w:rsidRPr="00422CA2">
        <w:rPr>
          <w:rFonts w:ascii="ITC Avant Garde" w:hAnsi="ITC Avant Garde"/>
          <w:sz w:val="22"/>
          <w:szCs w:val="22"/>
        </w:rPr>
        <w:lastRenderedPageBreak/>
        <w:t>número y ubicación de Centrales Telefónicas o Instalaciones Equivalentes en la ciudad o localidad solicitada, número y ubicación de las Cajas de Distribución asociadas a las Centrales Telefónicas o Instalaciones Equivalentes, número de bucles activos y no activos por Central Telefónica o Instalación Equivalente, número de Sub-bucles activos y no activos por Caja de Distribución,  área de cobertura de las Centrales Telefónicas o Instalaciones Equivalentes -sin limitar a la ciudad o localidad donde se ubiquen- y la disponibilidad de espacio para coubicación</w:t>
      </w:r>
      <w:r w:rsidR="001642A1" w:rsidRPr="00422CA2">
        <w:rPr>
          <w:rFonts w:ascii="ITC Avant Garde" w:hAnsi="ITC Avant Garde"/>
          <w:sz w:val="22"/>
          <w:szCs w:val="22"/>
        </w:rPr>
        <w:t>.</w:t>
      </w:r>
    </w:p>
    <w:p w14:paraId="40E85790" w14:textId="75C19BA8" w:rsidR="00D165BB"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prestación de los servicios en Centrales Telefónicas o </w:t>
      </w:r>
      <w:r w:rsidR="00AC798D" w:rsidRPr="00422CA2">
        <w:rPr>
          <w:rFonts w:ascii="ITC Avant Garde" w:hAnsi="ITC Avant Garde"/>
          <w:sz w:val="22"/>
          <w:szCs w:val="22"/>
          <w:lang w:val="es-MX"/>
        </w:rPr>
        <w:t>I</w:t>
      </w:r>
      <w:r w:rsidRPr="00422CA2">
        <w:rPr>
          <w:rFonts w:ascii="ITC Avant Garde" w:hAnsi="ITC Avant Garde"/>
          <w:sz w:val="22"/>
          <w:szCs w:val="22"/>
          <w:lang w:val="es-MX"/>
        </w:rPr>
        <w:t xml:space="preserve">nstalaciones </w:t>
      </w:r>
      <w:r w:rsidR="00AC798D" w:rsidRPr="00422CA2">
        <w:rPr>
          <w:rFonts w:ascii="ITC Avant Garde" w:hAnsi="ITC Avant Garde"/>
          <w:sz w:val="22"/>
          <w:szCs w:val="22"/>
          <w:lang w:val="es-MX"/>
        </w:rPr>
        <w:t>E</w:t>
      </w:r>
      <w:r w:rsidRPr="00422CA2">
        <w:rPr>
          <w:rFonts w:ascii="ITC Avant Garde" w:hAnsi="ITC Avant Garde"/>
          <w:sz w:val="22"/>
          <w:szCs w:val="22"/>
          <w:lang w:val="es-MX"/>
        </w:rPr>
        <w:t xml:space="preserve">quivalentes </w:t>
      </w:r>
      <w:r w:rsidR="00FB274E" w:rsidRPr="00422CA2">
        <w:rPr>
          <w:rFonts w:ascii="ITC Avant Garde" w:hAnsi="ITC Avant Garde"/>
          <w:sz w:val="22"/>
          <w:szCs w:val="22"/>
          <w:lang w:val="es-MX"/>
        </w:rPr>
        <w:t xml:space="preserve">será </w:t>
      </w:r>
      <w:r w:rsidRPr="00422CA2">
        <w:rPr>
          <w:rFonts w:ascii="ITC Avant Garde" w:hAnsi="ITC Avant Garde"/>
          <w:sz w:val="22"/>
          <w:szCs w:val="22"/>
          <w:lang w:val="es-MX"/>
        </w:rPr>
        <w:t>por la cobertura de las mismas, sin considerarse delimitaciones geopolíticas.</w:t>
      </w:r>
    </w:p>
    <w:p w14:paraId="40E85792" w14:textId="5105CD5A" w:rsidR="00D165BB"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Cuando una </w:t>
      </w:r>
      <w:r w:rsidR="00815AC5" w:rsidRPr="00422CA2">
        <w:rPr>
          <w:rFonts w:ascii="ITC Avant Garde" w:hAnsi="ITC Avant Garde"/>
          <w:sz w:val="22"/>
          <w:szCs w:val="22"/>
          <w:lang w:val="es-MX"/>
        </w:rPr>
        <w:t>Central Telefónica o Instalaci</w:t>
      </w:r>
      <w:r w:rsidR="00EB4F94" w:rsidRPr="00422CA2">
        <w:rPr>
          <w:rFonts w:ascii="ITC Avant Garde" w:hAnsi="ITC Avant Garde"/>
          <w:sz w:val="22"/>
          <w:szCs w:val="22"/>
          <w:lang w:val="es-MX"/>
        </w:rPr>
        <w:t>ón</w:t>
      </w:r>
      <w:r w:rsidRPr="00422CA2">
        <w:rPr>
          <w:rFonts w:ascii="ITC Avant Garde" w:hAnsi="ITC Avant Garde"/>
          <w:sz w:val="22"/>
          <w:szCs w:val="22"/>
          <w:lang w:val="es-MX"/>
        </w:rPr>
        <w:t xml:space="preserve"> </w:t>
      </w:r>
      <w:r w:rsidR="009F58AF" w:rsidRPr="00422CA2">
        <w:rPr>
          <w:rFonts w:ascii="ITC Avant Garde" w:hAnsi="ITC Avant Garde"/>
          <w:sz w:val="22"/>
          <w:szCs w:val="22"/>
          <w:lang w:val="es-MX"/>
        </w:rPr>
        <w:t>Equivalente</w:t>
      </w:r>
      <w:r w:rsidRPr="00422CA2">
        <w:rPr>
          <w:rFonts w:ascii="ITC Avant Garde" w:hAnsi="ITC Avant Garde"/>
          <w:sz w:val="22"/>
          <w:szCs w:val="22"/>
          <w:lang w:val="es-MX"/>
        </w:rPr>
        <w:t xml:space="preserve"> sea acondicionada a solicitud de un CS, se notificará a los CS y al Instituto </w:t>
      </w:r>
      <w:r w:rsidR="00BA40E0" w:rsidRPr="00422CA2">
        <w:rPr>
          <w:rFonts w:ascii="ITC Avant Garde" w:hAnsi="ITC Avant Garde"/>
          <w:sz w:val="22"/>
          <w:szCs w:val="22"/>
          <w:lang w:val="es-MX"/>
        </w:rPr>
        <w:t xml:space="preserve">ya sea por escrito, mediante sistema de captura o </w:t>
      </w:r>
      <w:r w:rsidRPr="00422CA2">
        <w:rPr>
          <w:rFonts w:ascii="ITC Avant Garde" w:hAnsi="ITC Avant Garde"/>
          <w:sz w:val="22"/>
          <w:szCs w:val="22"/>
          <w:lang w:val="es-MX"/>
        </w:rPr>
        <w:t xml:space="preserve">a través del SEG </w:t>
      </w:r>
      <w:r w:rsidR="00BA40E0" w:rsidRPr="00422CA2">
        <w:rPr>
          <w:rFonts w:ascii="ITC Avant Garde" w:hAnsi="ITC Avant Garde"/>
          <w:sz w:val="22"/>
          <w:szCs w:val="22"/>
          <w:lang w:val="es-MX"/>
        </w:rPr>
        <w:t>cuando entre en operación.</w:t>
      </w:r>
      <w:r w:rsidRPr="00422CA2">
        <w:rPr>
          <w:rFonts w:ascii="ITC Avant Garde" w:hAnsi="ITC Avant Garde"/>
          <w:sz w:val="22"/>
          <w:szCs w:val="22"/>
          <w:lang w:val="es-MX"/>
        </w:rPr>
        <w:t xml:space="preserve"> </w:t>
      </w:r>
      <w:r w:rsidR="00484BE8" w:rsidRPr="00422CA2">
        <w:rPr>
          <w:rFonts w:ascii="ITC Avant Garde" w:hAnsi="ITC Avant Garde"/>
          <w:sz w:val="22"/>
          <w:szCs w:val="22"/>
          <w:lang w:val="es-MX"/>
        </w:rPr>
        <w:t>El</w:t>
      </w:r>
      <w:r w:rsidRPr="00422CA2">
        <w:rPr>
          <w:rFonts w:ascii="ITC Avant Garde" w:hAnsi="ITC Avant Garde"/>
          <w:sz w:val="22"/>
          <w:szCs w:val="22"/>
          <w:lang w:val="es-MX"/>
        </w:rPr>
        <w:t xml:space="preserve"> listado será actualizado a más tardar un día hábil después de que fueron notificados los CS y el Instituto.</w:t>
      </w:r>
    </w:p>
    <w:p w14:paraId="40E85794" w14:textId="77777777" w:rsidR="00530A32" w:rsidRPr="00422CA2" w:rsidRDefault="00011A1B" w:rsidP="004129D1">
      <w:pPr>
        <w:pStyle w:val="Ttulo1"/>
      </w:pPr>
      <w:bookmarkStart w:id="130" w:name="_Toc436840872"/>
      <w:bookmarkStart w:id="131" w:name="_Toc436846309"/>
      <w:bookmarkStart w:id="132" w:name="_Toc436848259"/>
      <w:bookmarkStart w:id="133" w:name="_Toc436856507"/>
      <w:bookmarkStart w:id="134" w:name="_Toc436862653"/>
      <w:bookmarkStart w:id="135" w:name="_Toc436866303"/>
      <w:bookmarkStart w:id="136" w:name="_Toc436870882"/>
      <w:bookmarkStart w:id="137" w:name="_Toc436875874"/>
      <w:bookmarkStart w:id="138" w:name="_Toc437602062"/>
      <w:r w:rsidRPr="00422CA2">
        <w:t>2.1</w:t>
      </w:r>
      <w:r w:rsidR="00326841" w:rsidRPr="00422CA2">
        <w:t>.</w:t>
      </w:r>
      <w:r w:rsidRPr="00422CA2">
        <w:tab/>
        <w:t>Pruebas de Primera Aplicación</w:t>
      </w:r>
      <w:bookmarkEnd w:id="130"/>
      <w:bookmarkEnd w:id="131"/>
      <w:bookmarkEnd w:id="132"/>
      <w:bookmarkEnd w:id="133"/>
      <w:bookmarkEnd w:id="134"/>
      <w:bookmarkEnd w:id="135"/>
      <w:bookmarkEnd w:id="136"/>
      <w:bookmarkEnd w:id="137"/>
      <w:bookmarkEnd w:id="138"/>
    </w:p>
    <w:p w14:paraId="40E85795" w14:textId="17C37C8C" w:rsidR="00F379D9"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Cualquier CS de manera individual o conjunta, previo al inicio de la prestación de servicios en una ciudad o localidad, puede solicitar que se realicen pruebas generales de la viabilidad de la implementación y procedimientos, es decir una prueba integral del servicio </w:t>
      </w:r>
      <w:r w:rsidRPr="00422CA2">
        <w:rPr>
          <w:rFonts w:ascii="ITC Avant Garde" w:hAnsi="ITC Avant Garde"/>
          <w:i/>
          <w:sz w:val="22"/>
          <w:szCs w:val="22"/>
          <w:lang w:val="es-MX"/>
        </w:rPr>
        <w:t>(First Office Application, FOA)</w:t>
      </w:r>
      <w:r w:rsidR="00FB6939" w:rsidRPr="00422CA2">
        <w:rPr>
          <w:rFonts w:ascii="ITC Avant Garde" w:hAnsi="ITC Avant Garde"/>
          <w:i/>
          <w:sz w:val="22"/>
          <w:szCs w:val="22"/>
          <w:lang w:val="es-MX"/>
        </w:rPr>
        <w:t xml:space="preserve"> </w:t>
      </w:r>
      <w:r w:rsidR="00FB6939" w:rsidRPr="00422CA2">
        <w:rPr>
          <w:rFonts w:ascii="ITC Avant Garde" w:hAnsi="ITC Avant Garde"/>
          <w:sz w:val="22"/>
          <w:szCs w:val="22"/>
          <w:lang w:val="es-MX"/>
        </w:rPr>
        <w:t>o cualquiera que sea factible</w:t>
      </w:r>
      <w:r w:rsidRPr="00422CA2">
        <w:rPr>
          <w:rFonts w:ascii="ITC Avant Garde" w:hAnsi="ITC Avant Garde"/>
          <w:sz w:val="22"/>
          <w:szCs w:val="22"/>
          <w:lang w:val="es-MX"/>
        </w:rPr>
        <w:t xml:space="preserve">. Las pruebas para los servicios de desagregación </w:t>
      </w:r>
      <w:r w:rsidR="00EB4F94" w:rsidRPr="00422CA2">
        <w:rPr>
          <w:rFonts w:ascii="ITC Avant Garde" w:hAnsi="ITC Avant Garde"/>
          <w:sz w:val="22"/>
          <w:szCs w:val="22"/>
          <w:lang w:val="es-MX"/>
        </w:rPr>
        <w:t xml:space="preserve">estarán </w:t>
      </w:r>
      <w:r w:rsidRPr="00422CA2">
        <w:rPr>
          <w:rFonts w:ascii="ITC Avant Garde" w:hAnsi="ITC Avant Garde"/>
          <w:sz w:val="22"/>
          <w:szCs w:val="22"/>
          <w:lang w:val="es-MX"/>
        </w:rPr>
        <w:t xml:space="preserve">asociadas a la solicitud, contratación, instalación, configuración, gestión, protocolos, movimientos (altas, bajas y cambios) y facturación. Los gastos de las pruebas serán acordados entre las partes; la duración de la prueba será de un máximo de 2 periodos de facturación, excepto que se acuerde de manera distinta. Al finalizar las pruebas se entregará una copia de los resultados tanto al CS como al Instituto. </w:t>
      </w:r>
    </w:p>
    <w:p w14:paraId="40E85797" w14:textId="77777777" w:rsidR="00530A32" w:rsidRPr="00422CA2" w:rsidRDefault="00B438B5" w:rsidP="004129D1">
      <w:pPr>
        <w:pStyle w:val="Ttulo1"/>
      </w:pPr>
      <w:bookmarkStart w:id="139" w:name="_Toc436840873"/>
      <w:bookmarkStart w:id="140" w:name="_Toc436846310"/>
      <w:bookmarkStart w:id="141" w:name="_Toc436848260"/>
      <w:bookmarkStart w:id="142" w:name="_Toc436856508"/>
      <w:bookmarkStart w:id="143" w:name="_Toc436862654"/>
      <w:bookmarkStart w:id="144" w:name="_Toc436866304"/>
      <w:bookmarkStart w:id="145" w:name="_Toc436870883"/>
      <w:bookmarkStart w:id="146" w:name="_Toc436875875"/>
      <w:bookmarkStart w:id="147" w:name="_Toc437602063"/>
      <w:r w:rsidRPr="00422CA2">
        <w:t>3.</w:t>
      </w:r>
      <w:r w:rsidRPr="00422CA2">
        <w:tab/>
      </w:r>
      <w:r w:rsidR="00011A1B" w:rsidRPr="00422CA2">
        <w:t>Información relacionada con los servicios</w:t>
      </w:r>
      <w:bookmarkEnd w:id="139"/>
      <w:bookmarkEnd w:id="140"/>
      <w:bookmarkEnd w:id="141"/>
      <w:bookmarkEnd w:id="142"/>
      <w:bookmarkEnd w:id="143"/>
      <w:bookmarkEnd w:id="144"/>
      <w:bookmarkEnd w:id="145"/>
      <w:bookmarkEnd w:id="146"/>
      <w:bookmarkEnd w:id="147"/>
    </w:p>
    <w:p w14:paraId="40E85798" w14:textId="3B1E62DD" w:rsidR="00530A32"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información con la que cuenta Telmex se pondrá a disposición de los Concesionarios Solicitantes a través de una interfaz en el sitio de Internet en el que Telmex publique su OREDA o a través del Sistema de Captura o del SEG cuando esté disponible según se especifica a continuación</w:t>
      </w:r>
      <w:r w:rsidR="00EB4F94" w:rsidRPr="00422CA2">
        <w:rPr>
          <w:rFonts w:ascii="ITC Avant Garde" w:hAnsi="ITC Avant Garde"/>
          <w:sz w:val="22"/>
          <w:szCs w:val="22"/>
          <w:lang w:val="es-MX"/>
        </w:rPr>
        <w:t>.</w:t>
      </w:r>
      <w:r w:rsidRPr="00422CA2">
        <w:rPr>
          <w:rFonts w:ascii="ITC Avant Garde" w:hAnsi="ITC Avant Garde"/>
          <w:sz w:val="22"/>
          <w:szCs w:val="22"/>
          <w:lang w:val="es-MX"/>
        </w:rPr>
        <w:t xml:space="preserve"> </w:t>
      </w:r>
      <w:r w:rsidR="00EB4F94" w:rsidRPr="00422CA2">
        <w:rPr>
          <w:rFonts w:ascii="ITC Avant Garde" w:hAnsi="ITC Avant Garde"/>
          <w:sz w:val="22"/>
          <w:szCs w:val="22"/>
          <w:lang w:val="es-MX"/>
        </w:rPr>
        <w:t>Dicha</w:t>
      </w:r>
      <w:r w:rsidRPr="00422CA2">
        <w:rPr>
          <w:rFonts w:ascii="ITC Avant Garde" w:hAnsi="ITC Avant Garde"/>
          <w:sz w:val="22"/>
          <w:szCs w:val="22"/>
          <w:lang w:val="es-MX"/>
        </w:rPr>
        <w:t xml:space="preserve"> información corresponde a aquella con la que Telmex cuenta para su propia operación tanto en términos cuantitativos como cualitativos, en el entendido de que la información sufre continuos cambios derivado de la operación diaria y está sujeta a la variabilidad propia del levantamiento de información.</w:t>
      </w:r>
    </w:p>
    <w:p w14:paraId="40E8579A" w14:textId="77777777" w:rsidR="00A76D1C"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información que se pondrá a disposición de los CS se clasifica en 2 tipos:</w:t>
      </w:r>
    </w:p>
    <w:p w14:paraId="40E8579B" w14:textId="77777777" w:rsidR="00A76D1C" w:rsidRPr="00422CA2" w:rsidRDefault="00011A1B" w:rsidP="001642A1">
      <w:pPr>
        <w:pStyle w:val="Prrafodelista"/>
        <w:numPr>
          <w:ilvl w:val="0"/>
          <w:numId w:val="90"/>
        </w:numPr>
        <w:spacing w:after="200" w:line="276" w:lineRule="auto"/>
        <w:jc w:val="both"/>
        <w:rPr>
          <w:rFonts w:ascii="ITC Avant Garde" w:hAnsi="ITC Avant Garde"/>
          <w:sz w:val="22"/>
          <w:szCs w:val="22"/>
          <w:lang w:val="es-MX"/>
        </w:rPr>
      </w:pPr>
      <w:r w:rsidRPr="00422CA2">
        <w:rPr>
          <w:rFonts w:ascii="ITC Avant Garde" w:hAnsi="ITC Avant Garde"/>
          <w:b/>
          <w:sz w:val="22"/>
          <w:szCs w:val="22"/>
        </w:rPr>
        <w:lastRenderedPageBreak/>
        <w:t xml:space="preserve">Información tipo </w:t>
      </w:r>
      <w:r w:rsidR="00610E6F" w:rsidRPr="00422CA2">
        <w:rPr>
          <w:rFonts w:ascii="ITC Avant Garde" w:hAnsi="ITC Avant Garde"/>
          <w:b/>
          <w:sz w:val="22"/>
          <w:szCs w:val="22"/>
        </w:rPr>
        <w:t>“</w:t>
      </w:r>
      <w:r w:rsidRPr="00422CA2">
        <w:rPr>
          <w:rFonts w:ascii="ITC Avant Garde" w:hAnsi="ITC Avant Garde"/>
          <w:b/>
          <w:sz w:val="22"/>
          <w:szCs w:val="22"/>
        </w:rPr>
        <w:t>a</w:t>
      </w:r>
      <w:r w:rsidR="00610E6F" w:rsidRPr="00422CA2">
        <w:rPr>
          <w:rFonts w:ascii="ITC Avant Garde" w:hAnsi="ITC Avant Garde"/>
          <w:b/>
          <w:sz w:val="22"/>
          <w:szCs w:val="22"/>
        </w:rPr>
        <w:t>”</w:t>
      </w:r>
      <w:r w:rsidRPr="00422CA2">
        <w:rPr>
          <w:rFonts w:ascii="ITC Avant Garde" w:hAnsi="ITC Avant Garde"/>
          <w:sz w:val="22"/>
          <w:szCs w:val="22"/>
        </w:rPr>
        <w:t>:</w:t>
      </w:r>
      <w:r w:rsidRPr="00422CA2">
        <w:rPr>
          <w:rFonts w:ascii="ITC Avant Garde" w:hAnsi="ITC Avant Garde"/>
          <w:sz w:val="22"/>
          <w:szCs w:val="22"/>
          <w:lang w:val="es-MX"/>
        </w:rPr>
        <w:t xml:space="preserve"> información básica que será accesible a partir de la publicación de la OREDA mediante la descarga de bases de datos conformada por archivos actualizados antes de firmar el Convenio de Desagregación</w:t>
      </w:r>
    </w:p>
    <w:p w14:paraId="40E8579C" w14:textId="77777777" w:rsidR="00530A32" w:rsidRPr="00422CA2" w:rsidRDefault="00011A1B" w:rsidP="001642A1">
      <w:pPr>
        <w:pStyle w:val="Prrafodelista"/>
        <w:numPr>
          <w:ilvl w:val="0"/>
          <w:numId w:val="90"/>
        </w:numPr>
        <w:spacing w:after="200" w:line="276" w:lineRule="auto"/>
        <w:jc w:val="both"/>
        <w:rPr>
          <w:rFonts w:ascii="ITC Avant Garde" w:hAnsi="ITC Avant Garde"/>
          <w:sz w:val="22"/>
          <w:szCs w:val="22"/>
          <w:lang w:val="es-MX"/>
        </w:rPr>
      </w:pPr>
      <w:r w:rsidRPr="00422CA2">
        <w:rPr>
          <w:rFonts w:ascii="ITC Avant Garde" w:hAnsi="ITC Avant Garde"/>
          <w:b/>
          <w:sz w:val="22"/>
          <w:szCs w:val="22"/>
          <w:lang w:val="es-MX"/>
        </w:rPr>
        <w:t xml:space="preserve">Información tipo </w:t>
      </w:r>
      <w:r w:rsidR="00610E6F" w:rsidRPr="00422CA2">
        <w:rPr>
          <w:rFonts w:ascii="ITC Avant Garde" w:hAnsi="ITC Avant Garde"/>
          <w:b/>
          <w:sz w:val="22"/>
          <w:szCs w:val="22"/>
          <w:lang w:val="es-MX"/>
        </w:rPr>
        <w:t>“</w:t>
      </w:r>
      <w:r w:rsidRPr="00422CA2">
        <w:rPr>
          <w:rFonts w:ascii="ITC Avant Garde" w:hAnsi="ITC Avant Garde"/>
          <w:b/>
          <w:sz w:val="22"/>
          <w:szCs w:val="22"/>
          <w:lang w:val="es-MX"/>
        </w:rPr>
        <w:t>b</w:t>
      </w:r>
      <w:r w:rsidR="00610E6F" w:rsidRPr="00422CA2">
        <w:rPr>
          <w:rFonts w:ascii="ITC Avant Garde" w:hAnsi="ITC Avant Garde"/>
          <w:b/>
          <w:sz w:val="22"/>
          <w:szCs w:val="22"/>
          <w:lang w:val="es-MX"/>
        </w:rPr>
        <w:t>”</w:t>
      </w:r>
      <w:r w:rsidRPr="00422CA2">
        <w:rPr>
          <w:rFonts w:ascii="ITC Avant Garde" w:hAnsi="ITC Avant Garde"/>
          <w:b/>
          <w:sz w:val="22"/>
          <w:szCs w:val="22"/>
          <w:lang w:val="es-MX"/>
        </w:rPr>
        <w:t>:</w:t>
      </w:r>
      <w:r w:rsidRPr="00422CA2">
        <w:rPr>
          <w:rFonts w:ascii="ITC Avant Garde" w:hAnsi="ITC Avant Garde"/>
          <w:sz w:val="22"/>
          <w:szCs w:val="22"/>
          <w:lang w:val="es-MX"/>
        </w:rPr>
        <w:t xml:space="preserve"> Información detallada ya sea por número de teléfono, número de usuario, código identificador de Bucle Local, código identificador de unidad básica o cualquier otro.</w:t>
      </w:r>
    </w:p>
    <w:p w14:paraId="40E8579E" w14:textId="5F21500C" w:rsidR="00530A32"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información tipo </w:t>
      </w:r>
      <w:r w:rsidR="00610E6F" w:rsidRPr="00422CA2">
        <w:rPr>
          <w:rFonts w:ascii="ITC Avant Garde" w:hAnsi="ITC Avant Garde"/>
          <w:sz w:val="22"/>
          <w:szCs w:val="22"/>
          <w:lang w:val="es-MX"/>
        </w:rPr>
        <w:t>“</w:t>
      </w:r>
      <w:r w:rsidRPr="00422CA2">
        <w:rPr>
          <w:rFonts w:ascii="ITC Avant Garde" w:hAnsi="ITC Avant Garde"/>
          <w:sz w:val="22"/>
          <w:szCs w:val="22"/>
          <w:lang w:val="es-MX"/>
        </w:rPr>
        <w:t>a</w:t>
      </w:r>
      <w:r w:rsidR="00610E6F" w:rsidRPr="00422CA2">
        <w:rPr>
          <w:rFonts w:ascii="ITC Avant Garde" w:hAnsi="ITC Avant Garde"/>
          <w:sz w:val="22"/>
          <w:szCs w:val="22"/>
          <w:lang w:val="es-MX"/>
        </w:rPr>
        <w:t>”</w:t>
      </w:r>
      <w:r w:rsidRPr="00422CA2">
        <w:rPr>
          <w:rFonts w:ascii="ITC Avant Garde" w:hAnsi="ITC Avant Garde"/>
          <w:sz w:val="22"/>
          <w:szCs w:val="22"/>
          <w:lang w:val="es-MX"/>
        </w:rPr>
        <w:t xml:space="preserve"> se pondrá a disposición de los </w:t>
      </w:r>
      <w:r w:rsidR="0091726E" w:rsidRPr="00422CA2">
        <w:rPr>
          <w:rFonts w:ascii="ITC Avant Garde" w:hAnsi="ITC Avant Garde"/>
          <w:sz w:val="22"/>
          <w:szCs w:val="22"/>
          <w:lang w:val="es-MX"/>
        </w:rPr>
        <w:t>CS</w:t>
      </w:r>
      <w:r w:rsidRPr="00422CA2">
        <w:rPr>
          <w:rFonts w:ascii="ITC Avant Garde" w:hAnsi="ITC Avant Garde"/>
          <w:sz w:val="22"/>
          <w:szCs w:val="22"/>
          <w:lang w:val="es-MX"/>
        </w:rPr>
        <w:t xml:space="preserve"> a través de la interfaz que se habilitará en la página de internet donde se publique la </w:t>
      </w:r>
      <w:r w:rsidR="00CA026A">
        <w:rPr>
          <w:rFonts w:ascii="ITC Avant Garde" w:hAnsi="ITC Avant Garde"/>
          <w:sz w:val="22"/>
          <w:szCs w:val="22"/>
          <w:lang w:val="es-MX"/>
        </w:rPr>
        <w:t>OREDA</w:t>
      </w:r>
      <w:r w:rsidRPr="00422CA2">
        <w:rPr>
          <w:rFonts w:ascii="ITC Avant Garde" w:hAnsi="ITC Avant Garde"/>
          <w:sz w:val="22"/>
          <w:szCs w:val="22"/>
          <w:lang w:val="es-MX"/>
        </w:rPr>
        <w:t xml:space="preserve">, para lo cual se asignará un usuario y contraseña para cada </w:t>
      </w:r>
      <w:r w:rsidR="0091726E" w:rsidRPr="00422CA2">
        <w:rPr>
          <w:rFonts w:ascii="ITC Avant Garde" w:hAnsi="ITC Avant Garde"/>
          <w:sz w:val="22"/>
          <w:szCs w:val="22"/>
          <w:lang w:val="es-MX"/>
        </w:rPr>
        <w:t>CS</w:t>
      </w:r>
      <w:r w:rsidRPr="00422CA2">
        <w:rPr>
          <w:rFonts w:ascii="ITC Avant Garde" w:hAnsi="ITC Avant Garde"/>
          <w:sz w:val="22"/>
          <w:szCs w:val="22"/>
          <w:lang w:val="es-MX"/>
        </w:rPr>
        <w:t xml:space="preserve">. La información tipo </w:t>
      </w:r>
      <w:r w:rsidR="00F865C7" w:rsidRPr="00422CA2">
        <w:rPr>
          <w:rFonts w:ascii="ITC Avant Garde" w:hAnsi="ITC Avant Garde"/>
          <w:sz w:val="22"/>
          <w:szCs w:val="22"/>
          <w:lang w:val="es-MX"/>
        </w:rPr>
        <w:t>“</w:t>
      </w:r>
      <w:r w:rsidRPr="00422CA2">
        <w:rPr>
          <w:rFonts w:ascii="ITC Avant Garde" w:hAnsi="ITC Avant Garde"/>
          <w:sz w:val="22"/>
          <w:szCs w:val="22"/>
          <w:lang w:val="es-MX"/>
        </w:rPr>
        <w:t>a</w:t>
      </w:r>
      <w:r w:rsidR="00F865C7" w:rsidRPr="00422CA2">
        <w:rPr>
          <w:rFonts w:ascii="ITC Avant Garde" w:hAnsi="ITC Avant Garde"/>
          <w:sz w:val="22"/>
          <w:szCs w:val="22"/>
          <w:lang w:val="es-MX"/>
        </w:rPr>
        <w:t>”</w:t>
      </w:r>
      <w:r w:rsidRPr="00422CA2">
        <w:rPr>
          <w:rFonts w:ascii="ITC Avant Garde" w:hAnsi="ITC Avant Garde"/>
          <w:sz w:val="22"/>
          <w:szCs w:val="22"/>
          <w:lang w:val="es-MX"/>
        </w:rPr>
        <w:t xml:space="preserve"> y </w:t>
      </w:r>
      <w:r w:rsidR="00F865C7" w:rsidRPr="00422CA2">
        <w:rPr>
          <w:rFonts w:ascii="ITC Avant Garde" w:hAnsi="ITC Avant Garde"/>
          <w:sz w:val="22"/>
          <w:szCs w:val="22"/>
          <w:lang w:val="es-MX"/>
        </w:rPr>
        <w:t>“</w:t>
      </w:r>
      <w:r w:rsidRPr="00422CA2">
        <w:rPr>
          <w:rFonts w:ascii="ITC Avant Garde" w:hAnsi="ITC Avant Garde"/>
          <w:sz w:val="22"/>
          <w:szCs w:val="22"/>
          <w:lang w:val="es-MX"/>
        </w:rPr>
        <w:t>b</w:t>
      </w:r>
      <w:r w:rsidR="00F865C7" w:rsidRPr="00422CA2">
        <w:rPr>
          <w:rFonts w:ascii="ITC Avant Garde" w:hAnsi="ITC Avant Garde"/>
          <w:sz w:val="22"/>
          <w:szCs w:val="22"/>
          <w:lang w:val="es-MX"/>
        </w:rPr>
        <w:t>”</w:t>
      </w:r>
      <w:r w:rsidRPr="00422CA2">
        <w:rPr>
          <w:rFonts w:ascii="ITC Avant Garde" w:hAnsi="ITC Avant Garde"/>
          <w:sz w:val="22"/>
          <w:szCs w:val="22"/>
          <w:lang w:val="es-MX"/>
        </w:rPr>
        <w:t xml:space="preserve"> estará disponible a través del SEG o en su defecto </w:t>
      </w:r>
      <w:r w:rsidR="005D7076" w:rsidRPr="00422CA2">
        <w:rPr>
          <w:rFonts w:ascii="ITC Avant Garde" w:hAnsi="ITC Avant Garde"/>
          <w:sz w:val="22"/>
          <w:szCs w:val="22"/>
          <w:lang w:val="es-MX"/>
        </w:rPr>
        <w:t xml:space="preserve">en </w:t>
      </w:r>
      <w:r w:rsidRPr="00422CA2">
        <w:rPr>
          <w:rFonts w:ascii="ITC Avant Garde" w:hAnsi="ITC Avant Garde"/>
          <w:sz w:val="22"/>
          <w:szCs w:val="22"/>
          <w:lang w:val="es-MX"/>
        </w:rPr>
        <w:t xml:space="preserve">el Sistema de Captura. </w:t>
      </w:r>
    </w:p>
    <w:p w14:paraId="40E857A0" w14:textId="30BDE229" w:rsidR="00530A32"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virtud de que la información tipo “a”, que se pondrá a disposición de los </w:t>
      </w:r>
      <w:r w:rsidR="0091726E" w:rsidRPr="00422CA2">
        <w:rPr>
          <w:rFonts w:ascii="ITC Avant Garde" w:hAnsi="ITC Avant Garde"/>
          <w:sz w:val="22"/>
          <w:szCs w:val="22"/>
          <w:lang w:val="es-MX"/>
        </w:rPr>
        <w:t>CS</w:t>
      </w:r>
      <w:r w:rsidRPr="00422CA2">
        <w:rPr>
          <w:rFonts w:ascii="ITC Avant Garde" w:hAnsi="ITC Avant Garde"/>
          <w:sz w:val="22"/>
          <w:szCs w:val="22"/>
          <w:lang w:val="es-MX"/>
        </w:rPr>
        <w:t xml:space="preserve"> tiene carácter confidencial y no ha habido una firma de convenio, se tendrá que firmar un acuerdo de confidencialidad con cada CS que lo requiera, quedando estipulado que estará prohibida la reproducción parcial o total de la información, así como su publicación a través de cualquier medio. Para el caso de la información tipo </w:t>
      </w:r>
      <w:r w:rsidR="00F865C7" w:rsidRPr="00422CA2">
        <w:rPr>
          <w:rFonts w:ascii="ITC Avant Garde" w:hAnsi="ITC Avant Garde"/>
          <w:sz w:val="22"/>
          <w:szCs w:val="22"/>
          <w:lang w:val="es-MX"/>
        </w:rPr>
        <w:t>“</w:t>
      </w:r>
      <w:r w:rsidRPr="00422CA2">
        <w:rPr>
          <w:rFonts w:ascii="ITC Avant Garde" w:hAnsi="ITC Avant Garde"/>
          <w:sz w:val="22"/>
          <w:szCs w:val="22"/>
          <w:lang w:val="es-MX"/>
        </w:rPr>
        <w:t>b</w:t>
      </w:r>
      <w:r w:rsidR="00F865C7" w:rsidRPr="00422CA2">
        <w:rPr>
          <w:rFonts w:ascii="ITC Avant Garde" w:hAnsi="ITC Avant Garde"/>
          <w:sz w:val="22"/>
          <w:szCs w:val="22"/>
          <w:lang w:val="es-MX"/>
        </w:rPr>
        <w:t>”</w:t>
      </w:r>
      <w:r w:rsidR="005D7076" w:rsidRPr="00422CA2">
        <w:rPr>
          <w:rFonts w:ascii="ITC Avant Garde" w:hAnsi="ITC Avant Garde"/>
          <w:sz w:val="22"/>
          <w:szCs w:val="22"/>
          <w:lang w:val="es-MX"/>
        </w:rPr>
        <w:t>,</w:t>
      </w:r>
      <w:r w:rsidRPr="00422CA2">
        <w:rPr>
          <w:rFonts w:ascii="ITC Avant Garde" w:hAnsi="ITC Avant Garde"/>
          <w:sz w:val="22"/>
          <w:szCs w:val="22"/>
          <w:lang w:val="es-MX"/>
        </w:rPr>
        <w:t xml:space="preserve"> los CS tendrán que firmar el Convenio de Desagregación. La información tipo </w:t>
      </w:r>
      <w:r w:rsidR="00F865C7" w:rsidRPr="00422CA2">
        <w:rPr>
          <w:rFonts w:ascii="ITC Avant Garde" w:hAnsi="ITC Avant Garde"/>
          <w:sz w:val="22"/>
          <w:szCs w:val="22"/>
          <w:lang w:val="es-MX"/>
        </w:rPr>
        <w:t>“</w:t>
      </w:r>
      <w:r w:rsidRPr="00422CA2">
        <w:rPr>
          <w:rFonts w:ascii="ITC Avant Garde" w:hAnsi="ITC Avant Garde"/>
          <w:sz w:val="22"/>
          <w:szCs w:val="22"/>
          <w:lang w:val="es-MX"/>
        </w:rPr>
        <w:t>a</w:t>
      </w:r>
      <w:r w:rsidR="00F865C7" w:rsidRPr="00422CA2">
        <w:rPr>
          <w:rFonts w:ascii="ITC Avant Garde" w:hAnsi="ITC Avant Garde"/>
          <w:sz w:val="22"/>
          <w:szCs w:val="22"/>
          <w:lang w:val="es-MX"/>
        </w:rPr>
        <w:t>”</w:t>
      </w:r>
      <w:r w:rsidRPr="00422CA2">
        <w:rPr>
          <w:rFonts w:ascii="ITC Avant Garde" w:hAnsi="ITC Avant Garde"/>
          <w:sz w:val="22"/>
          <w:szCs w:val="22"/>
          <w:lang w:val="es-MX"/>
        </w:rPr>
        <w:t xml:space="preserve"> se actualizará mensualmente, mientras que la información tipo </w:t>
      </w:r>
      <w:r w:rsidR="00F865C7" w:rsidRPr="00422CA2">
        <w:rPr>
          <w:rFonts w:ascii="ITC Avant Garde" w:hAnsi="ITC Avant Garde"/>
          <w:sz w:val="22"/>
          <w:szCs w:val="22"/>
          <w:lang w:val="es-MX"/>
        </w:rPr>
        <w:t>“</w:t>
      </w:r>
      <w:r w:rsidRPr="00422CA2">
        <w:rPr>
          <w:rFonts w:ascii="ITC Avant Garde" w:hAnsi="ITC Avant Garde"/>
          <w:sz w:val="22"/>
          <w:szCs w:val="22"/>
          <w:lang w:val="es-MX"/>
        </w:rPr>
        <w:t>b</w:t>
      </w:r>
      <w:r w:rsidR="00F865C7" w:rsidRPr="00422CA2">
        <w:rPr>
          <w:rFonts w:ascii="ITC Avant Garde" w:hAnsi="ITC Avant Garde"/>
          <w:sz w:val="22"/>
          <w:szCs w:val="22"/>
          <w:lang w:val="es-MX"/>
        </w:rPr>
        <w:t>”</w:t>
      </w:r>
      <w:r w:rsidRPr="00422CA2">
        <w:rPr>
          <w:rFonts w:ascii="ITC Avant Garde" w:hAnsi="ITC Avant Garde"/>
          <w:sz w:val="22"/>
          <w:szCs w:val="22"/>
          <w:lang w:val="es-MX"/>
        </w:rPr>
        <w:t xml:space="preserve"> se actualizará diariamente.</w:t>
      </w:r>
    </w:p>
    <w:p w14:paraId="0783D330" w14:textId="6ADD16BD" w:rsidR="001A73FC" w:rsidRPr="00422CA2" w:rsidRDefault="001A73FC"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Instituto podrá solicitar la agregación de nuevas bases de datos así como modificar los rubros especificados en cada una, total o parcialmente, si en el transcurso del tiempo se observa que no resulta eficiente su utilización y se comprueba que la disposición de la misma resulta insuficiente o genera desventajas competitivas para los CS.</w:t>
      </w:r>
    </w:p>
    <w:p w14:paraId="40E857A2" w14:textId="1553D36D" w:rsidR="00530A32" w:rsidRPr="00422CA2" w:rsidRDefault="00011A1B" w:rsidP="001642A1">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Procedimiento para solicitar usuario y contraseña para consultar información en la interfaz en la página en que se publique la </w:t>
      </w:r>
      <w:r w:rsidR="00CA026A">
        <w:rPr>
          <w:rFonts w:ascii="ITC Avant Garde" w:hAnsi="ITC Avant Garde"/>
          <w:b/>
          <w:sz w:val="22"/>
          <w:szCs w:val="22"/>
          <w:lang w:val="es-MX"/>
        </w:rPr>
        <w:t>OREDA</w:t>
      </w:r>
    </w:p>
    <w:p w14:paraId="40E857A3" w14:textId="5E307B71" w:rsidR="00530A32" w:rsidRPr="00422CA2" w:rsidRDefault="00011A1B" w:rsidP="001642A1">
      <w:pPr>
        <w:pStyle w:val="Prrafodelista"/>
        <w:numPr>
          <w:ilvl w:val="0"/>
          <w:numId w:val="9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que opera </w:t>
      </w:r>
      <w:r w:rsidR="005D7076" w:rsidRPr="00422CA2">
        <w:rPr>
          <w:rFonts w:ascii="ITC Avant Garde" w:hAnsi="ITC Avant Garde"/>
          <w:sz w:val="22"/>
          <w:szCs w:val="22"/>
          <w:lang w:val="es-MX"/>
        </w:rPr>
        <w:t xml:space="preserve">una </w:t>
      </w:r>
      <w:r w:rsidRPr="00422CA2">
        <w:rPr>
          <w:rFonts w:ascii="ITC Avant Garde" w:hAnsi="ITC Avant Garde"/>
          <w:sz w:val="22"/>
          <w:szCs w:val="22"/>
          <w:lang w:val="es-MX"/>
        </w:rPr>
        <w:t xml:space="preserve">red pública de telecomunicaciones solicitará a Telmex vía correo electrónico a la dirección </w:t>
      </w:r>
      <w:hyperlink r:id="rId23" w:history="1">
        <w:r w:rsidR="00AA71B3" w:rsidRPr="00422CA2">
          <w:rPr>
            <w:rStyle w:val="Hipervnculo"/>
            <w:rFonts w:ascii="ITC Avant Garde" w:hAnsi="ITC Avant Garde"/>
            <w:color w:val="auto"/>
            <w:sz w:val="22"/>
            <w:szCs w:val="22"/>
            <w:u w:val="none"/>
          </w:rPr>
          <w:t>OPERDES@telmex.com</w:t>
        </w:r>
      </w:hyperlink>
      <w:r w:rsidRPr="00422CA2">
        <w:rPr>
          <w:rFonts w:ascii="ITC Avant Garde" w:hAnsi="ITC Avant Garde"/>
          <w:sz w:val="22"/>
          <w:szCs w:val="22"/>
          <w:lang w:val="es-MX"/>
        </w:rPr>
        <w:t xml:space="preserve"> </w:t>
      </w:r>
      <w:r w:rsidR="005D7076" w:rsidRPr="00422CA2">
        <w:rPr>
          <w:rFonts w:ascii="ITC Avant Garde" w:hAnsi="ITC Avant Garde"/>
          <w:sz w:val="22"/>
          <w:szCs w:val="22"/>
          <w:lang w:val="es-MX"/>
        </w:rPr>
        <w:t xml:space="preserve">que </w:t>
      </w:r>
      <w:r w:rsidRPr="00422CA2">
        <w:rPr>
          <w:rFonts w:ascii="ITC Avant Garde" w:hAnsi="ITC Avant Garde"/>
          <w:sz w:val="22"/>
          <w:szCs w:val="22"/>
          <w:lang w:val="es-MX"/>
        </w:rPr>
        <w:t xml:space="preserve">se le asigne un usuario y contraseña para </w:t>
      </w:r>
      <w:r w:rsidR="005D7076" w:rsidRPr="00422CA2">
        <w:rPr>
          <w:rFonts w:ascii="ITC Avant Garde" w:hAnsi="ITC Avant Garde"/>
          <w:sz w:val="22"/>
          <w:szCs w:val="22"/>
          <w:lang w:val="es-MX"/>
        </w:rPr>
        <w:t xml:space="preserve">la </w:t>
      </w:r>
      <w:r w:rsidRPr="00422CA2">
        <w:rPr>
          <w:rFonts w:ascii="ITC Avant Garde" w:hAnsi="ITC Avant Garde"/>
          <w:sz w:val="22"/>
          <w:szCs w:val="22"/>
          <w:lang w:val="es-MX"/>
        </w:rPr>
        <w:t xml:space="preserve">consulta de </w:t>
      </w:r>
      <w:r w:rsidR="005D7076" w:rsidRPr="00422CA2">
        <w:rPr>
          <w:rFonts w:ascii="ITC Avant Garde" w:hAnsi="ITC Avant Garde"/>
          <w:sz w:val="22"/>
          <w:szCs w:val="22"/>
          <w:lang w:val="es-MX"/>
        </w:rPr>
        <w:t>la</w:t>
      </w:r>
      <w:r w:rsidRPr="00422CA2">
        <w:rPr>
          <w:rFonts w:ascii="ITC Avant Garde" w:hAnsi="ITC Avant Garde"/>
          <w:sz w:val="22"/>
          <w:szCs w:val="22"/>
          <w:lang w:val="es-MX"/>
        </w:rPr>
        <w:t xml:space="preserve"> información tipo </w:t>
      </w:r>
      <w:r w:rsidR="00610E6F" w:rsidRPr="00422CA2">
        <w:rPr>
          <w:rFonts w:ascii="ITC Avant Garde" w:hAnsi="ITC Avant Garde"/>
          <w:sz w:val="22"/>
          <w:szCs w:val="22"/>
          <w:lang w:val="es-MX"/>
        </w:rPr>
        <w:t>“</w:t>
      </w:r>
      <w:r w:rsidRPr="00422CA2">
        <w:rPr>
          <w:rFonts w:ascii="ITC Avant Garde" w:hAnsi="ITC Avant Garde"/>
          <w:sz w:val="22"/>
          <w:szCs w:val="22"/>
          <w:lang w:val="es-MX"/>
        </w:rPr>
        <w:t>a</w:t>
      </w:r>
      <w:r w:rsidR="00610E6F" w:rsidRPr="00422CA2">
        <w:rPr>
          <w:rFonts w:ascii="ITC Avant Garde" w:hAnsi="ITC Avant Garde"/>
          <w:sz w:val="22"/>
          <w:szCs w:val="22"/>
          <w:lang w:val="es-MX"/>
        </w:rPr>
        <w:t>”</w:t>
      </w:r>
      <w:r w:rsidRPr="00422CA2">
        <w:rPr>
          <w:rFonts w:ascii="ITC Avant Garde" w:hAnsi="ITC Avant Garde"/>
          <w:sz w:val="22"/>
          <w:szCs w:val="22"/>
          <w:lang w:val="es-MX"/>
        </w:rPr>
        <w:t>.</w:t>
      </w:r>
    </w:p>
    <w:p w14:paraId="40E857A4" w14:textId="77777777" w:rsidR="00530A32" w:rsidRPr="00422CA2" w:rsidRDefault="00011A1B" w:rsidP="001642A1">
      <w:pPr>
        <w:pStyle w:val="Prrafodelista"/>
        <w:numPr>
          <w:ilvl w:val="0"/>
          <w:numId w:val="9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contestará a dicha solicitud en un plazo no mayor a 2 días hábiles, enviando al CS el formato correspondiente, el cual deberá ser firmado por el representante legal del CS y ser enviado al mismo correo electrónico, acompañado de copia del Título de Concesión (o Concesión Única), de copia del poder notarial que lo acredita como representante legal, y de copia de la identificación oficial del representante legal.</w:t>
      </w:r>
    </w:p>
    <w:p w14:paraId="40E857A7" w14:textId="47906C5F" w:rsidR="000F18A7" w:rsidRPr="00422CA2" w:rsidRDefault="00011A1B" w:rsidP="00343C9B">
      <w:pPr>
        <w:pStyle w:val="Prrafodelista"/>
        <w:numPr>
          <w:ilvl w:val="0"/>
          <w:numId w:val="9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 xml:space="preserve">En un plazo máximo de 15 días hábiles posteriores a la solicitud, Telmex contestará vía correo electrónico a la misma dirección en la que se hizo la petición, proporcionando usuario y contraseña para el acceso a la información vía la interfaz en la página de Internet. </w:t>
      </w:r>
    </w:p>
    <w:p w14:paraId="790EEADA" w14:textId="669BEFC2" w:rsidR="00343C9B" w:rsidRPr="00422CA2" w:rsidRDefault="00343C9B" w:rsidP="000F18A7">
      <w:pPr>
        <w:spacing w:line="360" w:lineRule="auto"/>
        <w:jc w:val="both"/>
        <w:rPr>
          <w:rFonts w:ascii="ITC Avant Garde" w:hAnsi="ITC Avant Garde"/>
          <w:sz w:val="22"/>
          <w:szCs w:val="22"/>
          <w:lang w:val="es-MX"/>
        </w:rPr>
      </w:pPr>
      <w:r w:rsidRPr="00422CA2">
        <w:rPr>
          <w:rFonts w:ascii="ITC Avant Garde" w:hAnsi="ITC Avant Garde"/>
          <w:noProof/>
          <w:lang w:val="es-MX" w:eastAsia="es-MX"/>
        </w:rPr>
        <w:drawing>
          <wp:inline distT="0" distB="0" distL="0" distR="0" wp14:anchorId="759229B0" wp14:editId="46ED687F">
            <wp:extent cx="5613400" cy="4268090"/>
            <wp:effectExtent l="19050" t="1905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3400" cy="4268090"/>
                    </a:xfrm>
                    <a:prstGeom prst="rect">
                      <a:avLst/>
                    </a:prstGeom>
                    <a:noFill/>
                    <a:ln>
                      <a:solidFill>
                        <a:schemeClr val="tx1"/>
                      </a:solidFill>
                    </a:ln>
                  </pic:spPr>
                </pic:pic>
              </a:graphicData>
            </a:graphic>
          </wp:inline>
        </w:drawing>
      </w:r>
    </w:p>
    <w:p w14:paraId="40E857A8" w14:textId="77777777" w:rsidR="00530A32" w:rsidRPr="00422CA2" w:rsidRDefault="00011A1B" w:rsidP="004129D1">
      <w:pPr>
        <w:pStyle w:val="Ttulo1"/>
      </w:pPr>
      <w:bookmarkStart w:id="148" w:name="_Toc436840874"/>
      <w:bookmarkStart w:id="149" w:name="_Toc436846311"/>
      <w:bookmarkStart w:id="150" w:name="_Toc436848261"/>
      <w:bookmarkStart w:id="151" w:name="_Toc436856509"/>
      <w:bookmarkStart w:id="152" w:name="_Toc436862655"/>
      <w:bookmarkStart w:id="153" w:name="_Toc436866305"/>
      <w:bookmarkStart w:id="154" w:name="_Toc436870884"/>
      <w:bookmarkStart w:id="155" w:name="_Toc436875876"/>
      <w:bookmarkStart w:id="156" w:name="_Toc437602064"/>
      <w:r w:rsidRPr="00422CA2">
        <w:t>3.1</w:t>
      </w:r>
      <w:r w:rsidR="00326841" w:rsidRPr="00422CA2">
        <w:t>.</w:t>
      </w:r>
      <w:r w:rsidRPr="00422CA2">
        <w:tab/>
        <w:t>Descripción de las bases de datos, documentos e información a la que se tiene acceso</w:t>
      </w:r>
      <w:bookmarkEnd w:id="148"/>
      <w:bookmarkEnd w:id="149"/>
      <w:bookmarkEnd w:id="150"/>
      <w:bookmarkEnd w:id="151"/>
      <w:bookmarkEnd w:id="152"/>
      <w:bookmarkEnd w:id="153"/>
      <w:bookmarkEnd w:id="154"/>
      <w:bookmarkEnd w:id="155"/>
      <w:bookmarkEnd w:id="156"/>
    </w:p>
    <w:p w14:paraId="40E857A9" w14:textId="01C8BDB2" w:rsidR="00530A32" w:rsidRPr="00422CA2" w:rsidRDefault="00011A1B" w:rsidP="001642A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información </w:t>
      </w:r>
      <w:r w:rsidR="00C65EDA" w:rsidRPr="00422CA2">
        <w:rPr>
          <w:rFonts w:ascii="ITC Avant Garde" w:hAnsi="ITC Avant Garde"/>
          <w:sz w:val="22"/>
          <w:szCs w:val="22"/>
          <w:lang w:val="es-MX"/>
        </w:rPr>
        <w:t xml:space="preserve">con la que cuenta Telmex que </w:t>
      </w:r>
      <w:r w:rsidRPr="00422CA2">
        <w:rPr>
          <w:rFonts w:ascii="ITC Avant Garde" w:hAnsi="ITC Avant Garde"/>
          <w:sz w:val="22"/>
          <w:szCs w:val="22"/>
          <w:lang w:val="es-MX"/>
        </w:rPr>
        <w:t>se pondrá a disposición de los CS</w:t>
      </w:r>
      <w:r w:rsidR="00C37850" w:rsidRPr="00422CA2">
        <w:rPr>
          <w:rFonts w:ascii="ITC Avant Garde" w:hAnsi="ITC Avant Garde"/>
          <w:sz w:val="22"/>
          <w:szCs w:val="22"/>
          <w:lang w:val="es-MX"/>
        </w:rPr>
        <w:t>, a través de una interfaz en el sitio de Internet en el que Telmex publique su OREDA,</w:t>
      </w:r>
      <w:r w:rsidR="001642A1" w:rsidRPr="00422CA2">
        <w:rPr>
          <w:rFonts w:ascii="ITC Avant Garde" w:hAnsi="ITC Avant Garde"/>
          <w:sz w:val="22"/>
          <w:szCs w:val="22"/>
          <w:lang w:val="es-MX"/>
        </w:rPr>
        <w:t xml:space="preserve"> </w:t>
      </w:r>
      <w:r w:rsidRPr="00422CA2">
        <w:rPr>
          <w:rFonts w:ascii="ITC Avant Garde" w:hAnsi="ITC Avant Garde"/>
          <w:sz w:val="22"/>
          <w:szCs w:val="22"/>
          <w:lang w:val="es-MX"/>
        </w:rPr>
        <w:t xml:space="preserve">se clasificará en los siguientes 9 tipos de bases de datos, y en los </w:t>
      </w:r>
      <w:r w:rsidRPr="00422CA2">
        <w:rPr>
          <w:rFonts w:ascii="ITC Avant Garde" w:hAnsi="ITC Avant Garde"/>
          <w:i/>
          <w:sz w:val="22"/>
          <w:szCs w:val="22"/>
          <w:lang w:val="es-MX"/>
        </w:rPr>
        <w:t>layout</w:t>
      </w:r>
      <w:r w:rsidRPr="00422CA2">
        <w:rPr>
          <w:rFonts w:ascii="ITC Avant Garde" w:hAnsi="ITC Avant Garde"/>
          <w:sz w:val="22"/>
          <w:szCs w:val="22"/>
          <w:lang w:val="es-MX"/>
        </w:rPr>
        <w:t xml:space="preserve"> que se definen a continuación</w:t>
      </w:r>
      <w:r w:rsidR="00C65EDA" w:rsidRPr="00422CA2">
        <w:rPr>
          <w:rFonts w:ascii="ITC Avant Garde" w:hAnsi="ITC Avant Garde"/>
          <w:sz w:val="22"/>
          <w:szCs w:val="22"/>
          <w:lang w:val="es-MX"/>
        </w:rPr>
        <w:t>. Existe información que por su naturaleza se actualiza constantemente, por lo que, para esta información como para aquellos donde no se cuente con la misma, se realizará una carga inicial que se irá actualizando</w:t>
      </w:r>
      <w:r w:rsidRPr="00422CA2">
        <w:rPr>
          <w:rFonts w:ascii="ITC Avant Garde" w:hAnsi="ITC Avant Garde"/>
          <w:sz w:val="22"/>
          <w:szCs w:val="22"/>
          <w:lang w:val="es-MX"/>
        </w:rPr>
        <w:t>:</w:t>
      </w:r>
    </w:p>
    <w:p w14:paraId="40E857AB" w14:textId="77777777" w:rsidR="004E78E0" w:rsidRPr="00422CA2" w:rsidRDefault="004E78E0" w:rsidP="009562CF">
      <w:pPr>
        <w:spacing w:after="200" w:line="276" w:lineRule="auto"/>
        <w:jc w:val="both"/>
        <w:rPr>
          <w:rFonts w:ascii="ITC Avant Garde" w:hAnsi="ITC Avant Garde"/>
          <w:b/>
          <w:sz w:val="22"/>
          <w:szCs w:val="22"/>
        </w:rPr>
      </w:pPr>
      <w:r w:rsidRPr="00422CA2">
        <w:rPr>
          <w:rFonts w:ascii="ITC Avant Garde" w:hAnsi="ITC Avant Garde"/>
          <w:b/>
          <w:sz w:val="22"/>
          <w:szCs w:val="22"/>
        </w:rPr>
        <w:t xml:space="preserve">Información tipo </w:t>
      </w:r>
      <w:r w:rsidR="00610E6F" w:rsidRPr="00422CA2">
        <w:rPr>
          <w:rFonts w:ascii="ITC Avant Garde" w:hAnsi="ITC Avant Garde"/>
          <w:b/>
          <w:sz w:val="22"/>
          <w:szCs w:val="22"/>
        </w:rPr>
        <w:t>“</w:t>
      </w:r>
      <w:r w:rsidRPr="00422CA2">
        <w:rPr>
          <w:rFonts w:ascii="ITC Avant Garde" w:hAnsi="ITC Avant Garde"/>
          <w:b/>
          <w:sz w:val="22"/>
          <w:szCs w:val="22"/>
        </w:rPr>
        <w:t>a</w:t>
      </w:r>
      <w:r w:rsidR="00610E6F" w:rsidRPr="00422CA2">
        <w:rPr>
          <w:rFonts w:ascii="ITC Avant Garde" w:hAnsi="ITC Avant Garde"/>
          <w:b/>
          <w:sz w:val="22"/>
          <w:szCs w:val="22"/>
        </w:rPr>
        <w:t>”</w:t>
      </w:r>
      <w:r w:rsidRPr="00422CA2">
        <w:rPr>
          <w:rFonts w:ascii="ITC Avant Garde" w:hAnsi="ITC Avant Garde"/>
          <w:b/>
          <w:sz w:val="22"/>
          <w:szCs w:val="22"/>
        </w:rPr>
        <w:t>:</w:t>
      </w:r>
    </w:p>
    <w:p w14:paraId="16034017" w14:textId="678D87E1" w:rsidR="00CB5EF4" w:rsidRPr="00422CA2" w:rsidRDefault="00CB5EF4"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rPr>
        <w:lastRenderedPageBreak/>
        <w:t>La información de estas bases de datos deberá estar disponible para los CS en formato compatible con programas procesadores de hojas de cálculo de uso estandarizado</w:t>
      </w:r>
    </w:p>
    <w:p w14:paraId="40E857AC"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1: Central Telefónica o Instalación Equivalente</w:t>
      </w:r>
    </w:p>
    <w:p w14:paraId="40E857AD"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Nombre de la Central Telefónica o Instalación Equivalente.</w:t>
      </w:r>
    </w:p>
    <w:p w14:paraId="40E857AE"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la Central Telefónica o Instalación Equivalente.</w:t>
      </w:r>
    </w:p>
    <w:p w14:paraId="40E857AF"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Tipo de tecnología en la Central Telefónica o Instalación Equivalente.</w:t>
      </w:r>
    </w:p>
    <w:p w14:paraId="40E857B0"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Tipo de Central Telefónica o Instalación Equivalente.</w:t>
      </w:r>
    </w:p>
    <w:p w14:paraId="40E857B1"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Centrales Telefónicas o Instalaciones Equivalentes acondicionadas, no acondicionadas y en proceso de acondicionar para desagregación.</w:t>
      </w:r>
    </w:p>
    <w:p w14:paraId="40E857B2"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Tipo de punto de acceso para desagregación.</w:t>
      </w:r>
    </w:p>
    <w:p w14:paraId="40E857B3"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Listado de códigos identificadores de CD asociadas a Centrales Telefónicas o Instalaciones Equivalentes.</w:t>
      </w:r>
    </w:p>
    <w:p w14:paraId="40E857B4"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Localización exacta: coordenadas geográficas (latitud y longitud) y dirección completa (Población, Municipio, Estado, calle, referencia (entre que calles), número, etc.).</w:t>
      </w:r>
    </w:p>
    <w:p w14:paraId="40E857B5"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Indicar si la central cuenta con numeración.</w:t>
      </w:r>
    </w:p>
    <w:p w14:paraId="40E857B6"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Rangos de numeración cubiertos por cada Central Telefónica o Instalación Equivalente.</w:t>
      </w:r>
    </w:p>
    <w:p w14:paraId="40E857B7" w14:textId="23FC4145"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Número de pares </w:t>
      </w:r>
      <w:r w:rsidR="0001151F" w:rsidRPr="00422CA2">
        <w:rPr>
          <w:rFonts w:ascii="ITC Avant Garde" w:hAnsi="ITC Avant Garde"/>
          <w:sz w:val="22"/>
          <w:szCs w:val="22"/>
        </w:rPr>
        <w:t>de cobre</w:t>
      </w:r>
      <w:r w:rsidRPr="00422CA2">
        <w:rPr>
          <w:rFonts w:ascii="ITC Avant Garde" w:hAnsi="ITC Avant Garde"/>
          <w:sz w:val="22"/>
          <w:szCs w:val="22"/>
        </w:rPr>
        <w:t xml:space="preserve"> ocupados en cada Central Telefónica o Instalación Equivalente.</w:t>
      </w:r>
    </w:p>
    <w:p w14:paraId="60647127" w14:textId="25B73B06" w:rsidR="00B22BA8"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Número de pares </w:t>
      </w:r>
      <w:r w:rsidR="0001151F" w:rsidRPr="00422CA2">
        <w:rPr>
          <w:rFonts w:ascii="ITC Avant Garde" w:hAnsi="ITC Avant Garde"/>
          <w:sz w:val="22"/>
          <w:szCs w:val="22"/>
        </w:rPr>
        <w:t xml:space="preserve">de cobre </w:t>
      </w:r>
      <w:r w:rsidRPr="00422CA2">
        <w:rPr>
          <w:rFonts w:ascii="ITC Avant Garde" w:hAnsi="ITC Avant Garde"/>
          <w:sz w:val="22"/>
          <w:szCs w:val="22"/>
        </w:rPr>
        <w:t>vacantes en cada Central Telefónica o Instalación Equivalente.</w:t>
      </w:r>
    </w:p>
    <w:p w14:paraId="07F870D6" w14:textId="46B50875" w:rsidR="00B22BA8" w:rsidRPr="00422CA2" w:rsidRDefault="00B22BA8"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Cobertura de fibra óptica en número de casas pasadas en cada Central Telefónica o Instalación Equivalente.</w:t>
      </w:r>
    </w:p>
    <w:p w14:paraId="2210E45B" w14:textId="6891708D" w:rsidR="00B22BA8" w:rsidRPr="00422CA2" w:rsidRDefault="00B22BA8"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Número de usuarios atendidos con fibra óptica en cada Central Telefónica o Instalación Equivalente.</w:t>
      </w:r>
    </w:p>
    <w:p w14:paraId="40E857B9"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Espacio disponible para coubicación (por modalidad).</w:t>
      </w:r>
    </w:p>
    <w:p w14:paraId="40E857BA" w14:textId="5363909C"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 xml:space="preserve">Espacio disponible en predio de </w:t>
      </w:r>
      <w:r w:rsidR="00E64508" w:rsidRPr="00422CA2">
        <w:rPr>
          <w:rFonts w:ascii="ITC Avant Garde" w:hAnsi="ITC Avant Garde"/>
          <w:sz w:val="22"/>
          <w:szCs w:val="22"/>
        </w:rPr>
        <w:t xml:space="preserve">Telmex </w:t>
      </w:r>
      <w:r w:rsidRPr="00422CA2">
        <w:rPr>
          <w:rFonts w:ascii="ITC Avant Garde" w:hAnsi="ITC Avant Garde"/>
          <w:sz w:val="22"/>
          <w:szCs w:val="22"/>
        </w:rPr>
        <w:t xml:space="preserve">(superficie del predio sin contar la superficie del edificio). </w:t>
      </w:r>
    </w:p>
    <w:p w14:paraId="40E857BB" w14:textId="028BDBB2"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Pares </w:t>
      </w:r>
      <w:r w:rsidR="0001151F" w:rsidRPr="00422CA2">
        <w:rPr>
          <w:rFonts w:ascii="ITC Avant Garde" w:hAnsi="ITC Avant Garde"/>
          <w:sz w:val="22"/>
          <w:szCs w:val="22"/>
        </w:rPr>
        <w:t xml:space="preserve">de cobre </w:t>
      </w:r>
      <w:r w:rsidRPr="00422CA2">
        <w:rPr>
          <w:rFonts w:ascii="ITC Avant Garde" w:hAnsi="ITC Avant Garde"/>
          <w:sz w:val="22"/>
          <w:szCs w:val="22"/>
        </w:rPr>
        <w:t>principales y secundarios instalados, disponibles y libres.</w:t>
      </w:r>
    </w:p>
    <w:p w14:paraId="40E857BD"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2: Cajas de Distribución (CD)</w:t>
      </w:r>
    </w:p>
    <w:p w14:paraId="40E857BE" w14:textId="77777777" w:rsidR="004E78E0" w:rsidRPr="00422CA2" w:rsidRDefault="004E78E0" w:rsidP="009562CF">
      <w:pPr>
        <w:numPr>
          <w:ilvl w:val="0"/>
          <w:numId w:val="97"/>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cada CD.</w:t>
      </w:r>
    </w:p>
    <w:p w14:paraId="40E857BF"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Indicar las CD acondicionadas, no acondicionadas y en proceso de acondicionar para desagregación.</w:t>
      </w:r>
    </w:p>
    <w:p w14:paraId="40E857C0"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Listado de códigos identificadores de las Centrales Telefónicas o Instalaciones Equivalentes a las que pertenece cada CD.</w:t>
      </w:r>
    </w:p>
    <w:p w14:paraId="40E857C1" w14:textId="77833BCB"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Código identificador de cada Anexo de </w:t>
      </w:r>
      <w:r w:rsidR="00775272" w:rsidRPr="00422CA2">
        <w:rPr>
          <w:rFonts w:ascii="ITC Avant Garde" w:hAnsi="ITC Avant Garde"/>
          <w:sz w:val="22"/>
          <w:szCs w:val="22"/>
        </w:rPr>
        <w:t>Caja</w:t>
      </w:r>
      <w:r w:rsidRPr="00422CA2">
        <w:rPr>
          <w:rFonts w:ascii="ITC Avant Garde" w:hAnsi="ITC Avant Garde"/>
          <w:sz w:val="22"/>
          <w:szCs w:val="22"/>
        </w:rPr>
        <w:t xml:space="preserve"> de </w:t>
      </w:r>
      <w:r w:rsidR="00775272" w:rsidRPr="00422CA2">
        <w:rPr>
          <w:rFonts w:ascii="ITC Avant Garde" w:hAnsi="ITC Avant Garde"/>
          <w:sz w:val="22"/>
          <w:szCs w:val="22"/>
        </w:rPr>
        <w:t>Distribución</w:t>
      </w:r>
      <w:r w:rsidRPr="00422CA2">
        <w:rPr>
          <w:rFonts w:ascii="ITC Avant Garde" w:hAnsi="ITC Avant Garde"/>
          <w:sz w:val="22"/>
          <w:szCs w:val="22"/>
        </w:rPr>
        <w:t>.</w:t>
      </w:r>
    </w:p>
    <w:p w14:paraId="40E857C2" w14:textId="13EDFDFB"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Localización </w:t>
      </w:r>
      <w:r w:rsidR="001270FD" w:rsidRPr="00422CA2">
        <w:rPr>
          <w:rFonts w:ascii="ITC Avant Garde" w:hAnsi="ITC Avant Garde"/>
          <w:sz w:val="22"/>
          <w:szCs w:val="22"/>
        </w:rPr>
        <w:t xml:space="preserve">(latitud y longitud) </w:t>
      </w:r>
      <w:r w:rsidR="00E30BA8" w:rsidRPr="00422CA2">
        <w:rPr>
          <w:rFonts w:ascii="ITC Avant Garde" w:hAnsi="ITC Avant Garde"/>
          <w:sz w:val="22"/>
          <w:szCs w:val="22"/>
        </w:rPr>
        <w:t xml:space="preserve">y </w:t>
      </w:r>
      <w:r w:rsidRPr="00422CA2">
        <w:rPr>
          <w:rFonts w:ascii="ITC Avant Garde" w:hAnsi="ITC Avant Garde"/>
          <w:sz w:val="22"/>
          <w:szCs w:val="22"/>
        </w:rPr>
        <w:t>dirección (Población, Municipio, Estado</w:t>
      </w:r>
      <w:r w:rsidR="00E30BA8" w:rsidRPr="00422CA2">
        <w:rPr>
          <w:rFonts w:ascii="ITC Avant Garde" w:hAnsi="ITC Avant Garde"/>
          <w:sz w:val="22"/>
          <w:szCs w:val="22"/>
        </w:rPr>
        <w:t>)</w:t>
      </w:r>
    </w:p>
    <w:p w14:paraId="40E857C3"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Número de pares ocupados en cada CD.</w:t>
      </w:r>
    </w:p>
    <w:p w14:paraId="40E857C4"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Número de pares vacantes en cada CD.</w:t>
      </w:r>
    </w:p>
    <w:p w14:paraId="40E857C6"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3: Área atendida por cobre</w:t>
      </w:r>
    </w:p>
    <w:p w14:paraId="40E857C7" w14:textId="77777777" w:rsidR="004E78E0" w:rsidRPr="00422CA2" w:rsidRDefault="00E30BA8"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Colonias </w:t>
      </w:r>
      <w:r w:rsidR="004E78E0" w:rsidRPr="00422CA2">
        <w:rPr>
          <w:rFonts w:ascii="ITC Avant Garde" w:hAnsi="ITC Avant Garde"/>
          <w:sz w:val="22"/>
          <w:szCs w:val="22"/>
        </w:rPr>
        <w:t>atendida</w:t>
      </w:r>
      <w:r w:rsidRPr="00422CA2">
        <w:rPr>
          <w:rFonts w:ascii="ITC Avant Garde" w:hAnsi="ITC Avant Garde"/>
          <w:sz w:val="22"/>
          <w:szCs w:val="22"/>
        </w:rPr>
        <w:t>s</w:t>
      </w:r>
      <w:r w:rsidR="004E78E0" w:rsidRPr="00422CA2">
        <w:rPr>
          <w:rFonts w:ascii="ITC Avant Garde" w:hAnsi="ITC Avant Garde"/>
          <w:sz w:val="22"/>
          <w:szCs w:val="22"/>
        </w:rPr>
        <w:t xml:space="preserve"> por cada Central Telefónica o Instalación Equivalente asociadas a despliegue de cobre (en formato compatible con sistemas de información geográfica).</w:t>
      </w:r>
    </w:p>
    <w:p w14:paraId="40E857C8"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Listado de calles </w:t>
      </w:r>
      <w:r w:rsidR="00E30BA8" w:rsidRPr="00422CA2">
        <w:rPr>
          <w:rFonts w:ascii="ITC Avant Garde" w:hAnsi="ITC Avant Garde"/>
          <w:sz w:val="22"/>
          <w:szCs w:val="22"/>
        </w:rPr>
        <w:t>en el</w:t>
      </w:r>
      <w:r w:rsidRPr="00422CA2">
        <w:rPr>
          <w:rFonts w:ascii="ITC Avant Garde" w:hAnsi="ITC Avant Garde"/>
          <w:sz w:val="22"/>
          <w:szCs w:val="22"/>
        </w:rPr>
        <w:t xml:space="preserve"> área atendida por cada Central Telefónica o Instalación Equivalente. </w:t>
      </w:r>
    </w:p>
    <w:p w14:paraId="40E857C9"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Centrales Telefónicas o Instalaciones Equivalentes: longitud media</w:t>
      </w:r>
      <w:r w:rsidR="00E30BA8" w:rsidRPr="00422CA2">
        <w:rPr>
          <w:rFonts w:ascii="ITC Avant Garde" w:hAnsi="ITC Avant Garde"/>
          <w:sz w:val="22"/>
          <w:szCs w:val="22"/>
        </w:rPr>
        <w:t xml:space="preserve"> de los bucles</w:t>
      </w:r>
      <w:r w:rsidRPr="00422CA2">
        <w:rPr>
          <w:rFonts w:ascii="ITC Avant Garde" w:hAnsi="ITC Avant Garde"/>
          <w:sz w:val="22"/>
          <w:szCs w:val="22"/>
        </w:rPr>
        <w:t>.</w:t>
      </w:r>
    </w:p>
    <w:p w14:paraId="40E857CA"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Fecha de actualización de las bases de datos.</w:t>
      </w:r>
    </w:p>
    <w:p w14:paraId="40E857CC"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4: Área atendida por fibra óptica</w:t>
      </w:r>
    </w:p>
    <w:p w14:paraId="40E857CD"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Mapas geográficos a escala del área atendida por cada Central Telefónica o Instalación Equivalente asociadas al despliegue de fibra óptica punto multipunto (en formato compatible con sistemas de información geográfica). </w:t>
      </w:r>
    </w:p>
    <w:p w14:paraId="40E857CE" w14:textId="77777777" w:rsidR="004E78E0" w:rsidRPr="00422CA2" w:rsidRDefault="004E78E0" w:rsidP="009562CF">
      <w:pPr>
        <w:numPr>
          <w:ilvl w:val="0"/>
          <w:numId w:val="92"/>
        </w:numPr>
        <w:spacing w:after="200" w:line="276" w:lineRule="auto"/>
        <w:jc w:val="both"/>
        <w:rPr>
          <w:rFonts w:ascii="ITC Avant Garde" w:hAnsi="ITC Avant Garde"/>
          <w:sz w:val="22"/>
          <w:szCs w:val="22"/>
        </w:rPr>
      </w:pPr>
      <w:r w:rsidRPr="00422CA2">
        <w:rPr>
          <w:rFonts w:ascii="ITC Avant Garde" w:hAnsi="ITC Avant Garde"/>
          <w:sz w:val="22"/>
          <w:szCs w:val="22"/>
        </w:rPr>
        <w:t>Fecha de actualización de las bases de datos.</w:t>
      </w:r>
    </w:p>
    <w:p w14:paraId="40E857D0" w14:textId="77777777" w:rsidR="004E78E0" w:rsidRPr="00422CA2" w:rsidRDefault="004E78E0" w:rsidP="009562CF">
      <w:pPr>
        <w:spacing w:after="200" w:line="276" w:lineRule="auto"/>
        <w:jc w:val="both"/>
        <w:rPr>
          <w:rFonts w:ascii="ITC Avant Garde" w:hAnsi="ITC Avant Garde"/>
          <w:sz w:val="22"/>
          <w:szCs w:val="22"/>
        </w:rPr>
      </w:pPr>
      <w:r w:rsidRPr="00422CA2">
        <w:rPr>
          <w:rFonts w:ascii="ITC Avant Garde" w:hAnsi="ITC Avant Garde"/>
          <w:sz w:val="22"/>
          <w:szCs w:val="22"/>
          <w:u w:val="single"/>
        </w:rPr>
        <w:lastRenderedPageBreak/>
        <w:t>BASE 5: Unidades básicas</w:t>
      </w:r>
      <w:r w:rsidRPr="00422CA2">
        <w:rPr>
          <w:rFonts w:ascii="ITC Avant Garde" w:hAnsi="ITC Avant Garde"/>
          <w:sz w:val="22"/>
          <w:szCs w:val="22"/>
        </w:rPr>
        <w:t xml:space="preserve"> </w:t>
      </w:r>
    </w:p>
    <w:p w14:paraId="40E857D1" w14:textId="77777777" w:rsidR="004E78E0" w:rsidRPr="00422CA2" w:rsidRDefault="004E78E0" w:rsidP="009562CF">
      <w:pPr>
        <w:numPr>
          <w:ilvl w:val="0"/>
          <w:numId w:val="94"/>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cada unidad básica.</w:t>
      </w:r>
    </w:p>
    <w:p w14:paraId="40E857D2" w14:textId="77777777" w:rsidR="004E78E0" w:rsidRPr="00422CA2" w:rsidRDefault="004E78E0" w:rsidP="009562CF">
      <w:pPr>
        <w:numPr>
          <w:ilvl w:val="0"/>
          <w:numId w:val="94"/>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la Central Telefónica o Instalación Equivalente a la que pertenece cada unidad básica.</w:t>
      </w:r>
    </w:p>
    <w:p w14:paraId="40E857D3" w14:textId="77777777" w:rsidR="004E78E0" w:rsidRPr="00422CA2" w:rsidRDefault="00E30BA8" w:rsidP="009562CF">
      <w:pPr>
        <w:numPr>
          <w:ilvl w:val="0"/>
          <w:numId w:val="94"/>
        </w:numPr>
        <w:spacing w:after="200" w:line="276" w:lineRule="auto"/>
        <w:jc w:val="both"/>
        <w:rPr>
          <w:rFonts w:ascii="ITC Avant Garde" w:hAnsi="ITC Avant Garde"/>
          <w:sz w:val="22"/>
          <w:szCs w:val="22"/>
        </w:rPr>
      </w:pPr>
      <w:r w:rsidRPr="00422CA2">
        <w:rPr>
          <w:rFonts w:ascii="ITC Avant Garde" w:hAnsi="ITC Avant Garde"/>
          <w:sz w:val="22"/>
          <w:szCs w:val="22"/>
        </w:rPr>
        <w:t>T</w:t>
      </w:r>
      <w:r w:rsidR="004E78E0" w:rsidRPr="00422CA2">
        <w:rPr>
          <w:rFonts w:ascii="ITC Avant Garde" w:hAnsi="ITC Avant Garde"/>
          <w:sz w:val="22"/>
          <w:szCs w:val="22"/>
        </w:rPr>
        <w:t>ecnología y modulación (ADSL, ADSL2, ADSL2+, VDSL, VDSL2, entre otras)</w:t>
      </w:r>
      <w:r w:rsidRPr="00422CA2">
        <w:rPr>
          <w:rFonts w:ascii="ITC Avant Garde" w:hAnsi="ITC Avant Garde"/>
          <w:sz w:val="22"/>
          <w:szCs w:val="22"/>
        </w:rPr>
        <w:t xml:space="preserve"> por central</w:t>
      </w:r>
      <w:r w:rsidR="004E78E0" w:rsidRPr="00422CA2">
        <w:rPr>
          <w:rFonts w:ascii="ITC Avant Garde" w:hAnsi="ITC Avant Garde"/>
          <w:sz w:val="22"/>
          <w:szCs w:val="22"/>
        </w:rPr>
        <w:t>.</w:t>
      </w:r>
    </w:p>
    <w:p w14:paraId="40E857D5"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6: Información para el SAIB</w:t>
      </w:r>
    </w:p>
    <w:p w14:paraId="40E857D6" w14:textId="77777777" w:rsidR="004E78E0" w:rsidRPr="00422CA2" w:rsidRDefault="004E78E0" w:rsidP="009562CF">
      <w:pPr>
        <w:numPr>
          <w:ilvl w:val="0"/>
          <w:numId w:val="95"/>
        </w:numPr>
        <w:spacing w:after="200" w:line="276" w:lineRule="auto"/>
        <w:jc w:val="both"/>
        <w:rPr>
          <w:rFonts w:ascii="ITC Avant Garde" w:hAnsi="ITC Avant Garde"/>
          <w:sz w:val="22"/>
          <w:szCs w:val="22"/>
        </w:rPr>
      </w:pPr>
      <w:r w:rsidRPr="00422CA2">
        <w:rPr>
          <w:rFonts w:ascii="ITC Avant Garde" w:hAnsi="ITC Avant Garde"/>
          <w:sz w:val="22"/>
          <w:szCs w:val="22"/>
        </w:rPr>
        <w:t>Nombre de la Central Telefónica o Instalación Equivalente donde están dados de alta los puntos de concentración.</w:t>
      </w:r>
    </w:p>
    <w:p w14:paraId="40E857D7" w14:textId="77777777" w:rsidR="004E78E0" w:rsidRPr="00422CA2" w:rsidRDefault="004E78E0" w:rsidP="009562CF">
      <w:pPr>
        <w:numPr>
          <w:ilvl w:val="0"/>
          <w:numId w:val="95"/>
        </w:numPr>
        <w:spacing w:after="200" w:line="276" w:lineRule="auto"/>
        <w:jc w:val="both"/>
        <w:rPr>
          <w:rFonts w:ascii="ITC Avant Garde" w:hAnsi="ITC Avant Garde"/>
          <w:sz w:val="22"/>
          <w:szCs w:val="22"/>
        </w:rPr>
      </w:pPr>
      <w:r w:rsidRPr="00422CA2">
        <w:rPr>
          <w:rFonts w:ascii="ITC Avant Garde" w:hAnsi="ITC Avant Garde"/>
          <w:sz w:val="22"/>
          <w:szCs w:val="22"/>
        </w:rPr>
        <w:t>Tipo de puntos de concentración (local, regional y nacional, u otros).</w:t>
      </w:r>
    </w:p>
    <w:p w14:paraId="40E857D8" w14:textId="77777777" w:rsidR="004E78E0" w:rsidRPr="00422CA2" w:rsidRDefault="004E78E0" w:rsidP="009562CF">
      <w:pPr>
        <w:numPr>
          <w:ilvl w:val="0"/>
          <w:numId w:val="95"/>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w:t>
      </w:r>
    </w:p>
    <w:p w14:paraId="40E857D9" w14:textId="77777777" w:rsidR="004E78E0" w:rsidRPr="00422CA2" w:rsidRDefault="004E78E0" w:rsidP="009562CF">
      <w:pPr>
        <w:numPr>
          <w:ilvl w:val="0"/>
          <w:numId w:val="95"/>
        </w:numPr>
        <w:spacing w:after="200" w:line="276" w:lineRule="auto"/>
        <w:jc w:val="both"/>
        <w:rPr>
          <w:rFonts w:ascii="ITC Avant Garde" w:hAnsi="ITC Avant Garde"/>
          <w:sz w:val="22"/>
          <w:szCs w:val="22"/>
        </w:rPr>
      </w:pPr>
      <w:r w:rsidRPr="00422CA2">
        <w:rPr>
          <w:rFonts w:ascii="ITC Avant Garde" w:hAnsi="ITC Avant Garde"/>
          <w:sz w:val="22"/>
          <w:szCs w:val="22"/>
        </w:rPr>
        <w:t>Localización exacta: coordenadas geográficas (latitud y longitud) y dirección completa (Población, Municipio, Estado, calle, referencia (entre que calles), número, etc.).</w:t>
      </w:r>
    </w:p>
    <w:p w14:paraId="40E857DA" w14:textId="77777777" w:rsidR="004E78E0" w:rsidRPr="00422CA2" w:rsidRDefault="004E78E0" w:rsidP="009562CF">
      <w:pPr>
        <w:numPr>
          <w:ilvl w:val="0"/>
          <w:numId w:val="96"/>
        </w:numPr>
        <w:spacing w:after="200" w:line="276" w:lineRule="auto"/>
        <w:jc w:val="both"/>
        <w:rPr>
          <w:rFonts w:ascii="ITC Avant Garde" w:hAnsi="ITC Avant Garde"/>
          <w:sz w:val="22"/>
          <w:szCs w:val="22"/>
        </w:rPr>
      </w:pPr>
      <w:r w:rsidRPr="00422CA2">
        <w:rPr>
          <w:rFonts w:ascii="ITC Avant Garde" w:hAnsi="ITC Avant Garde"/>
          <w:sz w:val="22"/>
          <w:szCs w:val="22"/>
        </w:rPr>
        <w:t>Tecnología disponible (a través de fibra óptica o cobre).</w:t>
      </w:r>
    </w:p>
    <w:p w14:paraId="40E857DB" w14:textId="77777777" w:rsidR="004E78E0" w:rsidRPr="00422CA2" w:rsidRDefault="004E78E0" w:rsidP="009562CF">
      <w:pPr>
        <w:numPr>
          <w:ilvl w:val="0"/>
          <w:numId w:val="96"/>
        </w:numPr>
        <w:spacing w:after="200" w:line="276" w:lineRule="auto"/>
        <w:jc w:val="both"/>
        <w:rPr>
          <w:rFonts w:ascii="ITC Avant Garde" w:hAnsi="ITC Avant Garde"/>
          <w:sz w:val="22"/>
          <w:szCs w:val="22"/>
        </w:rPr>
      </w:pPr>
      <w:r w:rsidRPr="00422CA2">
        <w:rPr>
          <w:rFonts w:ascii="ITC Avant Garde" w:hAnsi="ITC Avant Garde"/>
          <w:sz w:val="22"/>
          <w:szCs w:val="22"/>
        </w:rPr>
        <w:t>Centrales Telefónicas o Instalaciones Equivalentes asociadas a cada punto de concentración.</w:t>
      </w:r>
    </w:p>
    <w:p w14:paraId="40E857DC" w14:textId="77777777" w:rsidR="004E78E0" w:rsidRPr="00422CA2" w:rsidRDefault="004E78E0" w:rsidP="009562CF">
      <w:pPr>
        <w:numPr>
          <w:ilvl w:val="0"/>
          <w:numId w:val="96"/>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del NCAI asociado</w:t>
      </w:r>
    </w:p>
    <w:p w14:paraId="40E857DD" w14:textId="77777777" w:rsidR="004E78E0" w:rsidRPr="00422CA2" w:rsidRDefault="004E78E0" w:rsidP="009562CF">
      <w:pPr>
        <w:numPr>
          <w:ilvl w:val="0"/>
          <w:numId w:val="96"/>
        </w:numPr>
        <w:spacing w:after="200" w:line="276" w:lineRule="auto"/>
        <w:jc w:val="both"/>
        <w:rPr>
          <w:rFonts w:ascii="ITC Avant Garde" w:hAnsi="ITC Avant Garde"/>
          <w:sz w:val="22"/>
          <w:szCs w:val="22"/>
        </w:rPr>
      </w:pPr>
      <w:r w:rsidRPr="00422CA2">
        <w:rPr>
          <w:rFonts w:ascii="ITC Avant Garde" w:hAnsi="ITC Avant Garde"/>
          <w:sz w:val="22"/>
          <w:szCs w:val="22"/>
        </w:rPr>
        <w:t>Numero de puertos por capacidad, instalados y libres</w:t>
      </w:r>
    </w:p>
    <w:p w14:paraId="40E857DF" w14:textId="77777777" w:rsidR="004E78E0" w:rsidRPr="00422CA2" w:rsidRDefault="004E78E0" w:rsidP="009562CF">
      <w:pPr>
        <w:spacing w:after="200" w:line="276" w:lineRule="auto"/>
        <w:jc w:val="both"/>
        <w:rPr>
          <w:rFonts w:ascii="ITC Avant Garde" w:hAnsi="ITC Avant Garde"/>
          <w:b/>
          <w:sz w:val="22"/>
          <w:szCs w:val="22"/>
        </w:rPr>
      </w:pPr>
      <w:r w:rsidRPr="00422CA2">
        <w:rPr>
          <w:rFonts w:ascii="ITC Avant Garde" w:hAnsi="ITC Avant Garde"/>
          <w:b/>
          <w:sz w:val="22"/>
          <w:szCs w:val="22"/>
        </w:rPr>
        <w:t xml:space="preserve">Información tipo </w:t>
      </w:r>
      <w:r w:rsidR="00F865C7" w:rsidRPr="00422CA2">
        <w:rPr>
          <w:rFonts w:ascii="ITC Avant Garde" w:hAnsi="ITC Avant Garde"/>
          <w:b/>
          <w:sz w:val="22"/>
          <w:szCs w:val="22"/>
        </w:rPr>
        <w:t>“</w:t>
      </w:r>
      <w:r w:rsidRPr="00422CA2">
        <w:rPr>
          <w:rFonts w:ascii="ITC Avant Garde" w:hAnsi="ITC Avant Garde"/>
          <w:b/>
          <w:sz w:val="22"/>
          <w:szCs w:val="22"/>
        </w:rPr>
        <w:t>b</w:t>
      </w:r>
      <w:r w:rsidR="00F865C7" w:rsidRPr="00422CA2">
        <w:rPr>
          <w:rFonts w:ascii="ITC Avant Garde" w:hAnsi="ITC Avant Garde"/>
          <w:b/>
          <w:sz w:val="22"/>
          <w:szCs w:val="22"/>
        </w:rPr>
        <w:t>”</w:t>
      </w:r>
      <w:r w:rsidRPr="00422CA2">
        <w:rPr>
          <w:rFonts w:ascii="ITC Avant Garde" w:hAnsi="ITC Avant Garde"/>
          <w:b/>
          <w:sz w:val="22"/>
          <w:szCs w:val="22"/>
        </w:rPr>
        <w:t>:</w:t>
      </w:r>
    </w:p>
    <w:p w14:paraId="05B90A76" w14:textId="6B6C1627" w:rsidR="00CB5EF4" w:rsidRPr="00422CA2" w:rsidRDefault="00CB5EF4"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rPr>
        <w:t>Esta información deberá ser accesible por el CS en forma de consulta por unidad básica y/o  pares o bucles individuales y</w:t>
      </w:r>
      <w:r w:rsidR="0001151F" w:rsidRPr="00422CA2">
        <w:rPr>
          <w:rFonts w:ascii="ITC Avant Garde" w:hAnsi="ITC Avant Garde"/>
          <w:sz w:val="22"/>
          <w:szCs w:val="22"/>
        </w:rPr>
        <w:t>a</w:t>
      </w:r>
      <w:r w:rsidRPr="00422CA2">
        <w:rPr>
          <w:rFonts w:ascii="ITC Avant Garde" w:hAnsi="ITC Avant Garde"/>
          <w:sz w:val="22"/>
          <w:szCs w:val="22"/>
        </w:rPr>
        <w:t xml:space="preserve"> sea por el Sistema de Captura o a través del SEG cuando este último entre en operación.</w:t>
      </w:r>
    </w:p>
    <w:p w14:paraId="40E857E0"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7: Parámetros de configuración espectral</w:t>
      </w:r>
    </w:p>
    <w:p w14:paraId="40E857E1" w14:textId="729912BE" w:rsidR="004E78E0" w:rsidRPr="00422CA2" w:rsidRDefault="004E78E0" w:rsidP="009562CF">
      <w:pPr>
        <w:spacing w:after="200" w:line="276" w:lineRule="auto"/>
        <w:jc w:val="both"/>
        <w:rPr>
          <w:rFonts w:ascii="ITC Avant Garde" w:hAnsi="ITC Avant Garde"/>
          <w:sz w:val="22"/>
          <w:szCs w:val="22"/>
        </w:rPr>
      </w:pPr>
      <w:r w:rsidRPr="00422CA2">
        <w:rPr>
          <w:rFonts w:ascii="ITC Avant Garde" w:hAnsi="ITC Avant Garde"/>
          <w:sz w:val="22"/>
          <w:szCs w:val="22"/>
        </w:rPr>
        <w:t>Telmex no cuenta con información</w:t>
      </w:r>
      <w:r w:rsidR="00E14D70" w:rsidRPr="00422CA2">
        <w:rPr>
          <w:rFonts w:ascii="ITC Avant Garde" w:hAnsi="ITC Avant Garde"/>
          <w:sz w:val="22"/>
          <w:szCs w:val="22"/>
        </w:rPr>
        <w:t xml:space="preserve"> sobre los parámetros de configuración espectral, en el momento que Telmex cuente con ella, será proporcionada a los CS.</w:t>
      </w:r>
    </w:p>
    <w:p w14:paraId="40E857E3" w14:textId="77777777" w:rsidR="004E78E0" w:rsidRPr="00422CA2" w:rsidRDefault="004E78E0" w:rsidP="009562CF">
      <w:pPr>
        <w:spacing w:after="200" w:line="276" w:lineRule="auto"/>
        <w:jc w:val="both"/>
        <w:rPr>
          <w:rFonts w:ascii="ITC Avant Garde" w:hAnsi="ITC Avant Garde"/>
          <w:sz w:val="22"/>
          <w:szCs w:val="22"/>
          <w:u w:val="single"/>
        </w:rPr>
      </w:pPr>
      <w:r w:rsidRPr="00422CA2">
        <w:rPr>
          <w:rFonts w:ascii="ITC Avant Garde" w:hAnsi="ITC Avant Garde"/>
          <w:sz w:val="22"/>
          <w:szCs w:val="22"/>
          <w:u w:val="single"/>
        </w:rPr>
        <w:t>BASE 8: Pares de cobre individuales</w:t>
      </w:r>
    </w:p>
    <w:p w14:paraId="40E857E4"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Código identificador de cada par de cobre que se encuentra asociado a una Central Telefónica o Instalación Equivalente.</w:t>
      </w:r>
    </w:p>
    <w:p w14:paraId="40E857E5"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cada par de cobre que se encuentra asociado a una CD.</w:t>
      </w:r>
    </w:p>
    <w:p w14:paraId="40E857E6"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la unidad básica a la que pertenece.</w:t>
      </w:r>
    </w:p>
    <w:p w14:paraId="40E857E7"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Perfiles</w:t>
      </w:r>
      <w:r w:rsidR="00E30BA8" w:rsidRPr="00422CA2">
        <w:rPr>
          <w:rFonts w:ascii="ITC Avant Garde" w:hAnsi="ITC Avant Garde"/>
          <w:sz w:val="22"/>
          <w:szCs w:val="22"/>
        </w:rPr>
        <w:t xml:space="preserve"> teóricos</w:t>
      </w:r>
      <w:r w:rsidR="00971BD9" w:rsidRPr="00422CA2">
        <w:rPr>
          <w:rFonts w:ascii="ITC Avant Garde" w:hAnsi="ITC Avant Garde"/>
          <w:sz w:val="22"/>
          <w:szCs w:val="22"/>
        </w:rPr>
        <w:t xml:space="preserve"> </w:t>
      </w:r>
      <w:r w:rsidRPr="00422CA2">
        <w:rPr>
          <w:rFonts w:ascii="ITC Avant Garde" w:hAnsi="ITC Avant Garde"/>
          <w:sz w:val="22"/>
          <w:szCs w:val="22"/>
        </w:rPr>
        <w:t xml:space="preserve">del SRL factibles para </w:t>
      </w:r>
      <w:r w:rsidR="00E30BA8" w:rsidRPr="00422CA2">
        <w:rPr>
          <w:rFonts w:ascii="ITC Avant Garde" w:hAnsi="ITC Avant Garde"/>
          <w:sz w:val="22"/>
          <w:szCs w:val="22"/>
        </w:rPr>
        <w:t>pares asignados</w:t>
      </w:r>
      <w:r w:rsidRPr="00422CA2">
        <w:rPr>
          <w:rFonts w:ascii="ITC Avant Garde" w:hAnsi="ITC Avant Garde"/>
          <w:sz w:val="22"/>
          <w:szCs w:val="22"/>
        </w:rPr>
        <w:t>.</w:t>
      </w:r>
    </w:p>
    <w:p w14:paraId="40E857E8" w14:textId="123366B5"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 xml:space="preserve">Modalidades </w:t>
      </w:r>
      <w:r w:rsidR="00971BD9" w:rsidRPr="00422CA2">
        <w:rPr>
          <w:rFonts w:ascii="ITC Avant Garde" w:hAnsi="ITC Avant Garde"/>
          <w:sz w:val="22"/>
          <w:szCs w:val="22"/>
        </w:rPr>
        <w:t xml:space="preserve">estimadas </w:t>
      </w:r>
      <w:r w:rsidRPr="00422CA2">
        <w:rPr>
          <w:rFonts w:ascii="ITC Avant Garde" w:hAnsi="ITC Avant Garde"/>
          <w:sz w:val="22"/>
          <w:szCs w:val="22"/>
        </w:rPr>
        <w:t>de SAIB soportadas por el par</w:t>
      </w:r>
      <w:r w:rsidR="0001151F" w:rsidRPr="00422CA2">
        <w:rPr>
          <w:rFonts w:ascii="ITC Avant Garde" w:hAnsi="ITC Avant Garde"/>
          <w:sz w:val="22"/>
          <w:szCs w:val="22"/>
        </w:rPr>
        <w:t xml:space="preserve"> de cobre</w:t>
      </w:r>
      <w:r w:rsidRPr="00422CA2">
        <w:rPr>
          <w:rFonts w:ascii="ITC Avant Garde" w:hAnsi="ITC Avant Garde"/>
          <w:sz w:val="22"/>
          <w:szCs w:val="22"/>
        </w:rPr>
        <w:t>.</w:t>
      </w:r>
    </w:p>
    <w:p w14:paraId="40E857E9" w14:textId="6B2A9E36"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Tipo de unidad básica a la que pertenece el par</w:t>
      </w:r>
      <w:r w:rsidR="0001151F" w:rsidRPr="00422CA2">
        <w:rPr>
          <w:rFonts w:ascii="ITC Avant Garde" w:hAnsi="ITC Avant Garde"/>
          <w:sz w:val="22"/>
          <w:szCs w:val="22"/>
        </w:rPr>
        <w:t xml:space="preserve"> de cobre</w:t>
      </w:r>
      <w:r w:rsidRPr="00422CA2">
        <w:rPr>
          <w:rFonts w:ascii="ITC Avant Garde" w:hAnsi="ITC Avant Garde"/>
          <w:sz w:val="22"/>
          <w:szCs w:val="22"/>
        </w:rPr>
        <w:t>.</w:t>
      </w:r>
    </w:p>
    <w:p w14:paraId="40E857EA"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Tipo de cable (unidad básica con cuantos pares; cable XDSL; otro).</w:t>
      </w:r>
    </w:p>
    <w:p w14:paraId="40E857EB"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Longitud total</w:t>
      </w:r>
      <w:r w:rsidR="00971BD9" w:rsidRPr="00422CA2">
        <w:rPr>
          <w:rFonts w:ascii="ITC Avant Garde" w:hAnsi="ITC Avant Garde"/>
          <w:sz w:val="22"/>
          <w:szCs w:val="22"/>
        </w:rPr>
        <w:t xml:space="preserve"> estimada</w:t>
      </w:r>
      <w:r w:rsidRPr="00422CA2">
        <w:rPr>
          <w:rFonts w:ascii="ITC Avant Garde" w:hAnsi="ITC Avant Garde"/>
          <w:sz w:val="22"/>
          <w:szCs w:val="22"/>
        </w:rPr>
        <w:t xml:space="preserve"> del Bucle Local y Sub-bucle Local en metros</w:t>
      </w:r>
      <w:r w:rsidR="00E30BA8" w:rsidRPr="00422CA2">
        <w:rPr>
          <w:rFonts w:ascii="ITC Avant Garde" w:hAnsi="ITC Avant Garde"/>
          <w:sz w:val="22"/>
          <w:szCs w:val="22"/>
        </w:rPr>
        <w:t xml:space="preserve"> por caja de distribución</w:t>
      </w:r>
      <w:r w:rsidRPr="00422CA2">
        <w:rPr>
          <w:rFonts w:ascii="ITC Avant Garde" w:hAnsi="ITC Avant Garde"/>
          <w:sz w:val="22"/>
          <w:szCs w:val="22"/>
        </w:rPr>
        <w:t>.</w:t>
      </w:r>
    </w:p>
    <w:p w14:paraId="40E857EC"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Atenuación teórica del Bucle Local</w:t>
      </w:r>
      <w:r w:rsidR="00E30BA8" w:rsidRPr="00422CA2">
        <w:rPr>
          <w:rFonts w:ascii="ITC Avant Garde" w:hAnsi="ITC Avant Garde"/>
          <w:sz w:val="22"/>
          <w:szCs w:val="22"/>
        </w:rPr>
        <w:t xml:space="preserve"> por caja de distribución</w:t>
      </w:r>
      <w:r w:rsidRPr="00422CA2">
        <w:rPr>
          <w:rFonts w:ascii="ITC Avant Garde" w:hAnsi="ITC Avant Garde"/>
          <w:sz w:val="22"/>
          <w:szCs w:val="22"/>
        </w:rPr>
        <w:t>.</w:t>
      </w:r>
    </w:p>
    <w:p w14:paraId="40E857ED"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 xml:space="preserve">Resistencia de aislamiento. </w:t>
      </w:r>
    </w:p>
    <w:p w14:paraId="40E857EE"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Capacitancia.</w:t>
      </w:r>
    </w:p>
    <w:p w14:paraId="40E857EF"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Documentos con las ficha</w:t>
      </w:r>
      <w:r w:rsidR="00E30BA8" w:rsidRPr="00422CA2">
        <w:rPr>
          <w:rFonts w:ascii="ITC Avant Garde" w:hAnsi="ITC Avant Garde"/>
          <w:sz w:val="22"/>
          <w:szCs w:val="22"/>
        </w:rPr>
        <w:t>s</w:t>
      </w:r>
      <w:r w:rsidRPr="00422CA2">
        <w:rPr>
          <w:rFonts w:ascii="ITC Avant Garde" w:hAnsi="ITC Avant Garde"/>
          <w:sz w:val="22"/>
          <w:szCs w:val="22"/>
        </w:rPr>
        <w:t xml:space="preserve"> técnicas de los equipos de acceso (DSLAM) asociados a cada tecnología presente en la Central Telefónica o Instalación Equivalente a la que pertenece el par.</w:t>
      </w:r>
    </w:p>
    <w:p w14:paraId="40E857F1" w14:textId="77777777" w:rsidR="004E78E0" w:rsidRPr="00422CA2" w:rsidRDefault="004E78E0" w:rsidP="009562CF">
      <w:pPr>
        <w:spacing w:after="200" w:line="276" w:lineRule="auto"/>
        <w:jc w:val="both"/>
        <w:rPr>
          <w:rFonts w:ascii="ITC Avant Garde" w:hAnsi="ITC Avant Garde"/>
          <w:sz w:val="22"/>
          <w:szCs w:val="22"/>
        </w:rPr>
      </w:pPr>
      <w:r w:rsidRPr="00422CA2">
        <w:rPr>
          <w:rFonts w:ascii="ITC Avant Garde" w:hAnsi="ITC Avant Garde"/>
          <w:sz w:val="22"/>
          <w:szCs w:val="22"/>
          <w:u w:val="single"/>
        </w:rPr>
        <w:t xml:space="preserve">BASE 9: Bucle Local de fibra óptica </w:t>
      </w:r>
    </w:p>
    <w:p w14:paraId="40E857F2" w14:textId="7570E840"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del Bucle Local de fibra óptica (con tecnología GPON punto multipunto con 64 usuarios, identificando cada uno de los</w:t>
      </w:r>
      <w:r w:rsidR="00D77C1B" w:rsidRPr="00422CA2">
        <w:rPr>
          <w:rFonts w:ascii="ITC Avant Garde" w:hAnsi="ITC Avant Garde"/>
          <w:sz w:val="22"/>
          <w:szCs w:val="22"/>
        </w:rPr>
        <w:t xml:space="preserve"> bucles</w:t>
      </w:r>
      <w:r w:rsidRPr="00422CA2">
        <w:rPr>
          <w:rFonts w:ascii="ITC Avant Garde" w:hAnsi="ITC Avant Garde"/>
          <w:sz w:val="22"/>
          <w:szCs w:val="22"/>
        </w:rPr>
        <w:t>).</w:t>
      </w:r>
    </w:p>
    <w:p w14:paraId="40E857F3"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Perfiles del SRL factibles para el bucle de fibra óptica.</w:t>
      </w:r>
    </w:p>
    <w:p w14:paraId="40E857F4"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Modalidades de SAIB soportadas por el Bucle Local de fibra óptica.</w:t>
      </w:r>
    </w:p>
    <w:p w14:paraId="40E857F5"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 la Central Telefónica o Instalación Equivalente asociado al Bucle Local de fibra óptica.</w:t>
      </w:r>
    </w:p>
    <w:p w14:paraId="40E857F6"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Código identificador del DFO al Bucle Local de fibra óptica.</w:t>
      </w:r>
    </w:p>
    <w:p w14:paraId="40E857F7"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Tecnología desplegada en el Bucle Local de fibra óptica.</w:t>
      </w:r>
    </w:p>
    <w:p w14:paraId="40E857F8" w14:textId="77777777" w:rsidR="003B7631"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t>Características técnicas del cableado de fibra óptica utilizado.</w:t>
      </w:r>
    </w:p>
    <w:p w14:paraId="40E857F9" w14:textId="77777777" w:rsidR="004E78E0" w:rsidRPr="00422CA2" w:rsidRDefault="004E78E0" w:rsidP="009562CF">
      <w:pPr>
        <w:numPr>
          <w:ilvl w:val="0"/>
          <w:numId w:val="93"/>
        </w:num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Documentos con las fichas técnicas de los equipos de acceso (OLT) asociados a cada tecnología presente en la Central Telefónica o Instalación Equivalente a la que pertenece el bucle de fibra.</w:t>
      </w:r>
    </w:p>
    <w:p w14:paraId="40E857FB" w14:textId="77777777" w:rsidR="00530A32" w:rsidRPr="00422CA2" w:rsidRDefault="00011A1B" w:rsidP="009562CF">
      <w:pPr>
        <w:pStyle w:val="Ttulo1"/>
      </w:pPr>
      <w:bookmarkStart w:id="157" w:name="_Toc436840875"/>
      <w:bookmarkStart w:id="158" w:name="_Toc436846312"/>
      <w:bookmarkStart w:id="159" w:name="_Toc436848262"/>
      <w:bookmarkStart w:id="160" w:name="_Toc436856510"/>
      <w:bookmarkStart w:id="161" w:name="_Toc436862656"/>
      <w:bookmarkStart w:id="162" w:name="_Toc436866306"/>
      <w:bookmarkStart w:id="163" w:name="_Toc436870885"/>
      <w:bookmarkStart w:id="164" w:name="_Toc436875877"/>
      <w:bookmarkStart w:id="165" w:name="_Toc437602065"/>
      <w:r w:rsidRPr="00422CA2">
        <w:t>3.2</w:t>
      </w:r>
      <w:r w:rsidR="00326841" w:rsidRPr="00422CA2">
        <w:t>.</w:t>
      </w:r>
      <w:r w:rsidRPr="00422CA2">
        <w:tab/>
        <w:t>Procedimiento de acceso a la información contenida en el sitio de Internet</w:t>
      </w:r>
      <w:bookmarkEnd w:id="157"/>
      <w:bookmarkEnd w:id="158"/>
      <w:bookmarkEnd w:id="159"/>
      <w:bookmarkEnd w:id="160"/>
      <w:bookmarkEnd w:id="161"/>
      <w:bookmarkEnd w:id="162"/>
      <w:bookmarkEnd w:id="163"/>
      <w:bookmarkEnd w:id="164"/>
      <w:bookmarkEnd w:id="165"/>
      <w:r w:rsidRPr="00422CA2">
        <w:t xml:space="preserve"> </w:t>
      </w:r>
    </w:p>
    <w:p w14:paraId="40E857FC" w14:textId="77777777" w:rsidR="00E51AB7" w:rsidRPr="00422CA2" w:rsidRDefault="00011A1B" w:rsidP="009562CF">
      <w:pPr>
        <w:pStyle w:val="Texto1"/>
        <w:spacing w:after="200" w:line="276" w:lineRule="auto"/>
        <w:ind w:left="0"/>
        <w:rPr>
          <w:rFonts w:ascii="ITC Avant Garde" w:hAnsi="ITC Avant Garde"/>
          <w:sz w:val="22"/>
          <w:szCs w:val="22"/>
        </w:rPr>
      </w:pPr>
      <w:r w:rsidRPr="00422CA2">
        <w:rPr>
          <w:rFonts w:ascii="ITC Avant Garde" w:hAnsi="ITC Avant Garde"/>
          <w:sz w:val="22"/>
          <w:szCs w:val="22"/>
        </w:rPr>
        <w:t>Para el acceso a la información a través de la interfaz en la página de internet, el CS deberá contar con el usuario y contraseña descritos en el punto 3.</w:t>
      </w:r>
    </w:p>
    <w:p w14:paraId="40E857FD" w14:textId="77777777" w:rsidR="00E51AB7" w:rsidRPr="00422CA2" w:rsidRDefault="00011A1B" w:rsidP="009562CF">
      <w:pPr>
        <w:pStyle w:val="Texto1"/>
        <w:spacing w:after="200" w:line="276" w:lineRule="auto"/>
        <w:ind w:left="0"/>
        <w:rPr>
          <w:rFonts w:ascii="ITC Avant Garde" w:hAnsi="ITC Avant Garde"/>
          <w:sz w:val="22"/>
          <w:szCs w:val="22"/>
        </w:rPr>
      </w:pPr>
      <w:r w:rsidRPr="00422CA2">
        <w:rPr>
          <w:rFonts w:ascii="ITC Avant Garde" w:hAnsi="ITC Avant Garde"/>
          <w:sz w:val="22"/>
          <w:szCs w:val="22"/>
        </w:rPr>
        <w:t>Los pasos para ingresar al Sitio y realizar consultas serán los siguientes:</w:t>
      </w:r>
    </w:p>
    <w:p w14:paraId="40E857FE" w14:textId="77777777" w:rsidR="00E51AB7" w:rsidRPr="00422CA2" w:rsidRDefault="00011A1B" w:rsidP="009562CF">
      <w:pPr>
        <w:pStyle w:val="Texto1"/>
        <w:numPr>
          <w:ilvl w:val="0"/>
          <w:numId w:val="98"/>
        </w:numPr>
        <w:spacing w:after="200" w:line="276" w:lineRule="auto"/>
        <w:ind w:left="714" w:hanging="357"/>
        <w:rPr>
          <w:rFonts w:ascii="ITC Avant Garde" w:hAnsi="ITC Avant Garde"/>
          <w:sz w:val="22"/>
          <w:szCs w:val="22"/>
        </w:rPr>
      </w:pPr>
      <w:r w:rsidRPr="00422CA2">
        <w:rPr>
          <w:rFonts w:ascii="ITC Avant Garde" w:hAnsi="ITC Avant Garde"/>
          <w:sz w:val="22"/>
          <w:szCs w:val="22"/>
        </w:rPr>
        <w:t xml:space="preserve">Entrar al sitio </w:t>
      </w:r>
      <w:hyperlink r:id="rId25" w:history="1">
        <w:r w:rsidRPr="00422CA2">
          <w:rPr>
            <w:rStyle w:val="Hipervnculo"/>
            <w:rFonts w:ascii="ITC Avant Garde" w:hAnsi="ITC Avant Garde"/>
            <w:color w:val="auto"/>
            <w:sz w:val="22"/>
            <w:szCs w:val="22"/>
          </w:rPr>
          <w:t>http://www.telmex.com/</w:t>
        </w:r>
      </w:hyperlink>
    </w:p>
    <w:p w14:paraId="40E857FF" w14:textId="77777777" w:rsidR="00E51AB7"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Seleccionar el apartado “Ofertas de Servicios Mayoristas”.</w:t>
      </w:r>
    </w:p>
    <w:p w14:paraId="40E85800" w14:textId="77777777" w:rsidR="00E51AB7"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Seleccionar el apartado “Oferta de Referencia para la Desagregación del Bucle Local”</w:t>
      </w:r>
    </w:p>
    <w:p w14:paraId="40E85801" w14:textId="77777777" w:rsidR="00E51AB7"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Seleccionar el apartado “Consulta de Información”</w:t>
      </w:r>
    </w:p>
    <w:p w14:paraId="40E85802" w14:textId="77777777" w:rsidR="00E51AB7"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Ingresar las credenciales (Usuario y Contraseña) que le fueron otorgadas por Telmex</w:t>
      </w:r>
    </w:p>
    <w:p w14:paraId="40E85803" w14:textId="77777777" w:rsidR="00E51AB7"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 xml:space="preserve">La información estará organizada en las 6 bases de datos (información tipo </w:t>
      </w:r>
      <w:r w:rsidR="00610E6F" w:rsidRPr="00422CA2">
        <w:rPr>
          <w:rFonts w:ascii="ITC Avant Garde" w:hAnsi="ITC Avant Garde"/>
          <w:sz w:val="22"/>
          <w:szCs w:val="22"/>
        </w:rPr>
        <w:t>“</w:t>
      </w:r>
      <w:r w:rsidRPr="00422CA2">
        <w:rPr>
          <w:rFonts w:ascii="ITC Avant Garde" w:hAnsi="ITC Avant Garde"/>
          <w:sz w:val="22"/>
          <w:szCs w:val="22"/>
        </w:rPr>
        <w:t>a</w:t>
      </w:r>
      <w:r w:rsidR="00610E6F" w:rsidRPr="00422CA2">
        <w:rPr>
          <w:rFonts w:ascii="ITC Avant Garde" w:hAnsi="ITC Avant Garde"/>
          <w:sz w:val="22"/>
          <w:szCs w:val="22"/>
        </w:rPr>
        <w:t>”</w:t>
      </w:r>
      <w:r w:rsidRPr="00422CA2">
        <w:rPr>
          <w:rFonts w:ascii="ITC Avant Garde" w:hAnsi="ITC Avant Garde"/>
          <w:sz w:val="22"/>
          <w:szCs w:val="22"/>
        </w:rPr>
        <w:t>) que se describen en la sección 3.1 de esta Oferta</w:t>
      </w:r>
    </w:p>
    <w:p w14:paraId="40E85804" w14:textId="77777777" w:rsidR="00F44B29"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El CS deberá seleccionar el tipo de información en la cual está interesado</w:t>
      </w:r>
    </w:p>
    <w:p w14:paraId="40E85805" w14:textId="77777777" w:rsidR="00F44B29" w:rsidRPr="00422CA2" w:rsidRDefault="00011A1B" w:rsidP="009562CF">
      <w:pPr>
        <w:pStyle w:val="Texto1"/>
        <w:numPr>
          <w:ilvl w:val="0"/>
          <w:numId w:val="98"/>
        </w:numPr>
        <w:spacing w:after="200" w:line="276" w:lineRule="auto"/>
        <w:rPr>
          <w:rFonts w:ascii="ITC Avant Garde" w:hAnsi="ITC Avant Garde"/>
          <w:sz w:val="22"/>
          <w:szCs w:val="22"/>
        </w:rPr>
      </w:pPr>
      <w:r w:rsidRPr="00422CA2">
        <w:rPr>
          <w:rFonts w:ascii="ITC Avant Garde" w:hAnsi="ITC Avant Garde"/>
          <w:sz w:val="22"/>
          <w:szCs w:val="22"/>
        </w:rPr>
        <w:t>En la página de internet se desplegará la información solicitada</w:t>
      </w:r>
    </w:p>
    <w:p w14:paraId="40E85807" w14:textId="77777777" w:rsidR="00530A32" w:rsidRPr="00422CA2" w:rsidRDefault="008E17E2" w:rsidP="009562CF">
      <w:pPr>
        <w:pStyle w:val="Ttulo1"/>
      </w:pPr>
      <w:bookmarkStart w:id="166" w:name="_Toc436840876"/>
      <w:bookmarkStart w:id="167" w:name="_Toc436846313"/>
      <w:bookmarkStart w:id="168" w:name="_Toc436848263"/>
      <w:bookmarkStart w:id="169" w:name="_Toc436856511"/>
      <w:bookmarkStart w:id="170" w:name="_Toc436862657"/>
      <w:bookmarkStart w:id="171" w:name="_Toc436866307"/>
      <w:bookmarkStart w:id="172" w:name="_Toc436870886"/>
      <w:bookmarkStart w:id="173" w:name="_Toc436875878"/>
      <w:bookmarkStart w:id="174" w:name="_Toc437602066"/>
      <w:r w:rsidRPr="00422CA2">
        <w:t>3.2.1</w:t>
      </w:r>
      <w:r w:rsidR="00326841" w:rsidRPr="00422CA2">
        <w:t>.</w:t>
      </w:r>
      <w:r w:rsidRPr="00422CA2">
        <w:tab/>
      </w:r>
      <w:r w:rsidR="00011A1B" w:rsidRPr="00422CA2">
        <w:t>Guía de Acceso y uso del sitio de Internet</w:t>
      </w:r>
      <w:bookmarkEnd w:id="166"/>
      <w:bookmarkEnd w:id="167"/>
      <w:bookmarkEnd w:id="168"/>
      <w:bookmarkEnd w:id="169"/>
      <w:bookmarkEnd w:id="170"/>
      <w:bookmarkEnd w:id="171"/>
      <w:bookmarkEnd w:id="172"/>
      <w:bookmarkEnd w:id="173"/>
      <w:bookmarkEnd w:id="174"/>
    </w:p>
    <w:p w14:paraId="40E85809" w14:textId="77777777" w:rsidR="00610E6F" w:rsidRPr="00422CA2" w:rsidRDefault="00610E6F" w:rsidP="009562CF">
      <w:pPr>
        <w:spacing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Los Concesionarios Solicitantes podrán acceder a la información de los servicios de desagregación a través del sitio web de Telmex, dicha in</w:t>
      </w:r>
      <w:r w:rsidR="001912DC" w:rsidRPr="00422CA2">
        <w:rPr>
          <w:rFonts w:ascii="ITC Avant Garde" w:hAnsi="ITC Avant Garde"/>
          <w:sz w:val="22"/>
          <w:szCs w:val="22"/>
          <w:lang w:eastAsia="es-MX"/>
        </w:rPr>
        <w:t xml:space="preserve">formación podrá ser consultada </w:t>
      </w:r>
      <w:r w:rsidRPr="00422CA2">
        <w:rPr>
          <w:rFonts w:ascii="ITC Avant Garde" w:hAnsi="ITC Avant Garde"/>
          <w:sz w:val="22"/>
          <w:szCs w:val="22"/>
          <w:lang w:eastAsia="es-MX"/>
        </w:rPr>
        <w:t xml:space="preserve">de manera </w:t>
      </w:r>
      <w:r w:rsidR="001912DC" w:rsidRPr="00422CA2">
        <w:rPr>
          <w:rFonts w:ascii="ITC Avant Garde" w:hAnsi="ITC Avant Garde"/>
          <w:sz w:val="22"/>
          <w:szCs w:val="22"/>
          <w:lang w:eastAsia="es-MX"/>
        </w:rPr>
        <w:t>previa</w:t>
      </w:r>
      <w:r w:rsidRPr="00422CA2">
        <w:rPr>
          <w:rFonts w:ascii="ITC Avant Garde" w:hAnsi="ITC Avant Garde"/>
          <w:sz w:val="22"/>
          <w:szCs w:val="22"/>
          <w:lang w:eastAsia="es-MX"/>
        </w:rPr>
        <w:t xml:space="preserve"> a la suscripción de convenios. Telmex garantizara que la información se mantenga actualizada. El concesionario deberá seguir los siguientes pa</w:t>
      </w:r>
      <w:r w:rsidR="00414F4B" w:rsidRPr="00422CA2">
        <w:rPr>
          <w:rFonts w:ascii="ITC Avant Garde" w:hAnsi="ITC Avant Garde"/>
          <w:sz w:val="22"/>
          <w:szCs w:val="22"/>
          <w:lang w:eastAsia="es-MX"/>
        </w:rPr>
        <w:t xml:space="preserve">sos para el acceso a la misma. </w:t>
      </w:r>
    </w:p>
    <w:p w14:paraId="40E8580B" w14:textId="078AC861" w:rsidR="00610E6F" w:rsidRPr="00422CA2" w:rsidRDefault="00610E6F" w:rsidP="009562CF">
      <w:pPr>
        <w:spacing w:after="200" w:line="276" w:lineRule="auto"/>
        <w:jc w:val="both"/>
        <w:rPr>
          <w:rFonts w:ascii="ITC Avant Garde" w:hAnsi="ITC Avant Garde"/>
          <w:sz w:val="22"/>
          <w:szCs w:val="22"/>
        </w:rPr>
      </w:pPr>
      <w:r w:rsidRPr="00422CA2">
        <w:rPr>
          <w:rFonts w:ascii="ITC Avant Garde" w:hAnsi="ITC Avant Garde"/>
          <w:sz w:val="22"/>
          <w:szCs w:val="22"/>
          <w:lang w:eastAsia="es-MX"/>
        </w:rPr>
        <w:t xml:space="preserve">1.- El </w:t>
      </w:r>
      <w:r w:rsidR="00036FA4" w:rsidRPr="00422CA2">
        <w:rPr>
          <w:rFonts w:ascii="ITC Avant Garde" w:hAnsi="ITC Avant Garde"/>
          <w:sz w:val="22"/>
          <w:szCs w:val="22"/>
          <w:lang w:eastAsia="es-MX"/>
        </w:rPr>
        <w:t>CS</w:t>
      </w:r>
      <w:r w:rsidRPr="00422CA2">
        <w:rPr>
          <w:rFonts w:ascii="ITC Avant Garde" w:hAnsi="ITC Avant Garde"/>
          <w:sz w:val="22"/>
          <w:szCs w:val="22"/>
          <w:lang w:eastAsia="es-MX"/>
        </w:rPr>
        <w:t xml:space="preserve"> deberá ingresar al siguiente sitio de Internet. </w:t>
      </w:r>
      <w:hyperlink r:id="rId26" w:history="1">
        <w:r w:rsidRPr="00422CA2">
          <w:rPr>
            <w:rStyle w:val="Hipervnculo"/>
            <w:rFonts w:ascii="ITC Avant Garde" w:hAnsi="ITC Avant Garde"/>
            <w:color w:val="auto"/>
            <w:sz w:val="22"/>
            <w:szCs w:val="22"/>
          </w:rPr>
          <w:t>http://www.telmex.com/</w:t>
        </w:r>
      </w:hyperlink>
      <w:r w:rsidRPr="00422CA2">
        <w:rPr>
          <w:rFonts w:ascii="ITC Avant Garde" w:hAnsi="ITC Avant Garde"/>
          <w:sz w:val="22"/>
          <w:szCs w:val="22"/>
        </w:rPr>
        <w:t xml:space="preserve"> </w:t>
      </w:r>
    </w:p>
    <w:p w14:paraId="40E8580C" w14:textId="77777777" w:rsidR="00610E6F" w:rsidRPr="00422CA2" w:rsidRDefault="00610E6F" w:rsidP="00B1742C">
      <w:pPr>
        <w:jc w:val="center"/>
        <w:rPr>
          <w:rFonts w:ascii="ITC Avant Garde" w:hAnsi="ITC Avant Garde"/>
        </w:rPr>
      </w:pPr>
      <w:r w:rsidRPr="00422CA2">
        <w:rPr>
          <w:rFonts w:ascii="ITC Avant Garde" w:hAnsi="ITC Avant Garde"/>
          <w:noProof/>
          <w:lang w:val="es-MX" w:eastAsia="es-MX"/>
        </w:rPr>
        <w:lastRenderedPageBreak/>
        <w:drawing>
          <wp:inline distT="0" distB="0" distL="0" distR="0" wp14:anchorId="40E860C0" wp14:editId="40E860C1">
            <wp:extent cx="5184140" cy="2751455"/>
            <wp:effectExtent l="19050" t="19050" r="16510" b="10795"/>
            <wp:docPr id="1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7"/>
                    <a:srcRect b="5615"/>
                    <a:stretch>
                      <a:fillRect/>
                    </a:stretch>
                  </pic:blipFill>
                  <pic:spPr bwMode="auto">
                    <a:xfrm>
                      <a:off x="0" y="0"/>
                      <a:ext cx="5184140" cy="2751455"/>
                    </a:xfrm>
                    <a:prstGeom prst="rect">
                      <a:avLst/>
                    </a:prstGeom>
                    <a:noFill/>
                    <a:ln w="9525">
                      <a:solidFill>
                        <a:schemeClr val="tx2"/>
                      </a:solidFill>
                      <a:miter lim="800000"/>
                      <a:headEnd/>
                      <a:tailEnd/>
                    </a:ln>
                  </pic:spPr>
                </pic:pic>
              </a:graphicData>
            </a:graphic>
          </wp:inline>
        </w:drawing>
      </w:r>
    </w:p>
    <w:p w14:paraId="40E8580E" w14:textId="7235DEB8" w:rsidR="00610E6F" w:rsidRPr="00422CA2" w:rsidRDefault="00610E6F" w:rsidP="005248DC">
      <w:pPr>
        <w:spacing w:before="120"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 xml:space="preserve">2.- El </w:t>
      </w:r>
      <w:r w:rsidR="00036FA4" w:rsidRPr="00422CA2">
        <w:rPr>
          <w:rFonts w:ascii="ITC Avant Garde" w:hAnsi="ITC Avant Garde"/>
          <w:sz w:val="22"/>
          <w:szCs w:val="22"/>
          <w:lang w:eastAsia="es-MX"/>
        </w:rPr>
        <w:t>CS</w:t>
      </w:r>
      <w:r w:rsidRPr="00422CA2">
        <w:rPr>
          <w:rFonts w:ascii="ITC Avant Garde" w:hAnsi="ITC Avant Garde"/>
          <w:sz w:val="22"/>
          <w:szCs w:val="22"/>
          <w:lang w:eastAsia="es-MX"/>
        </w:rPr>
        <w:t xml:space="preserve"> deberá seleccionar el apartado “Of</w:t>
      </w:r>
      <w:r w:rsidR="00414F4B" w:rsidRPr="00422CA2">
        <w:rPr>
          <w:rFonts w:ascii="ITC Avant Garde" w:hAnsi="ITC Avant Garde"/>
          <w:sz w:val="22"/>
          <w:szCs w:val="22"/>
          <w:lang w:eastAsia="es-MX"/>
        </w:rPr>
        <w:t xml:space="preserve">ertas de Servicios Mayoristas” </w:t>
      </w:r>
      <w:r w:rsidRPr="00422CA2">
        <w:rPr>
          <w:rFonts w:ascii="ITC Avant Garde" w:hAnsi="ITC Avant Garde"/>
          <w:sz w:val="22"/>
          <w:szCs w:val="22"/>
          <w:lang w:eastAsia="es-MX"/>
        </w:rPr>
        <w:t>ubicado en la parte inferior de la pantalla principal de la página de Telmex.</w:t>
      </w:r>
    </w:p>
    <w:p w14:paraId="0960B271" w14:textId="77777777" w:rsidR="005248DC" w:rsidRPr="00422CA2" w:rsidRDefault="00610E6F" w:rsidP="005248DC">
      <w:pPr>
        <w:jc w:val="both"/>
        <w:rPr>
          <w:rFonts w:ascii="ITC Avant Garde" w:hAnsi="ITC Avant Garde"/>
          <w:b/>
          <w:bCs/>
          <w:sz w:val="22"/>
          <w:szCs w:val="22"/>
        </w:rPr>
      </w:pPr>
      <w:r w:rsidRPr="00422CA2">
        <w:rPr>
          <w:rFonts w:ascii="ITC Avant Garde" w:hAnsi="ITC Avant Garde"/>
          <w:noProof/>
          <w:sz w:val="22"/>
          <w:szCs w:val="22"/>
          <w:lang w:val="es-MX" w:eastAsia="es-MX"/>
        </w:rPr>
        <w:drawing>
          <wp:inline distT="0" distB="0" distL="0" distR="0" wp14:anchorId="40E860C2" wp14:editId="40E860C3">
            <wp:extent cx="5454650" cy="3061335"/>
            <wp:effectExtent l="19050" t="19050" r="12700" b="2476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8"/>
                    <a:srcRect l="16516" t="16585" r="17209" b="17252"/>
                    <a:stretch>
                      <a:fillRect/>
                    </a:stretch>
                  </pic:blipFill>
                  <pic:spPr bwMode="auto">
                    <a:xfrm>
                      <a:off x="0" y="0"/>
                      <a:ext cx="5454650" cy="3061335"/>
                    </a:xfrm>
                    <a:prstGeom prst="rect">
                      <a:avLst/>
                    </a:prstGeom>
                    <a:noFill/>
                    <a:ln w="9525">
                      <a:solidFill>
                        <a:schemeClr val="tx2"/>
                      </a:solidFill>
                      <a:miter lim="800000"/>
                      <a:headEnd/>
                      <a:tailEnd/>
                    </a:ln>
                  </pic:spPr>
                </pic:pic>
              </a:graphicData>
            </a:graphic>
          </wp:inline>
        </w:drawing>
      </w:r>
    </w:p>
    <w:p w14:paraId="40E85810" w14:textId="0D882475" w:rsidR="00610E6F" w:rsidRPr="00422CA2" w:rsidRDefault="00610E6F" w:rsidP="005248DC">
      <w:pPr>
        <w:spacing w:before="120"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 xml:space="preserve">3.-El </w:t>
      </w:r>
      <w:r w:rsidR="00036FA4" w:rsidRPr="00422CA2">
        <w:rPr>
          <w:rFonts w:ascii="ITC Avant Garde" w:hAnsi="ITC Avant Garde"/>
          <w:sz w:val="22"/>
          <w:szCs w:val="22"/>
          <w:lang w:eastAsia="es-MX"/>
        </w:rPr>
        <w:t>CS</w:t>
      </w:r>
      <w:r w:rsidR="00B1742C" w:rsidRPr="00422CA2">
        <w:rPr>
          <w:rFonts w:ascii="ITC Avant Garde" w:hAnsi="ITC Avant Garde"/>
          <w:sz w:val="22"/>
          <w:szCs w:val="22"/>
          <w:lang w:eastAsia="es-MX"/>
        </w:rPr>
        <w:t xml:space="preserve"> deberá </w:t>
      </w:r>
      <w:r w:rsidRPr="00422CA2">
        <w:rPr>
          <w:rFonts w:ascii="ITC Avant Garde" w:hAnsi="ITC Avant Garde"/>
          <w:sz w:val="22"/>
          <w:szCs w:val="22"/>
          <w:lang w:eastAsia="es-MX"/>
        </w:rPr>
        <w:t>ingresar a la opción con la leyenda “Oferta de Referencia para Desagregación del Bucle Local (OREDA)”.</w:t>
      </w:r>
    </w:p>
    <w:p w14:paraId="40E85811" w14:textId="77777777" w:rsidR="00610E6F" w:rsidRPr="00422CA2" w:rsidRDefault="00610E6F" w:rsidP="00610E6F">
      <w:pPr>
        <w:jc w:val="center"/>
        <w:rPr>
          <w:rFonts w:ascii="ITC Avant Garde" w:hAnsi="ITC Avant Garde"/>
          <w:sz w:val="22"/>
          <w:szCs w:val="22"/>
        </w:rPr>
      </w:pPr>
      <w:r w:rsidRPr="00422CA2">
        <w:rPr>
          <w:rFonts w:ascii="ITC Avant Garde" w:hAnsi="ITC Avant Garde"/>
          <w:noProof/>
          <w:sz w:val="22"/>
          <w:szCs w:val="22"/>
          <w:lang w:val="es-MX" w:eastAsia="es-MX"/>
        </w:rPr>
        <w:lastRenderedPageBreak/>
        <w:drawing>
          <wp:inline distT="0" distB="0" distL="0" distR="0" wp14:anchorId="40E860C4" wp14:editId="40E860C5">
            <wp:extent cx="5518150" cy="2997835"/>
            <wp:effectExtent l="19050" t="19050" r="25400" b="12065"/>
            <wp:docPr id="1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29"/>
                    <a:srcRect l="18246" t="21674" r="19258" b="17941"/>
                    <a:stretch>
                      <a:fillRect/>
                    </a:stretch>
                  </pic:blipFill>
                  <pic:spPr bwMode="auto">
                    <a:xfrm>
                      <a:off x="0" y="0"/>
                      <a:ext cx="5518150" cy="2997835"/>
                    </a:xfrm>
                    <a:prstGeom prst="rect">
                      <a:avLst/>
                    </a:prstGeom>
                    <a:noFill/>
                    <a:ln w="9525">
                      <a:solidFill>
                        <a:schemeClr val="tx2"/>
                      </a:solidFill>
                      <a:miter lim="800000"/>
                      <a:headEnd/>
                      <a:tailEnd/>
                    </a:ln>
                  </pic:spPr>
                </pic:pic>
              </a:graphicData>
            </a:graphic>
          </wp:inline>
        </w:drawing>
      </w:r>
    </w:p>
    <w:p w14:paraId="40E85812" w14:textId="72032F5C" w:rsidR="00610E6F" w:rsidRPr="00422CA2" w:rsidRDefault="00610E6F" w:rsidP="005248DC">
      <w:pPr>
        <w:spacing w:before="120"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 xml:space="preserve">4.- El </w:t>
      </w:r>
      <w:r w:rsidR="00036FA4" w:rsidRPr="00422CA2">
        <w:rPr>
          <w:rFonts w:ascii="ITC Avant Garde" w:hAnsi="ITC Avant Garde"/>
          <w:sz w:val="22"/>
          <w:szCs w:val="22"/>
          <w:lang w:eastAsia="es-MX"/>
        </w:rPr>
        <w:t>CS</w:t>
      </w:r>
      <w:r w:rsidR="00414F4B" w:rsidRPr="00422CA2">
        <w:rPr>
          <w:rFonts w:ascii="ITC Avant Garde" w:hAnsi="ITC Avant Garde"/>
          <w:sz w:val="22"/>
          <w:szCs w:val="22"/>
          <w:lang w:eastAsia="es-MX"/>
        </w:rPr>
        <w:t xml:space="preserve"> deberá ingresar a la opción de </w:t>
      </w:r>
      <w:r w:rsidRPr="00422CA2">
        <w:rPr>
          <w:rFonts w:ascii="ITC Avant Garde" w:hAnsi="ITC Avant Garde"/>
          <w:sz w:val="22"/>
          <w:szCs w:val="22"/>
          <w:lang w:eastAsia="es-MX"/>
        </w:rPr>
        <w:t xml:space="preserve">“Consulta de información de Servicios de Desagregación” </w:t>
      </w:r>
    </w:p>
    <w:p w14:paraId="40E85813" w14:textId="77777777" w:rsidR="00610E6F" w:rsidRPr="00422CA2" w:rsidRDefault="00610E6F" w:rsidP="00610E6F">
      <w:pPr>
        <w:jc w:val="center"/>
        <w:rPr>
          <w:rFonts w:ascii="ITC Avant Garde" w:hAnsi="ITC Avant Garde"/>
          <w:sz w:val="22"/>
          <w:szCs w:val="22"/>
        </w:rPr>
      </w:pPr>
      <w:r w:rsidRPr="00422CA2">
        <w:rPr>
          <w:rFonts w:ascii="ITC Avant Garde" w:hAnsi="ITC Avant Garde"/>
          <w:noProof/>
          <w:sz w:val="22"/>
          <w:szCs w:val="22"/>
          <w:lang w:val="es-MX" w:eastAsia="es-MX"/>
        </w:rPr>
        <w:drawing>
          <wp:inline distT="0" distB="0" distL="0" distR="0" wp14:anchorId="40E860C6" wp14:editId="40E860C7">
            <wp:extent cx="5351145" cy="2997835"/>
            <wp:effectExtent l="19050" t="19050" r="20955" b="12065"/>
            <wp:docPr id="1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30"/>
                    <a:srcRect l="16608" t="26134" r="17113" b="9044"/>
                    <a:stretch>
                      <a:fillRect/>
                    </a:stretch>
                  </pic:blipFill>
                  <pic:spPr bwMode="auto">
                    <a:xfrm>
                      <a:off x="0" y="0"/>
                      <a:ext cx="5351145" cy="2997835"/>
                    </a:xfrm>
                    <a:prstGeom prst="rect">
                      <a:avLst/>
                    </a:prstGeom>
                    <a:noFill/>
                    <a:ln w="9525">
                      <a:solidFill>
                        <a:schemeClr val="tx2"/>
                      </a:solidFill>
                      <a:miter lim="800000"/>
                      <a:headEnd/>
                      <a:tailEnd/>
                    </a:ln>
                  </pic:spPr>
                </pic:pic>
              </a:graphicData>
            </a:graphic>
          </wp:inline>
        </w:drawing>
      </w:r>
    </w:p>
    <w:p w14:paraId="40E85815" w14:textId="7F3CCE4F" w:rsidR="00610E6F" w:rsidRPr="00422CA2" w:rsidRDefault="00610E6F" w:rsidP="005248DC">
      <w:pPr>
        <w:spacing w:before="120"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 xml:space="preserve">5.- El </w:t>
      </w:r>
      <w:r w:rsidR="00036FA4" w:rsidRPr="00422CA2">
        <w:rPr>
          <w:rFonts w:ascii="ITC Avant Garde" w:hAnsi="ITC Avant Garde"/>
          <w:sz w:val="22"/>
          <w:szCs w:val="22"/>
          <w:lang w:eastAsia="es-MX"/>
        </w:rPr>
        <w:t>CS</w:t>
      </w:r>
      <w:r w:rsidRPr="00422CA2">
        <w:rPr>
          <w:rFonts w:ascii="ITC Avant Garde" w:hAnsi="ITC Avant Garde"/>
          <w:sz w:val="22"/>
          <w:szCs w:val="22"/>
          <w:lang w:eastAsia="es-MX"/>
        </w:rPr>
        <w:t xml:space="preserve"> deberá colocar </w:t>
      </w:r>
      <w:r w:rsidR="001912DC" w:rsidRPr="00422CA2">
        <w:rPr>
          <w:rFonts w:ascii="ITC Avant Garde" w:hAnsi="ITC Avant Garde"/>
          <w:sz w:val="22"/>
          <w:szCs w:val="22"/>
          <w:lang w:eastAsia="es-MX"/>
        </w:rPr>
        <w:t xml:space="preserve">el </w:t>
      </w:r>
      <w:r w:rsidRPr="00422CA2">
        <w:rPr>
          <w:rFonts w:ascii="ITC Avant Garde" w:hAnsi="ITC Avant Garde"/>
          <w:sz w:val="22"/>
          <w:szCs w:val="22"/>
          <w:lang w:eastAsia="es-MX"/>
        </w:rPr>
        <w:t>usuario y contraseña previamente otorgados por parte de Telmex para el ingreso a la información:</w:t>
      </w:r>
    </w:p>
    <w:p w14:paraId="40E85816" w14:textId="77777777" w:rsidR="00610E6F" w:rsidRPr="00422CA2" w:rsidRDefault="00610E6F" w:rsidP="00610E6F">
      <w:pPr>
        <w:jc w:val="center"/>
        <w:rPr>
          <w:rFonts w:ascii="ITC Avant Garde" w:hAnsi="ITC Avant Garde"/>
          <w:sz w:val="22"/>
          <w:szCs w:val="22"/>
        </w:rPr>
      </w:pPr>
      <w:r w:rsidRPr="00422CA2">
        <w:rPr>
          <w:rFonts w:ascii="ITC Avant Garde" w:hAnsi="ITC Avant Garde"/>
          <w:noProof/>
          <w:sz w:val="22"/>
          <w:szCs w:val="22"/>
          <w:lang w:val="es-MX" w:eastAsia="es-MX"/>
        </w:rPr>
        <w:lastRenderedPageBreak/>
        <w:drawing>
          <wp:inline distT="0" distB="0" distL="0" distR="0" wp14:anchorId="40E860C8" wp14:editId="40E860C9">
            <wp:extent cx="5518150" cy="2504440"/>
            <wp:effectExtent l="19050" t="19050" r="25400" b="1016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a:srcRect t="7378" r="2225" b="11475"/>
                    <a:stretch>
                      <a:fillRect/>
                    </a:stretch>
                  </pic:blipFill>
                  <pic:spPr bwMode="auto">
                    <a:xfrm>
                      <a:off x="0" y="0"/>
                      <a:ext cx="5518150" cy="2504440"/>
                    </a:xfrm>
                    <a:prstGeom prst="rect">
                      <a:avLst/>
                    </a:prstGeom>
                    <a:noFill/>
                    <a:ln w="9525">
                      <a:solidFill>
                        <a:schemeClr val="tx2"/>
                      </a:solidFill>
                      <a:miter lim="800000"/>
                      <a:headEnd/>
                      <a:tailEnd/>
                    </a:ln>
                  </pic:spPr>
                </pic:pic>
              </a:graphicData>
            </a:graphic>
          </wp:inline>
        </w:drawing>
      </w:r>
    </w:p>
    <w:p w14:paraId="40E85817" w14:textId="5AC3B07F" w:rsidR="00610E6F" w:rsidRPr="00422CA2" w:rsidRDefault="00414F4B" w:rsidP="005248DC">
      <w:pPr>
        <w:spacing w:before="120" w:after="200" w:line="276" w:lineRule="auto"/>
        <w:jc w:val="both"/>
        <w:rPr>
          <w:rFonts w:ascii="ITC Avant Garde" w:hAnsi="ITC Avant Garde"/>
          <w:sz w:val="22"/>
          <w:szCs w:val="22"/>
          <w:lang w:eastAsia="es-MX"/>
        </w:rPr>
      </w:pPr>
      <w:r w:rsidRPr="00422CA2">
        <w:rPr>
          <w:rFonts w:ascii="ITC Avant Garde" w:hAnsi="ITC Avant Garde"/>
          <w:sz w:val="22"/>
          <w:szCs w:val="22"/>
          <w:lang w:eastAsia="es-MX"/>
        </w:rPr>
        <w:t>6.-</w:t>
      </w:r>
      <w:r w:rsidR="00610E6F" w:rsidRPr="00422CA2">
        <w:rPr>
          <w:rFonts w:ascii="ITC Avant Garde" w:hAnsi="ITC Avant Garde"/>
          <w:sz w:val="22"/>
          <w:szCs w:val="22"/>
          <w:lang w:eastAsia="es-MX"/>
        </w:rPr>
        <w:t xml:space="preserve">El </w:t>
      </w:r>
      <w:r w:rsidR="00036FA4" w:rsidRPr="00422CA2">
        <w:rPr>
          <w:rFonts w:ascii="ITC Avant Garde" w:hAnsi="ITC Avant Garde"/>
          <w:sz w:val="22"/>
          <w:szCs w:val="22"/>
          <w:lang w:eastAsia="es-MX"/>
        </w:rPr>
        <w:t>CS</w:t>
      </w:r>
      <w:r w:rsidR="00610E6F" w:rsidRPr="00422CA2">
        <w:rPr>
          <w:rFonts w:ascii="ITC Avant Garde" w:hAnsi="ITC Avant Garde"/>
          <w:sz w:val="22"/>
          <w:szCs w:val="22"/>
          <w:lang w:eastAsia="es-MX"/>
        </w:rPr>
        <w:t xml:space="preserve"> deberá seleccionar el tipo de base de datos de la cual requiera información</w:t>
      </w:r>
    </w:p>
    <w:p w14:paraId="40E85819" w14:textId="77777777" w:rsidR="001912DC" w:rsidRPr="00422CA2" w:rsidRDefault="001912DC" w:rsidP="005248DC">
      <w:pPr>
        <w:spacing w:after="200" w:line="276" w:lineRule="auto"/>
        <w:jc w:val="both"/>
        <w:rPr>
          <w:rFonts w:ascii="ITC Avant Garde" w:hAnsi="ITC Avant Garde"/>
        </w:rPr>
      </w:pPr>
      <w:r w:rsidRPr="00422CA2">
        <w:rPr>
          <w:rFonts w:ascii="ITC Avant Garde" w:hAnsi="ITC Avant Garde"/>
          <w:sz w:val="22"/>
          <w:szCs w:val="22"/>
          <w:lang w:eastAsia="es-MX"/>
        </w:rPr>
        <w:t>Los tipos de bases de datos disponibles son los que corresponden a la información tipo “a”.</w:t>
      </w:r>
    </w:p>
    <w:p w14:paraId="40E8581B" w14:textId="77777777" w:rsidR="00610E6F" w:rsidRPr="00422CA2" w:rsidRDefault="00610E6F" w:rsidP="00610E6F">
      <w:pPr>
        <w:rPr>
          <w:rFonts w:ascii="ITC Avant Garde" w:hAnsi="ITC Avant Garde"/>
          <w:sz w:val="22"/>
          <w:szCs w:val="22"/>
        </w:rPr>
      </w:pPr>
      <w:r w:rsidRPr="00422CA2">
        <w:rPr>
          <w:rFonts w:ascii="ITC Avant Garde" w:hAnsi="ITC Avant Garde"/>
          <w:noProof/>
          <w:sz w:val="22"/>
          <w:szCs w:val="22"/>
          <w:lang w:val="es-MX" w:eastAsia="es-MX"/>
        </w:rPr>
        <w:drawing>
          <wp:inline distT="0" distB="0" distL="0" distR="0" wp14:anchorId="40E860CA" wp14:editId="40E860CB">
            <wp:extent cx="5367020" cy="2592070"/>
            <wp:effectExtent l="19050" t="19050" r="24130" b="17780"/>
            <wp:docPr id="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2"/>
                    <a:srcRect l="9042" t="23148" r="17717" b="13889"/>
                    <a:stretch>
                      <a:fillRect/>
                    </a:stretch>
                  </pic:blipFill>
                  <pic:spPr bwMode="auto">
                    <a:xfrm>
                      <a:off x="0" y="0"/>
                      <a:ext cx="5367020" cy="2592070"/>
                    </a:xfrm>
                    <a:prstGeom prst="rect">
                      <a:avLst/>
                    </a:prstGeom>
                    <a:noFill/>
                    <a:ln w="9525">
                      <a:solidFill>
                        <a:schemeClr val="tx2"/>
                      </a:solidFill>
                      <a:miter lim="800000"/>
                      <a:headEnd/>
                      <a:tailEnd/>
                    </a:ln>
                  </pic:spPr>
                </pic:pic>
              </a:graphicData>
            </a:graphic>
          </wp:inline>
        </w:drawing>
      </w:r>
    </w:p>
    <w:p w14:paraId="40E8581E" w14:textId="77777777" w:rsidR="00530A32" w:rsidRPr="00422CA2" w:rsidRDefault="004E78E0" w:rsidP="004129D1">
      <w:pPr>
        <w:pStyle w:val="Ttulo1"/>
      </w:pPr>
      <w:bookmarkStart w:id="175" w:name="_Toc436840877"/>
      <w:bookmarkStart w:id="176" w:name="_Toc436846314"/>
      <w:bookmarkStart w:id="177" w:name="_Toc436848264"/>
      <w:bookmarkStart w:id="178" w:name="_Toc436856512"/>
      <w:bookmarkStart w:id="179" w:name="_Toc436862658"/>
      <w:bookmarkStart w:id="180" w:name="_Toc436866308"/>
      <w:bookmarkStart w:id="181" w:name="_Toc436870887"/>
      <w:bookmarkStart w:id="182" w:name="_Toc436875879"/>
      <w:bookmarkStart w:id="183" w:name="_Toc437602067"/>
      <w:r w:rsidRPr="00422CA2">
        <w:t>3.3</w:t>
      </w:r>
      <w:r w:rsidR="00326841" w:rsidRPr="00422CA2">
        <w:t>.</w:t>
      </w:r>
      <w:r w:rsidRPr="00422CA2">
        <w:tab/>
      </w:r>
      <w:r w:rsidR="00011A1B" w:rsidRPr="00422CA2">
        <w:t>Procedimiento de acceso a la información contenida en el SEG o Sistema de Captura</w:t>
      </w:r>
      <w:bookmarkEnd w:id="175"/>
      <w:bookmarkEnd w:id="176"/>
      <w:bookmarkEnd w:id="177"/>
      <w:bookmarkEnd w:id="178"/>
      <w:bookmarkEnd w:id="179"/>
      <w:bookmarkEnd w:id="180"/>
      <w:bookmarkEnd w:id="181"/>
      <w:bookmarkEnd w:id="182"/>
      <w:bookmarkEnd w:id="183"/>
    </w:p>
    <w:p w14:paraId="40E85820" w14:textId="77777777" w:rsidR="00530A32"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Sistema de Captura (en adelante SC) es una herramienta que ofrece la conectividad a través de un </w:t>
      </w:r>
      <w:r w:rsidRPr="00422CA2">
        <w:rPr>
          <w:rFonts w:ascii="ITC Avant Garde" w:hAnsi="ITC Avant Garde"/>
          <w:i/>
          <w:iCs/>
          <w:sz w:val="22"/>
          <w:szCs w:val="22"/>
        </w:rPr>
        <w:t>framework</w:t>
      </w:r>
      <w:r w:rsidRPr="00422CA2">
        <w:rPr>
          <w:rFonts w:ascii="ITC Avant Garde" w:hAnsi="ITC Avant Garde"/>
          <w:sz w:val="22"/>
          <w:szCs w:val="22"/>
        </w:rPr>
        <w:t xml:space="preserve"> con tecnologías Web. Tiene como objetivo principal, permitir a los Concesionarios Solicitantes realizar las peticiones de los servicios </w:t>
      </w:r>
      <w:r w:rsidR="004E78E0" w:rsidRPr="00422CA2">
        <w:rPr>
          <w:rFonts w:ascii="ITC Avant Garde" w:hAnsi="ITC Avant Garde"/>
          <w:sz w:val="22"/>
          <w:szCs w:val="22"/>
        </w:rPr>
        <w:t xml:space="preserve">de </w:t>
      </w:r>
      <w:r w:rsidRPr="00422CA2">
        <w:rPr>
          <w:rFonts w:ascii="ITC Avant Garde" w:hAnsi="ITC Avant Garde"/>
          <w:sz w:val="22"/>
          <w:szCs w:val="22"/>
        </w:rPr>
        <w:t xml:space="preserve">Desagregación, así como reportar fallas de los mismos. </w:t>
      </w:r>
    </w:p>
    <w:p w14:paraId="40E85822" w14:textId="77777777" w:rsidR="00530A32"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El acceso al SC es a través de credenciales (Usuario y Contraseña) y protocolos de comunicación seguros. Permitiendo resguardar la información proporcionada por los CS, así como documentación anexa a cada solicitud.</w:t>
      </w:r>
    </w:p>
    <w:p w14:paraId="40E85824" w14:textId="548383D0" w:rsidR="00530A32"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Sistema de Captura estará disponible para los CS a partir del momento en que se publique la presente </w:t>
      </w:r>
      <w:r w:rsidR="00CA026A">
        <w:rPr>
          <w:rFonts w:ascii="ITC Avant Garde" w:hAnsi="ITC Avant Garde"/>
          <w:sz w:val="22"/>
          <w:szCs w:val="22"/>
        </w:rPr>
        <w:t>OREDA</w:t>
      </w:r>
      <w:r w:rsidRPr="00422CA2">
        <w:rPr>
          <w:rFonts w:ascii="ITC Avant Garde" w:hAnsi="ITC Avant Garde"/>
          <w:sz w:val="22"/>
          <w:szCs w:val="22"/>
        </w:rPr>
        <w:t>, para lo cual deberán seguir el protocolo de obtención de credenciales correspondiente.</w:t>
      </w:r>
    </w:p>
    <w:p w14:paraId="40E85826" w14:textId="77777777" w:rsidR="00530A32"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En específico para acceder a la información contenida en el Sistema de Captura, el procedimiento será el siguiente</w:t>
      </w:r>
    </w:p>
    <w:p w14:paraId="40E85828" w14:textId="77777777" w:rsidR="00530A32" w:rsidRPr="00422CA2" w:rsidRDefault="00011A1B" w:rsidP="005248DC">
      <w:pPr>
        <w:pStyle w:val="Prrafodelista"/>
        <w:numPr>
          <w:ilvl w:val="0"/>
          <w:numId w:val="101"/>
        </w:numPr>
        <w:spacing w:after="200" w:line="276" w:lineRule="auto"/>
        <w:ind w:hanging="357"/>
        <w:rPr>
          <w:rFonts w:ascii="ITC Avant Garde" w:hAnsi="ITC Avant Garde"/>
          <w:sz w:val="22"/>
          <w:szCs w:val="22"/>
          <w:lang w:val="es-MX"/>
        </w:rPr>
      </w:pPr>
      <w:r w:rsidRPr="00422CA2">
        <w:rPr>
          <w:rFonts w:ascii="ITC Avant Garde" w:hAnsi="ITC Avant Garde"/>
          <w:sz w:val="22"/>
          <w:szCs w:val="22"/>
          <w:lang w:val="es-MX"/>
        </w:rPr>
        <w:t>El CS deberá ingresar al Sistema de Captura o al Sistema Electrónico de Gestión cuando esté disponible, con su usuario y contraseña asignados por parte de Telmex</w:t>
      </w:r>
    </w:p>
    <w:p w14:paraId="40E85829" w14:textId="77777777" w:rsidR="00530A32" w:rsidRPr="00422CA2" w:rsidRDefault="00011A1B" w:rsidP="005248DC">
      <w:pPr>
        <w:pStyle w:val="Prrafodelista"/>
        <w:numPr>
          <w:ilvl w:val="0"/>
          <w:numId w:val="101"/>
        </w:numPr>
        <w:spacing w:after="200" w:line="276" w:lineRule="auto"/>
        <w:ind w:hanging="357"/>
        <w:rPr>
          <w:rFonts w:ascii="ITC Avant Garde" w:hAnsi="ITC Avant Garde"/>
          <w:sz w:val="22"/>
          <w:szCs w:val="22"/>
          <w:lang w:val="es-MX"/>
        </w:rPr>
      </w:pPr>
      <w:r w:rsidRPr="00422CA2">
        <w:rPr>
          <w:rFonts w:ascii="ITC Avant Garde" w:hAnsi="ITC Avant Garde"/>
          <w:sz w:val="22"/>
          <w:szCs w:val="22"/>
          <w:lang w:val="es-MX"/>
        </w:rPr>
        <w:t>Para consultar información el CS deberá ingresar al módulo de consulta de información</w:t>
      </w:r>
    </w:p>
    <w:p w14:paraId="40E8582A" w14:textId="77777777" w:rsidR="00530A32" w:rsidRPr="00422CA2" w:rsidRDefault="00011A1B" w:rsidP="005248DC">
      <w:pPr>
        <w:pStyle w:val="Prrafodelista"/>
        <w:numPr>
          <w:ilvl w:val="1"/>
          <w:numId w:val="101"/>
        </w:numPr>
        <w:spacing w:after="200" w:line="276" w:lineRule="auto"/>
        <w:ind w:hanging="357"/>
        <w:rPr>
          <w:rFonts w:ascii="ITC Avant Garde" w:hAnsi="ITC Avant Garde"/>
          <w:sz w:val="22"/>
          <w:szCs w:val="22"/>
          <w:lang w:val="es-MX"/>
        </w:rPr>
      </w:pPr>
      <w:r w:rsidRPr="00422CA2">
        <w:rPr>
          <w:rFonts w:ascii="ITC Avant Garde" w:hAnsi="ITC Avant Garde"/>
          <w:sz w:val="22"/>
          <w:szCs w:val="22"/>
          <w:lang w:val="es-MX"/>
        </w:rPr>
        <w:t>En el módulo de consulta de información se desplegarán las distintas categorías de información disponibles</w:t>
      </w:r>
    </w:p>
    <w:p w14:paraId="40E8582B" w14:textId="77777777" w:rsidR="00530A32" w:rsidRPr="00422CA2" w:rsidRDefault="00011A1B" w:rsidP="005248DC">
      <w:pPr>
        <w:pStyle w:val="Prrafodelista"/>
        <w:numPr>
          <w:ilvl w:val="1"/>
          <w:numId w:val="101"/>
        </w:numPr>
        <w:spacing w:after="200" w:line="276" w:lineRule="auto"/>
        <w:ind w:hanging="357"/>
        <w:rPr>
          <w:rFonts w:ascii="ITC Avant Garde" w:hAnsi="ITC Avant Garde"/>
          <w:sz w:val="22"/>
          <w:szCs w:val="22"/>
          <w:lang w:val="es-MX"/>
        </w:rPr>
      </w:pPr>
      <w:r w:rsidRPr="00422CA2">
        <w:rPr>
          <w:rFonts w:ascii="ITC Avant Garde" w:hAnsi="ITC Avant Garde"/>
          <w:sz w:val="22"/>
          <w:szCs w:val="22"/>
          <w:lang w:val="es-MX"/>
        </w:rPr>
        <w:t>El CS seleccionará la categoría de interés</w:t>
      </w:r>
    </w:p>
    <w:p w14:paraId="40E8582C" w14:textId="77777777" w:rsidR="00530A32" w:rsidRPr="00422CA2" w:rsidRDefault="00011A1B" w:rsidP="005248DC">
      <w:pPr>
        <w:pStyle w:val="Prrafodelista"/>
        <w:numPr>
          <w:ilvl w:val="0"/>
          <w:numId w:val="101"/>
        </w:numPr>
        <w:spacing w:after="200" w:line="276" w:lineRule="auto"/>
        <w:ind w:hanging="357"/>
        <w:rPr>
          <w:rFonts w:ascii="ITC Avant Garde" w:hAnsi="ITC Avant Garde"/>
          <w:sz w:val="22"/>
          <w:szCs w:val="22"/>
          <w:lang w:val="es-MX"/>
        </w:rPr>
      </w:pPr>
      <w:r w:rsidRPr="00422CA2">
        <w:rPr>
          <w:rFonts w:ascii="ITC Avant Garde" w:hAnsi="ITC Avant Garde"/>
          <w:sz w:val="22"/>
          <w:szCs w:val="22"/>
          <w:lang w:val="es-MX"/>
        </w:rPr>
        <w:t>El Sistema desplegará la información solicitada por el CS</w:t>
      </w:r>
    </w:p>
    <w:p w14:paraId="40E8582D" w14:textId="77777777" w:rsidR="00530A32" w:rsidRPr="00422CA2" w:rsidRDefault="00011A1B" w:rsidP="004129D1">
      <w:pPr>
        <w:pStyle w:val="Ttulo1"/>
      </w:pPr>
      <w:bookmarkStart w:id="184" w:name="_Toc436840878"/>
      <w:bookmarkStart w:id="185" w:name="_Toc436846315"/>
      <w:bookmarkStart w:id="186" w:name="_Toc436848265"/>
      <w:bookmarkStart w:id="187" w:name="_Toc436856513"/>
      <w:bookmarkStart w:id="188" w:name="_Toc436862659"/>
      <w:bookmarkStart w:id="189" w:name="_Toc436866309"/>
      <w:bookmarkStart w:id="190" w:name="_Toc436870888"/>
      <w:bookmarkStart w:id="191" w:name="_Toc436875880"/>
      <w:bookmarkStart w:id="192" w:name="_Toc437602068"/>
      <w:r w:rsidRPr="00422CA2">
        <w:t>3.4</w:t>
      </w:r>
      <w:r w:rsidR="00326841" w:rsidRPr="00422CA2">
        <w:t>.</w:t>
      </w:r>
      <w:r w:rsidRPr="00422CA2">
        <w:tab/>
        <w:t>Procedimiento de acceso a la información de forma presencial</w:t>
      </w:r>
      <w:bookmarkEnd w:id="184"/>
      <w:bookmarkEnd w:id="185"/>
      <w:bookmarkEnd w:id="186"/>
      <w:bookmarkEnd w:id="187"/>
      <w:bookmarkEnd w:id="188"/>
      <w:bookmarkEnd w:id="189"/>
      <w:bookmarkEnd w:id="190"/>
      <w:bookmarkEnd w:id="191"/>
      <w:bookmarkEnd w:id="192"/>
    </w:p>
    <w:p w14:paraId="40E8582F" w14:textId="77777777" w:rsidR="006D335A" w:rsidRPr="00422CA2" w:rsidRDefault="00011A1B" w:rsidP="005248DC">
      <w:pPr>
        <w:pStyle w:val="Texto1"/>
        <w:numPr>
          <w:ilvl w:val="0"/>
          <w:numId w:val="83"/>
        </w:numPr>
        <w:spacing w:after="200" w:line="276" w:lineRule="auto"/>
        <w:rPr>
          <w:rFonts w:ascii="ITC Avant Garde" w:hAnsi="ITC Avant Garde"/>
          <w:sz w:val="22"/>
          <w:szCs w:val="22"/>
        </w:rPr>
      </w:pPr>
      <w:r w:rsidRPr="00422CA2">
        <w:rPr>
          <w:rFonts w:ascii="ITC Avant Garde" w:hAnsi="ITC Avant Garde"/>
          <w:sz w:val="22"/>
          <w:szCs w:val="22"/>
        </w:rPr>
        <w:t>El Responsable del CS deberá acudir a las instalaciones de Telmex (Parque Vía 190, Col Cuauhtémoc, Delegación Cuauhtémoc, CP 06599, México DF), PISO 9, área de operadores, Grupo de Servicios de Desagregación, en un horario de 09:00 a 14:00/16:00-19:00, e identificarse adecuadamente en las instalaciones.</w:t>
      </w:r>
    </w:p>
    <w:p w14:paraId="40E85830" w14:textId="77777777" w:rsidR="006D335A" w:rsidRPr="00422CA2" w:rsidRDefault="00011A1B" w:rsidP="005248DC">
      <w:pPr>
        <w:pStyle w:val="Texto1"/>
        <w:numPr>
          <w:ilvl w:val="0"/>
          <w:numId w:val="83"/>
        </w:numPr>
        <w:spacing w:after="200" w:line="276" w:lineRule="auto"/>
        <w:rPr>
          <w:rFonts w:ascii="ITC Avant Garde" w:hAnsi="ITC Avant Garde"/>
          <w:sz w:val="22"/>
          <w:szCs w:val="22"/>
        </w:rPr>
      </w:pPr>
      <w:r w:rsidRPr="00422CA2">
        <w:rPr>
          <w:rFonts w:ascii="ITC Avant Garde" w:hAnsi="ITC Avant Garde"/>
          <w:sz w:val="22"/>
          <w:szCs w:val="22"/>
        </w:rPr>
        <w:t>El Responsable del CS deberá, llenar el formato de solicitud de información y entregarlo al personal Telmex para efectuar la validación.</w:t>
      </w:r>
    </w:p>
    <w:p w14:paraId="40E85831" w14:textId="77777777" w:rsidR="006D335A" w:rsidRPr="00422CA2" w:rsidRDefault="00011A1B" w:rsidP="005248DC">
      <w:pPr>
        <w:pStyle w:val="Texto1"/>
        <w:numPr>
          <w:ilvl w:val="0"/>
          <w:numId w:val="83"/>
        </w:numPr>
        <w:spacing w:after="200" w:line="276" w:lineRule="auto"/>
        <w:rPr>
          <w:rFonts w:ascii="ITC Avant Garde" w:hAnsi="ITC Avant Garde"/>
          <w:sz w:val="22"/>
          <w:szCs w:val="22"/>
        </w:rPr>
      </w:pPr>
      <w:r w:rsidRPr="00422CA2">
        <w:rPr>
          <w:rFonts w:ascii="ITC Avant Garde" w:hAnsi="ITC Avant Garde"/>
          <w:sz w:val="22"/>
          <w:szCs w:val="22"/>
        </w:rPr>
        <w:t>Si el formato es llenado de manera correcta, se procede a la entrega de información en 1 día hábil.</w:t>
      </w:r>
    </w:p>
    <w:p w14:paraId="40E85833" w14:textId="77777777" w:rsidR="00530A32" w:rsidRPr="00422CA2" w:rsidRDefault="00011A1B" w:rsidP="004129D1">
      <w:pPr>
        <w:pStyle w:val="Ttulo1"/>
      </w:pPr>
      <w:bookmarkStart w:id="193" w:name="_Toc436840879"/>
      <w:bookmarkStart w:id="194" w:name="_Toc436846316"/>
      <w:bookmarkStart w:id="195" w:name="_Toc436848266"/>
      <w:bookmarkStart w:id="196" w:name="_Toc436856514"/>
      <w:bookmarkStart w:id="197" w:name="_Toc436862660"/>
      <w:bookmarkStart w:id="198" w:name="_Toc436866310"/>
      <w:bookmarkStart w:id="199" w:name="_Toc436870889"/>
      <w:bookmarkStart w:id="200" w:name="_Toc436875881"/>
      <w:bookmarkStart w:id="201" w:name="_Toc437602069"/>
      <w:r w:rsidRPr="00422CA2">
        <w:t>3.5</w:t>
      </w:r>
      <w:r w:rsidR="00326841" w:rsidRPr="00422CA2">
        <w:t>.</w:t>
      </w:r>
      <w:r w:rsidRPr="00422CA2">
        <w:tab/>
        <w:t>Procedimiento de acceso a la información a través del medio alterno</w:t>
      </w:r>
      <w:bookmarkEnd w:id="193"/>
      <w:bookmarkEnd w:id="194"/>
      <w:bookmarkEnd w:id="195"/>
      <w:bookmarkEnd w:id="196"/>
      <w:bookmarkEnd w:id="197"/>
      <w:bookmarkEnd w:id="198"/>
      <w:bookmarkEnd w:id="199"/>
      <w:bookmarkEnd w:id="200"/>
      <w:bookmarkEnd w:id="201"/>
    </w:p>
    <w:p w14:paraId="40E85835" w14:textId="2056E576" w:rsidR="006A4724" w:rsidRPr="00422CA2" w:rsidRDefault="006A4724"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medio alterno para que los CS accedan a la información señalada en los puntos anteriores en caso de que </w:t>
      </w:r>
      <w:r w:rsidR="00C4252F" w:rsidRPr="00422CA2">
        <w:rPr>
          <w:rFonts w:ascii="ITC Avant Garde" w:hAnsi="ITC Avant Garde"/>
          <w:sz w:val="22"/>
          <w:szCs w:val="22"/>
        </w:rPr>
        <w:t>el Sistema de Captura</w:t>
      </w:r>
      <w:r w:rsidRPr="00422CA2">
        <w:rPr>
          <w:rFonts w:ascii="ITC Avant Garde" w:hAnsi="ITC Avant Garde"/>
          <w:sz w:val="22"/>
          <w:szCs w:val="22"/>
        </w:rPr>
        <w:t xml:space="preserve"> o el SEG no se encuentren </w:t>
      </w:r>
      <w:r w:rsidRPr="00422CA2">
        <w:rPr>
          <w:rFonts w:ascii="ITC Avant Garde" w:hAnsi="ITC Avant Garde"/>
          <w:sz w:val="22"/>
          <w:szCs w:val="22"/>
        </w:rPr>
        <w:lastRenderedPageBreak/>
        <w:t xml:space="preserve">disponibles, será definido al CS, vía el correo electrónico </w:t>
      </w:r>
      <w:hyperlink r:id="rId33" w:history="1">
        <w:r w:rsidRPr="00422CA2">
          <w:rPr>
            <w:rStyle w:val="Hipervnculo"/>
            <w:rFonts w:ascii="ITC Avant Garde" w:hAnsi="ITC Avant Garde"/>
            <w:color w:val="auto"/>
            <w:sz w:val="22"/>
            <w:szCs w:val="22"/>
            <w:u w:val="none"/>
          </w:rPr>
          <w:t>OPERDES@telmex.com</w:t>
        </w:r>
      </w:hyperlink>
      <w:r w:rsidRPr="00422CA2">
        <w:rPr>
          <w:rFonts w:ascii="ITC Avant Garde" w:hAnsi="ITC Avant Garde"/>
          <w:sz w:val="22"/>
          <w:szCs w:val="22"/>
        </w:rPr>
        <w:t xml:space="preserve">, en donde Telmex notificara la forma de </w:t>
      </w:r>
      <w:r w:rsidR="00236C7D" w:rsidRPr="00422CA2">
        <w:rPr>
          <w:rFonts w:ascii="ITC Avant Garde" w:hAnsi="ITC Avant Garde"/>
          <w:sz w:val="22"/>
          <w:szCs w:val="22"/>
        </w:rPr>
        <w:t xml:space="preserve">entregar </w:t>
      </w:r>
      <w:r w:rsidRPr="00422CA2">
        <w:rPr>
          <w:rFonts w:ascii="ITC Avant Garde" w:hAnsi="ITC Avant Garde"/>
          <w:sz w:val="22"/>
          <w:szCs w:val="22"/>
        </w:rPr>
        <w:t>la información.</w:t>
      </w:r>
    </w:p>
    <w:p w14:paraId="40E85837" w14:textId="77777777" w:rsidR="006A4724" w:rsidRPr="00422CA2" w:rsidRDefault="006A4724"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Se deberá seguir el siguiente procedimiento. </w:t>
      </w:r>
    </w:p>
    <w:p w14:paraId="40E85838" w14:textId="77777777" w:rsidR="006A4724" w:rsidRPr="00422CA2" w:rsidRDefault="006A4724" w:rsidP="005248DC">
      <w:pPr>
        <w:pStyle w:val="Prrafodelista"/>
        <w:numPr>
          <w:ilvl w:val="0"/>
          <w:numId w:val="13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El CS realizará su solicitud de información vía correo electrónico, señalando el tipo de información que requiere. </w:t>
      </w:r>
    </w:p>
    <w:p w14:paraId="40E85839" w14:textId="5E0E87BC" w:rsidR="006A4724" w:rsidRPr="00422CA2" w:rsidRDefault="00800F67" w:rsidP="005248DC">
      <w:pPr>
        <w:pStyle w:val="Prrafodelista"/>
        <w:numPr>
          <w:ilvl w:val="0"/>
          <w:numId w:val="132"/>
        </w:numPr>
        <w:spacing w:after="200" w:line="276" w:lineRule="auto"/>
        <w:jc w:val="both"/>
        <w:rPr>
          <w:rFonts w:ascii="ITC Avant Garde" w:hAnsi="ITC Avant Garde"/>
          <w:sz w:val="22"/>
          <w:szCs w:val="22"/>
        </w:rPr>
      </w:pPr>
      <w:r w:rsidRPr="00422CA2">
        <w:rPr>
          <w:rFonts w:ascii="ITC Avant Garde" w:hAnsi="ITC Avant Garde"/>
          <w:sz w:val="22"/>
          <w:szCs w:val="22"/>
          <w:lang w:val="es-MX"/>
        </w:rPr>
        <w:t xml:space="preserve">Telmex con base en la clasificación de la información (tipo “a” y tipo “b”) notificara vía correo </w:t>
      </w:r>
      <w:r w:rsidR="00863AEE" w:rsidRPr="00422CA2">
        <w:rPr>
          <w:rFonts w:ascii="ITC Avant Garde" w:hAnsi="ITC Avant Garde"/>
          <w:sz w:val="22"/>
          <w:szCs w:val="22"/>
          <w:lang w:val="es-MX"/>
        </w:rPr>
        <w:t xml:space="preserve">en máximo 2 días hábiles </w:t>
      </w:r>
      <w:r w:rsidRPr="00422CA2">
        <w:rPr>
          <w:rFonts w:ascii="ITC Avant Garde" w:hAnsi="ITC Avant Garde"/>
          <w:sz w:val="22"/>
          <w:szCs w:val="22"/>
          <w:lang w:val="es-MX"/>
        </w:rPr>
        <w:t>el medio por el cual se proporcionará la información</w:t>
      </w:r>
      <w:r w:rsidR="00863AEE" w:rsidRPr="00422CA2">
        <w:rPr>
          <w:rFonts w:ascii="ITC Avant Garde" w:hAnsi="ITC Avant Garde"/>
          <w:sz w:val="22"/>
          <w:szCs w:val="22"/>
          <w:lang w:val="es-MX"/>
        </w:rPr>
        <w:t>.</w:t>
      </w:r>
      <w:r w:rsidR="006A4724" w:rsidRPr="00422CA2">
        <w:rPr>
          <w:rFonts w:ascii="ITC Avant Garde" w:hAnsi="ITC Avant Garde"/>
          <w:sz w:val="22"/>
          <w:szCs w:val="22"/>
        </w:rPr>
        <w:t xml:space="preserve"> </w:t>
      </w:r>
    </w:p>
    <w:p w14:paraId="40E8583A" w14:textId="77777777" w:rsidR="006A4724" w:rsidRPr="00422CA2" w:rsidRDefault="006A4724" w:rsidP="005248DC">
      <w:pPr>
        <w:spacing w:after="200" w:line="276" w:lineRule="auto"/>
        <w:jc w:val="both"/>
        <w:rPr>
          <w:rFonts w:ascii="ITC Avant Garde" w:hAnsi="ITC Avant Garde"/>
          <w:sz w:val="22"/>
          <w:szCs w:val="22"/>
        </w:rPr>
      </w:pPr>
      <w:r w:rsidRPr="00422CA2">
        <w:rPr>
          <w:rFonts w:ascii="ITC Avant Garde" w:hAnsi="ITC Avant Garde"/>
          <w:sz w:val="22"/>
          <w:szCs w:val="22"/>
        </w:rPr>
        <w:t>Alternativamente estará disponible la obtención de información de manera presencial.</w:t>
      </w:r>
    </w:p>
    <w:p w14:paraId="40E8583C" w14:textId="2CE3F7F2" w:rsidR="00530A32" w:rsidRPr="00422CA2" w:rsidRDefault="00DB40E9" w:rsidP="004129D1">
      <w:pPr>
        <w:pStyle w:val="Ttulo1"/>
      </w:pPr>
      <w:bookmarkStart w:id="202" w:name="_Toc396337588"/>
      <w:bookmarkStart w:id="203" w:name="_Toc436840880"/>
      <w:bookmarkStart w:id="204" w:name="_Toc436846317"/>
      <w:bookmarkStart w:id="205" w:name="_Toc436848267"/>
      <w:bookmarkStart w:id="206" w:name="_Toc436856515"/>
      <w:bookmarkStart w:id="207" w:name="_Toc436862661"/>
      <w:bookmarkStart w:id="208" w:name="_Toc436866311"/>
      <w:bookmarkStart w:id="209" w:name="_Toc436870890"/>
      <w:bookmarkStart w:id="210" w:name="_Toc436875882"/>
      <w:bookmarkStart w:id="211" w:name="_Toc437602070"/>
      <w:r w:rsidRPr="00422CA2">
        <w:t xml:space="preserve">4. </w:t>
      </w:r>
      <w:r w:rsidR="00011A1B" w:rsidRPr="00422CA2">
        <w:t>Servicio de Reventa de Línea</w:t>
      </w:r>
      <w:bookmarkEnd w:id="202"/>
      <w:bookmarkEnd w:id="203"/>
      <w:bookmarkEnd w:id="204"/>
      <w:bookmarkEnd w:id="205"/>
      <w:bookmarkEnd w:id="206"/>
      <w:bookmarkEnd w:id="207"/>
      <w:bookmarkEnd w:id="208"/>
      <w:bookmarkEnd w:id="209"/>
      <w:bookmarkEnd w:id="210"/>
      <w:bookmarkEnd w:id="211"/>
    </w:p>
    <w:p w14:paraId="40E8583E" w14:textId="24BDCE4B" w:rsidR="00530A32" w:rsidRPr="00422CA2" w:rsidRDefault="00011A1B" w:rsidP="00586B55">
      <w:pPr>
        <w:pStyle w:val="Ttulo1"/>
      </w:pPr>
      <w:bookmarkStart w:id="212" w:name="_Toc436840881"/>
      <w:bookmarkStart w:id="213" w:name="_Toc436846318"/>
      <w:bookmarkStart w:id="214" w:name="_Toc436848268"/>
      <w:bookmarkStart w:id="215" w:name="_Toc436856516"/>
      <w:bookmarkStart w:id="216" w:name="_Toc436862662"/>
      <w:bookmarkStart w:id="217" w:name="_Toc436866312"/>
      <w:bookmarkStart w:id="218" w:name="_Toc436870891"/>
      <w:bookmarkStart w:id="219" w:name="_Toc436875883"/>
      <w:bookmarkStart w:id="220" w:name="_Toc437602071"/>
      <w:r w:rsidRPr="00422CA2">
        <w:t>4.1</w:t>
      </w:r>
      <w:r w:rsidR="00326841" w:rsidRPr="00422CA2">
        <w:t>.</w:t>
      </w:r>
      <w:r w:rsidRPr="00422CA2">
        <w:tab/>
        <w:t xml:space="preserve">Servicio de Reventa de Línea </w:t>
      </w:r>
      <w:r w:rsidR="00236C7D" w:rsidRPr="00422CA2">
        <w:t>Telefónica</w:t>
      </w:r>
      <w:bookmarkEnd w:id="212"/>
      <w:bookmarkEnd w:id="213"/>
      <w:bookmarkEnd w:id="214"/>
      <w:bookmarkEnd w:id="215"/>
      <w:bookmarkEnd w:id="216"/>
      <w:bookmarkEnd w:id="217"/>
      <w:bookmarkEnd w:id="218"/>
      <w:bookmarkEnd w:id="219"/>
      <w:bookmarkEnd w:id="220"/>
      <w:r w:rsidR="00236C7D" w:rsidRPr="00422CA2">
        <w:t xml:space="preserve"> </w:t>
      </w:r>
    </w:p>
    <w:p w14:paraId="40E8583F" w14:textId="6E7A1A33" w:rsidR="00F74747"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lang w:val="es-MX"/>
        </w:rPr>
        <w:t xml:space="preserve">El Servicio de Reventa de Línea Telefónica (SRLT) permite </w:t>
      </w:r>
      <w:r w:rsidRPr="00422CA2">
        <w:rPr>
          <w:rFonts w:ascii="ITC Avant Garde" w:hAnsi="ITC Avant Garde"/>
          <w:sz w:val="22"/>
          <w:szCs w:val="22"/>
        </w:rPr>
        <w:t xml:space="preserve">la reventa o comercialización del servicio de línea telefónica en las modalidades de Línea Residencial o Línea Comercial que Telmex </w:t>
      </w:r>
      <w:r w:rsidR="00262F20" w:rsidRPr="00422CA2">
        <w:rPr>
          <w:rFonts w:ascii="ITC Avant Garde" w:hAnsi="ITC Avant Garde"/>
          <w:sz w:val="22"/>
          <w:szCs w:val="22"/>
        </w:rPr>
        <w:t xml:space="preserve">tiene </w:t>
      </w:r>
      <w:r w:rsidR="00236C7D" w:rsidRPr="00422CA2">
        <w:rPr>
          <w:rFonts w:ascii="ITC Avant Garde" w:hAnsi="ITC Avant Garde"/>
          <w:sz w:val="22"/>
          <w:szCs w:val="22"/>
        </w:rPr>
        <w:t>autorizado y</w:t>
      </w:r>
      <w:r w:rsidR="00262F20" w:rsidRPr="00422CA2">
        <w:rPr>
          <w:rFonts w:ascii="ITC Avant Garde" w:hAnsi="ITC Avant Garde"/>
          <w:sz w:val="22"/>
          <w:szCs w:val="22"/>
        </w:rPr>
        <w:t xml:space="preserve"> registrado ante el Instituto, ofrece o </w:t>
      </w:r>
      <w:r w:rsidRPr="00422CA2">
        <w:rPr>
          <w:rFonts w:ascii="ITC Avant Garde" w:hAnsi="ITC Avant Garde"/>
          <w:sz w:val="22"/>
          <w:szCs w:val="22"/>
        </w:rPr>
        <w:t>comercializa actualmente</w:t>
      </w:r>
      <w:r w:rsidR="006A1DB5" w:rsidRPr="00422CA2">
        <w:rPr>
          <w:rFonts w:ascii="ITC Avant Garde" w:hAnsi="ITC Avant Garde"/>
          <w:sz w:val="22"/>
          <w:szCs w:val="22"/>
        </w:rPr>
        <w:t xml:space="preserve">, </w:t>
      </w:r>
      <w:r w:rsidR="00891AED" w:rsidRPr="00422CA2">
        <w:rPr>
          <w:rFonts w:ascii="ITC Avant Garde" w:hAnsi="ITC Avant Garde"/>
          <w:sz w:val="22"/>
          <w:szCs w:val="22"/>
        </w:rPr>
        <w:t>en los mismos términos y condiciones que ofrece a sus usuarios incluyendo descuentos y promociones</w:t>
      </w:r>
      <w:r w:rsidR="006E2E0E" w:rsidRPr="00422CA2">
        <w:rPr>
          <w:rFonts w:ascii="ITC Avant Garde" w:hAnsi="ITC Avant Garde"/>
          <w:sz w:val="22"/>
          <w:szCs w:val="22"/>
        </w:rPr>
        <w:t>, así como, en su caso, los descuentos mayoristas aplicables</w:t>
      </w:r>
      <w:r w:rsidRPr="00422CA2">
        <w:rPr>
          <w:rFonts w:ascii="ITC Avant Garde" w:hAnsi="ITC Avant Garde"/>
          <w:sz w:val="22"/>
          <w:szCs w:val="22"/>
        </w:rPr>
        <w:t xml:space="preserve">. Telmex </w:t>
      </w:r>
      <w:r w:rsidR="0051165A" w:rsidRPr="00422CA2">
        <w:rPr>
          <w:rFonts w:ascii="ITC Avant Garde" w:hAnsi="ITC Avant Garde"/>
          <w:sz w:val="22"/>
          <w:szCs w:val="22"/>
        </w:rPr>
        <w:t>ofrecerá</w:t>
      </w:r>
      <w:r w:rsidRPr="00422CA2">
        <w:rPr>
          <w:rFonts w:ascii="ITC Avant Garde" w:hAnsi="ITC Avant Garde"/>
          <w:sz w:val="22"/>
          <w:szCs w:val="22"/>
        </w:rPr>
        <w:t xml:space="preserve"> a los CS las nuevas ofertas comerciales de línea telefónica </w:t>
      </w:r>
      <w:r w:rsidR="00006209" w:rsidRPr="00422CA2">
        <w:rPr>
          <w:rFonts w:ascii="ITC Avant Garde" w:hAnsi="ITC Avant Garde"/>
          <w:sz w:val="22"/>
          <w:szCs w:val="22"/>
        </w:rPr>
        <w:t>una vez que</w:t>
      </w:r>
      <w:r w:rsidRPr="00422CA2">
        <w:rPr>
          <w:rFonts w:ascii="ITC Avant Garde" w:hAnsi="ITC Avant Garde"/>
          <w:sz w:val="22"/>
          <w:szCs w:val="22"/>
        </w:rPr>
        <w:t xml:space="preserve"> </w:t>
      </w:r>
      <w:r w:rsidR="0051165A" w:rsidRPr="00422CA2">
        <w:rPr>
          <w:rFonts w:ascii="ITC Avant Garde" w:hAnsi="ITC Avant Garde"/>
          <w:sz w:val="22"/>
          <w:szCs w:val="22"/>
        </w:rPr>
        <w:t>se las autorice</w:t>
      </w:r>
      <w:r w:rsidRPr="00422CA2">
        <w:rPr>
          <w:rFonts w:ascii="ITC Avant Garde" w:hAnsi="ITC Avant Garde"/>
          <w:sz w:val="22"/>
          <w:szCs w:val="22"/>
        </w:rPr>
        <w:t xml:space="preserve"> el Instituto</w:t>
      </w:r>
      <w:r w:rsidR="00236C7D" w:rsidRPr="00422CA2">
        <w:rPr>
          <w:rFonts w:ascii="ITC Avant Garde" w:hAnsi="ITC Avant Garde"/>
          <w:sz w:val="22"/>
          <w:szCs w:val="22"/>
        </w:rPr>
        <w:t>.</w:t>
      </w:r>
      <w:r w:rsidRPr="00422CA2">
        <w:rPr>
          <w:rFonts w:ascii="ITC Avant Garde" w:hAnsi="ITC Avant Garde"/>
          <w:sz w:val="22"/>
          <w:szCs w:val="22"/>
        </w:rPr>
        <w:t xml:space="preserve"> </w:t>
      </w:r>
      <w:r w:rsidR="00236C7D" w:rsidRPr="00422CA2">
        <w:rPr>
          <w:rFonts w:ascii="ITC Avant Garde" w:hAnsi="ITC Avant Garde"/>
          <w:sz w:val="22"/>
          <w:szCs w:val="22"/>
        </w:rPr>
        <w:t>Para</w:t>
      </w:r>
      <w:r w:rsidRPr="00422CA2">
        <w:rPr>
          <w:rFonts w:ascii="ITC Avant Garde" w:hAnsi="ITC Avant Garde"/>
          <w:sz w:val="22"/>
          <w:szCs w:val="22"/>
        </w:rPr>
        <w:t xml:space="preserve"> ello, publicará las nuevas ofertas comerciales autorizadas en </w:t>
      </w:r>
      <w:r w:rsidR="00006209" w:rsidRPr="00422CA2">
        <w:rPr>
          <w:rFonts w:ascii="ITC Avant Garde" w:hAnsi="ITC Avant Garde"/>
          <w:sz w:val="22"/>
          <w:szCs w:val="22"/>
        </w:rPr>
        <w:t>el Sistema de Captura o SEG cuando esté disponible</w:t>
      </w:r>
      <w:r w:rsidR="001A3BD7" w:rsidRPr="00422CA2">
        <w:rPr>
          <w:rFonts w:ascii="ITC Avant Garde" w:hAnsi="ITC Avant Garde"/>
          <w:sz w:val="22"/>
          <w:szCs w:val="22"/>
        </w:rPr>
        <w:t>.</w:t>
      </w:r>
    </w:p>
    <w:p w14:paraId="40E85841" w14:textId="77777777" w:rsidR="007C70D0" w:rsidRPr="00422CA2" w:rsidRDefault="00011A1B" w:rsidP="005248DC">
      <w:pPr>
        <w:spacing w:after="200" w:line="276" w:lineRule="auto"/>
        <w:jc w:val="both"/>
        <w:rPr>
          <w:rFonts w:ascii="ITC Avant Garde" w:hAnsi="ITC Avant Garde" w:cs="Arial"/>
          <w:sz w:val="22"/>
          <w:szCs w:val="22"/>
        </w:rPr>
      </w:pPr>
      <w:r w:rsidRPr="00422CA2">
        <w:rPr>
          <w:rFonts w:ascii="ITC Avant Garde" w:hAnsi="ITC Avant Garde"/>
          <w:sz w:val="22"/>
          <w:szCs w:val="22"/>
        </w:rPr>
        <w:t>Al momento de la contratación de los servicios e</w:t>
      </w:r>
      <w:r w:rsidRPr="00422CA2">
        <w:rPr>
          <w:rFonts w:ascii="ITC Avant Garde" w:hAnsi="ITC Avant Garde" w:cs="Arial"/>
          <w:sz w:val="22"/>
          <w:szCs w:val="22"/>
        </w:rPr>
        <w:t>l CS deberá expresar el tipo de usuario que desea contratar, no obstante, si el domicilio del usuario final para el que se ha solicitado una línea residencial no es persona física, se habilitará la línea en la modalidad comercial.</w:t>
      </w:r>
    </w:p>
    <w:p w14:paraId="40E85843" w14:textId="3F3F605D" w:rsidR="00DB072C" w:rsidRPr="00422CA2" w:rsidRDefault="009168A2"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Conforme a lo estipulado en apartado 1.3 </w:t>
      </w:r>
      <w:r w:rsidR="00EB4F94" w:rsidRPr="00422CA2">
        <w:rPr>
          <w:rFonts w:ascii="ITC Avant Garde" w:hAnsi="ITC Avant Garde"/>
          <w:sz w:val="22"/>
          <w:szCs w:val="22"/>
        </w:rPr>
        <w:t xml:space="preserve">cuando </w:t>
      </w:r>
      <w:r w:rsidR="00011A1B" w:rsidRPr="00422CA2">
        <w:rPr>
          <w:rFonts w:ascii="ITC Avant Garde" w:hAnsi="ITC Avant Garde"/>
          <w:sz w:val="22"/>
          <w:szCs w:val="22"/>
        </w:rPr>
        <w:t xml:space="preserve">no existe acometida, Telmex realiza la instalación de la misma, desde la caja terminal hasta el PCT ubicado en el domicilio del usuario final y adicionalmente habilita el servicio para que el CS pueda facturarlo. Cuando existe acometida sin servicio activo, Telmex habilitará el servicio en dicha acometida si la misma cumple con los parámetros </w:t>
      </w:r>
      <w:r w:rsidR="00C2791E" w:rsidRPr="00422CA2">
        <w:rPr>
          <w:rFonts w:ascii="ITC Avant Garde" w:hAnsi="ITC Avant Garde"/>
          <w:sz w:val="22"/>
          <w:szCs w:val="22"/>
          <w:lang w:val="es-MX"/>
        </w:rPr>
        <w:t>de calidad que deben de cumplirse al momento de la habilitación</w:t>
      </w:r>
      <w:r w:rsidR="00C2791E" w:rsidRPr="00422CA2" w:rsidDel="00C2791E">
        <w:rPr>
          <w:rFonts w:ascii="ITC Avant Garde" w:hAnsi="ITC Avant Garde"/>
          <w:sz w:val="22"/>
          <w:szCs w:val="22"/>
        </w:rPr>
        <w:t xml:space="preserve"> </w:t>
      </w:r>
      <w:r w:rsidR="00C2791E" w:rsidRPr="00422CA2">
        <w:rPr>
          <w:rFonts w:ascii="ITC Avant Garde" w:hAnsi="ITC Avant Garde"/>
          <w:sz w:val="22"/>
          <w:szCs w:val="22"/>
        </w:rPr>
        <w:t xml:space="preserve">señalados en el numeral 4.8 del apartado Parámetros e indicadores de calidad para los Servicios de Reventa </w:t>
      </w:r>
      <w:r w:rsidR="00011A1B" w:rsidRPr="00422CA2">
        <w:rPr>
          <w:rFonts w:ascii="ITC Avant Garde" w:hAnsi="ITC Avant Garde"/>
          <w:sz w:val="22"/>
          <w:szCs w:val="22"/>
        </w:rPr>
        <w:t xml:space="preserve">, en caso contrario, Telmex instalará una nueva acometida </w:t>
      </w:r>
      <w:r w:rsidRPr="00422CA2">
        <w:rPr>
          <w:rFonts w:ascii="ITC Avant Garde" w:hAnsi="ITC Avant Garde"/>
          <w:sz w:val="22"/>
          <w:szCs w:val="22"/>
        </w:rPr>
        <w:t xml:space="preserve">sin </w:t>
      </w:r>
      <w:r w:rsidR="00011A1B" w:rsidRPr="00422CA2">
        <w:rPr>
          <w:rFonts w:ascii="ITC Avant Garde" w:hAnsi="ITC Avant Garde"/>
          <w:sz w:val="22"/>
          <w:szCs w:val="22"/>
        </w:rPr>
        <w:t xml:space="preserve">cargo al CS. </w:t>
      </w:r>
      <w:r w:rsidR="008E0064" w:rsidRPr="00422CA2">
        <w:rPr>
          <w:rFonts w:ascii="ITC Avant Garde" w:hAnsi="ITC Avant Garde"/>
          <w:sz w:val="22"/>
          <w:szCs w:val="22"/>
        </w:rPr>
        <w:t xml:space="preserve">El cargo de la Acometida que se aplique a los CS será en los mismos términos y condiciones </w:t>
      </w:r>
      <w:r w:rsidR="008E0064" w:rsidRPr="00422CA2">
        <w:rPr>
          <w:rFonts w:ascii="ITC Avant Garde" w:hAnsi="ITC Avant Garde"/>
          <w:sz w:val="22"/>
          <w:szCs w:val="22"/>
        </w:rPr>
        <w:lastRenderedPageBreak/>
        <w:t>que Telmex aplica a sus usuarios finales.</w:t>
      </w:r>
      <w:r w:rsidR="00011A1B" w:rsidRPr="00422CA2">
        <w:rPr>
          <w:rFonts w:ascii="ITC Avant Garde" w:hAnsi="ITC Avant Garde"/>
          <w:sz w:val="22"/>
          <w:szCs w:val="22"/>
        </w:rPr>
        <w:t xml:space="preserve"> Cuando el servicio es solicitado para un usuario final con servicio activo, Telmex sólo realiza la gestión administrativa para que el CS pueda facturar el servicio al usuario final.</w:t>
      </w:r>
    </w:p>
    <w:p w14:paraId="40E85845" w14:textId="49B7E533" w:rsidR="00F07FD9"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Cuando el medio de acceso es </w:t>
      </w:r>
      <w:r w:rsidR="008D4BD0" w:rsidRPr="00422CA2">
        <w:rPr>
          <w:rFonts w:ascii="ITC Avant Garde" w:hAnsi="ITC Avant Garde"/>
          <w:sz w:val="22"/>
          <w:szCs w:val="22"/>
          <w:lang w:val="es-ES"/>
        </w:rPr>
        <w:t>c</w:t>
      </w:r>
      <w:r w:rsidRPr="00422CA2">
        <w:rPr>
          <w:rFonts w:ascii="ITC Avant Garde" w:hAnsi="ITC Avant Garde"/>
          <w:sz w:val="22"/>
          <w:szCs w:val="22"/>
          <w:lang w:val="es-ES"/>
        </w:rPr>
        <w:t xml:space="preserve">obre, se considera técnicamente factible que el CS y Telmex presten los servicios de voz y datos de forma indistinta a través de los servicios de Desagregación, por ejemplo SRLT con SAIB o SRLT con </w:t>
      </w:r>
      <w:r w:rsidR="0099383E" w:rsidRPr="00422CA2">
        <w:rPr>
          <w:rFonts w:ascii="ITC Avant Garde" w:hAnsi="ITC Avant Garde"/>
          <w:sz w:val="22"/>
          <w:szCs w:val="22"/>
          <w:lang w:val="es-ES"/>
        </w:rPr>
        <w:t>SDCBL</w:t>
      </w:r>
      <w:r w:rsidRPr="00422CA2">
        <w:rPr>
          <w:rFonts w:ascii="ITC Avant Garde" w:hAnsi="ITC Avant Garde"/>
          <w:sz w:val="22"/>
          <w:szCs w:val="22"/>
          <w:lang w:val="es-ES"/>
        </w:rPr>
        <w:t xml:space="preserve">. No obstante, cuando el medio de acceso </w:t>
      </w:r>
      <w:r w:rsidR="00C4252F" w:rsidRPr="00422CA2">
        <w:rPr>
          <w:rFonts w:ascii="ITC Avant Garde" w:hAnsi="ITC Avant Garde"/>
          <w:sz w:val="22"/>
          <w:szCs w:val="22"/>
          <w:lang w:val="es-ES"/>
        </w:rPr>
        <w:t xml:space="preserve">sea </w:t>
      </w:r>
      <w:r w:rsidRPr="00422CA2">
        <w:rPr>
          <w:rFonts w:ascii="ITC Avant Garde" w:hAnsi="ITC Avant Garde"/>
          <w:sz w:val="22"/>
          <w:szCs w:val="22"/>
          <w:lang w:val="es-ES"/>
        </w:rPr>
        <w:t>Fibra Óptica</w:t>
      </w:r>
      <w:r w:rsidR="00C4252F" w:rsidRPr="00422CA2">
        <w:rPr>
          <w:rFonts w:ascii="ITC Avant Garde" w:hAnsi="ITC Avant Garde"/>
          <w:sz w:val="22"/>
          <w:szCs w:val="22"/>
          <w:lang w:val="es-ES"/>
        </w:rPr>
        <w:t>,</w:t>
      </w:r>
      <w:r w:rsidRPr="00422CA2">
        <w:rPr>
          <w:rFonts w:ascii="ITC Avant Garde" w:hAnsi="ITC Avant Garde"/>
          <w:sz w:val="22"/>
          <w:szCs w:val="22"/>
          <w:lang w:val="es-ES"/>
        </w:rPr>
        <w:t xml:space="preserve"> Telmex no podrá proporcionar SRLT junto con SAIB </w:t>
      </w:r>
      <w:r w:rsidR="00C4252F" w:rsidRPr="00422CA2">
        <w:rPr>
          <w:rFonts w:ascii="ITC Avant Garde" w:hAnsi="ITC Avant Garde"/>
          <w:sz w:val="22"/>
          <w:szCs w:val="22"/>
          <w:lang w:val="es-ES"/>
        </w:rPr>
        <w:t xml:space="preserve">ni </w:t>
      </w:r>
      <w:r w:rsidRPr="00422CA2">
        <w:rPr>
          <w:rFonts w:ascii="ITC Avant Garde" w:hAnsi="ITC Avant Garde"/>
          <w:sz w:val="22"/>
          <w:szCs w:val="22"/>
          <w:lang w:val="es-ES"/>
        </w:rPr>
        <w:t xml:space="preserve">SRLT con </w:t>
      </w:r>
      <w:r w:rsidR="0099383E" w:rsidRPr="00422CA2">
        <w:rPr>
          <w:rFonts w:ascii="ITC Avant Garde" w:hAnsi="ITC Avant Garde"/>
          <w:sz w:val="22"/>
          <w:szCs w:val="22"/>
          <w:lang w:val="es-ES"/>
        </w:rPr>
        <w:t>SDCBL</w:t>
      </w:r>
      <w:r w:rsidRPr="00422CA2">
        <w:rPr>
          <w:rFonts w:ascii="ITC Avant Garde" w:hAnsi="ITC Avant Garde"/>
          <w:sz w:val="22"/>
          <w:szCs w:val="22"/>
          <w:lang w:val="es-ES"/>
        </w:rPr>
        <w:t xml:space="preserve">. </w:t>
      </w:r>
    </w:p>
    <w:p w14:paraId="20B17DA6" w14:textId="792E34DA" w:rsidR="00141DAE" w:rsidRPr="00422CA2" w:rsidRDefault="00141DAE" w:rsidP="00141DAE">
      <w:pPr>
        <w:spacing w:after="200" w:line="276" w:lineRule="auto"/>
        <w:jc w:val="both"/>
        <w:rPr>
          <w:rFonts w:ascii="ITC Avant Garde" w:hAnsi="ITC Avant Garde"/>
          <w:sz w:val="22"/>
          <w:szCs w:val="22"/>
        </w:rPr>
      </w:pPr>
      <w:r w:rsidRPr="00422CA2">
        <w:rPr>
          <w:rFonts w:ascii="ITC Avant Garde" w:hAnsi="ITC Avant Garde" w:cs="Arial"/>
          <w:sz w:val="22"/>
          <w:szCs w:val="22"/>
        </w:rPr>
        <w:t xml:space="preserve">Las condiciones del servicio de WiFi Móvil en Infinitum serán idénticas a las que Telmex ofrezca a sus usuarios, de lo contrario, Telmex notificará con anticipación </w:t>
      </w:r>
      <w:r w:rsidR="00766A4F" w:rsidRPr="00422CA2">
        <w:rPr>
          <w:rFonts w:ascii="ITC Avant Garde" w:hAnsi="ITC Avant Garde" w:cs="Arial"/>
          <w:sz w:val="22"/>
          <w:szCs w:val="22"/>
        </w:rPr>
        <w:t>al menos un mes</w:t>
      </w:r>
      <w:r w:rsidRPr="00422CA2">
        <w:rPr>
          <w:rFonts w:ascii="ITC Avant Garde" w:hAnsi="ITC Avant Garde" w:cs="Arial"/>
          <w:sz w:val="22"/>
          <w:szCs w:val="22"/>
        </w:rPr>
        <w:t xml:space="preserve"> cualquier cambio que pudiera presentarse en el servicio de WiFi Móvil. </w:t>
      </w:r>
    </w:p>
    <w:p w14:paraId="3B149290" w14:textId="63222B72" w:rsidR="00141DAE" w:rsidRPr="00422CA2" w:rsidRDefault="00141DAE" w:rsidP="005248DC">
      <w:pPr>
        <w:spacing w:after="200" w:line="276" w:lineRule="auto"/>
        <w:jc w:val="both"/>
        <w:rPr>
          <w:rFonts w:ascii="ITC Avant Garde" w:hAnsi="ITC Avant Garde"/>
          <w:sz w:val="22"/>
          <w:szCs w:val="22"/>
        </w:rPr>
      </w:pPr>
      <w:r w:rsidRPr="00422CA2">
        <w:rPr>
          <w:rFonts w:ascii="ITC Avant Garde" w:hAnsi="ITC Avant Garde" w:cs="Arial"/>
          <w:sz w:val="22"/>
          <w:szCs w:val="22"/>
        </w:rPr>
        <w:t>Si el CS lo solicita, Telmex proporcionará mediante un cargo específico el equipo terminal y su instalación, incluyendo el cableado interno necesario en el domicilio del suscriptor hasta el Punto de Conexión Terminal.</w:t>
      </w:r>
    </w:p>
    <w:p w14:paraId="40E85847" w14:textId="77777777" w:rsidR="006C2AC2" w:rsidRPr="00422CA2" w:rsidRDefault="00011A1B" w:rsidP="005248DC">
      <w:pPr>
        <w:spacing w:after="200" w:line="276" w:lineRule="auto"/>
        <w:jc w:val="both"/>
        <w:rPr>
          <w:rFonts w:ascii="ITC Avant Garde" w:hAnsi="ITC Avant Garde"/>
          <w:b/>
          <w:sz w:val="22"/>
          <w:szCs w:val="22"/>
        </w:rPr>
      </w:pPr>
      <w:r w:rsidRPr="00422CA2">
        <w:rPr>
          <w:rFonts w:ascii="ITC Avant Garde" w:hAnsi="ITC Avant Garde"/>
          <w:b/>
          <w:sz w:val="22"/>
          <w:szCs w:val="22"/>
        </w:rPr>
        <w:t>Alcance del servicio:</w:t>
      </w:r>
    </w:p>
    <w:p w14:paraId="40E85848" w14:textId="77777777" w:rsidR="007C70D0"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En el Servicio de Reventa de Línea Telefónica, Telmex realizará las siguientes actividades:</w:t>
      </w:r>
    </w:p>
    <w:p w14:paraId="40E85849" w14:textId="77777777" w:rsidR="007C70D0"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Instalación de la línea hasta el PCT en el domicilio del usuario final.</w:t>
      </w:r>
    </w:p>
    <w:p w14:paraId="40E8584A" w14:textId="77777777" w:rsidR="003F5389"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Habilitación de la línea en la red y Sistemas de Gestión Telmex.</w:t>
      </w:r>
    </w:p>
    <w:p w14:paraId="40E8584C" w14:textId="23977415" w:rsidR="007C70D0" w:rsidRPr="00422CA2" w:rsidRDefault="00011A1B"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usuario final podrá realizar llamadas locales, internacionales, mundiales (automático o a través de Operadora), a celular, códigos especiales</w:t>
      </w:r>
      <w:r w:rsidRPr="00422CA2">
        <w:rPr>
          <w:rStyle w:val="Refdenotaalpie"/>
          <w:rFonts w:ascii="ITC Avant Garde" w:hAnsi="ITC Avant Garde" w:cs="Arial"/>
          <w:sz w:val="22"/>
          <w:szCs w:val="22"/>
          <w:lang w:val="es-MX"/>
        </w:rPr>
        <w:footnoteReference w:id="6"/>
      </w:r>
      <w:r w:rsidR="008D4BD0" w:rsidRPr="00422CA2">
        <w:rPr>
          <w:rFonts w:ascii="ITC Avant Garde" w:hAnsi="ITC Avant Garde" w:cs="Arial"/>
          <w:sz w:val="22"/>
          <w:szCs w:val="22"/>
          <w:lang w:val="es-MX"/>
        </w:rPr>
        <w:t>,</w:t>
      </w:r>
      <w:r w:rsidRPr="00422CA2">
        <w:rPr>
          <w:rFonts w:ascii="ITC Avant Garde" w:hAnsi="ITC Avant Garde" w:cs="Arial"/>
          <w:sz w:val="22"/>
          <w:szCs w:val="22"/>
          <w:lang w:val="es-MX"/>
        </w:rPr>
        <w:t xml:space="preserve"> números no geográficos</w:t>
      </w:r>
      <w:r w:rsidR="008D4BD0" w:rsidRPr="00422CA2">
        <w:rPr>
          <w:rFonts w:ascii="ITC Avant Garde" w:hAnsi="ITC Avant Garde" w:cs="Arial"/>
          <w:sz w:val="22"/>
          <w:szCs w:val="22"/>
          <w:lang w:val="es-MX"/>
        </w:rPr>
        <w:t xml:space="preserve"> y cualquier otro servicio presente o futuro que Telmex ofrezca en sus ofertas a sus </w:t>
      </w:r>
      <w:r w:rsidR="00C33114" w:rsidRPr="00422CA2">
        <w:rPr>
          <w:rFonts w:ascii="ITC Avant Garde" w:hAnsi="ITC Avant Garde" w:cs="Arial"/>
          <w:sz w:val="22"/>
          <w:szCs w:val="22"/>
          <w:lang w:val="es-MX"/>
        </w:rPr>
        <w:t>usuarios finales</w:t>
      </w:r>
      <w:r w:rsidR="008D4BD0" w:rsidRPr="00422CA2">
        <w:rPr>
          <w:rFonts w:ascii="ITC Avant Garde" w:hAnsi="ITC Avant Garde" w:cs="Arial"/>
          <w:sz w:val="22"/>
          <w:szCs w:val="22"/>
          <w:lang w:val="es-MX"/>
        </w:rPr>
        <w:t xml:space="preserve">. </w:t>
      </w:r>
      <w:r w:rsidRPr="00422CA2">
        <w:rPr>
          <w:rFonts w:ascii="ITC Avant Garde" w:hAnsi="ITC Avant Garde" w:cs="Arial"/>
          <w:sz w:val="22"/>
          <w:szCs w:val="22"/>
          <w:lang w:val="es-MX"/>
        </w:rPr>
        <w:t xml:space="preserve"> </w:t>
      </w:r>
    </w:p>
    <w:p w14:paraId="06F05047" w14:textId="7D0D96CF" w:rsidR="008D4BD0" w:rsidRPr="00422CA2" w:rsidRDefault="008D4BD0"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Los </w:t>
      </w:r>
      <w:r w:rsidR="00C33114" w:rsidRPr="00422CA2">
        <w:rPr>
          <w:rFonts w:ascii="ITC Avant Garde" w:hAnsi="ITC Avant Garde" w:cs="Arial"/>
          <w:sz w:val="22"/>
          <w:szCs w:val="22"/>
          <w:lang w:val="es-MX"/>
        </w:rPr>
        <w:t>usuarios</w:t>
      </w:r>
      <w:r w:rsidRPr="00422CA2">
        <w:rPr>
          <w:rFonts w:ascii="ITC Avant Garde" w:hAnsi="ITC Avant Garde" w:cs="Arial"/>
          <w:sz w:val="22"/>
          <w:szCs w:val="22"/>
          <w:lang w:val="es-MX"/>
        </w:rPr>
        <w:t xml:space="preserve"> del CS adscritos al Servicio SRLT podrán tener la misma funcionalidad en cuanto a servicios digitales que ofrece </w:t>
      </w:r>
      <w:r w:rsidR="00E64508" w:rsidRPr="00422CA2">
        <w:rPr>
          <w:rFonts w:ascii="ITC Avant Garde" w:hAnsi="ITC Avant Garde" w:cs="Arial"/>
          <w:sz w:val="22"/>
          <w:szCs w:val="22"/>
          <w:lang w:val="es-MX"/>
        </w:rPr>
        <w:t>Telmex</w:t>
      </w:r>
      <w:r w:rsidRPr="00422CA2">
        <w:rPr>
          <w:rFonts w:ascii="ITC Avant Garde" w:hAnsi="ITC Avant Garde" w:cs="Arial"/>
          <w:sz w:val="22"/>
          <w:szCs w:val="22"/>
          <w:lang w:val="es-MX"/>
        </w:rPr>
        <w:t xml:space="preserve"> a sus </w:t>
      </w:r>
      <w:r w:rsidR="00C33114" w:rsidRPr="00422CA2">
        <w:rPr>
          <w:rFonts w:ascii="ITC Avant Garde" w:hAnsi="ITC Avant Garde" w:cs="Arial"/>
          <w:sz w:val="22"/>
          <w:szCs w:val="22"/>
          <w:lang w:val="es-MX"/>
        </w:rPr>
        <w:t>usuarios finales</w:t>
      </w:r>
      <w:r w:rsidRPr="00422CA2">
        <w:rPr>
          <w:rFonts w:ascii="ITC Avant Garde" w:hAnsi="ITC Avant Garde" w:cs="Arial"/>
          <w:sz w:val="22"/>
          <w:szCs w:val="22"/>
          <w:lang w:val="es-MX"/>
        </w:rPr>
        <w:t>, entre ellos, buzón de voz, identificador de llamada, identificador de llamada entrante ocupado, llamada en espera, sígueme, tres a la vez, etc.</w:t>
      </w:r>
      <w:r w:rsidR="00C4252F" w:rsidRPr="00422CA2">
        <w:rPr>
          <w:rFonts w:ascii="ITC Avant Garde" w:hAnsi="ITC Avant Garde" w:cs="Arial"/>
          <w:sz w:val="22"/>
          <w:szCs w:val="22"/>
          <w:lang w:val="es-MX"/>
        </w:rPr>
        <w:t>,</w:t>
      </w:r>
      <w:r w:rsidRPr="00422CA2">
        <w:rPr>
          <w:rFonts w:ascii="ITC Avant Garde" w:hAnsi="ITC Avant Garde" w:cs="Arial"/>
          <w:sz w:val="22"/>
          <w:szCs w:val="22"/>
          <w:lang w:val="es-MX"/>
        </w:rPr>
        <w:t xml:space="preserve"> así como cualquier otra facilidad de línea de servicios en red, que en el futuro </w:t>
      </w:r>
      <w:r w:rsidR="00E64508" w:rsidRPr="00422CA2">
        <w:rPr>
          <w:rFonts w:ascii="ITC Avant Garde" w:hAnsi="ITC Avant Garde" w:cs="Arial"/>
          <w:sz w:val="22"/>
          <w:szCs w:val="22"/>
          <w:lang w:val="es-MX"/>
        </w:rPr>
        <w:t>Telmex</w:t>
      </w:r>
      <w:r w:rsidRPr="00422CA2">
        <w:rPr>
          <w:rFonts w:ascii="ITC Avant Garde" w:hAnsi="ITC Avant Garde" w:cs="Arial"/>
          <w:sz w:val="22"/>
          <w:szCs w:val="22"/>
          <w:lang w:val="es-MX"/>
        </w:rPr>
        <w:t xml:space="preserve"> </w:t>
      </w:r>
      <w:r w:rsidR="00C33114" w:rsidRPr="00422CA2">
        <w:rPr>
          <w:rFonts w:ascii="ITC Avant Garde" w:hAnsi="ITC Avant Garde" w:cs="Arial"/>
          <w:sz w:val="22"/>
          <w:szCs w:val="22"/>
          <w:lang w:val="es-MX"/>
        </w:rPr>
        <w:t>ofrezca</w:t>
      </w:r>
      <w:r w:rsidRPr="00422CA2">
        <w:rPr>
          <w:rFonts w:ascii="ITC Avant Garde" w:hAnsi="ITC Avant Garde" w:cs="Arial"/>
          <w:sz w:val="22"/>
          <w:szCs w:val="22"/>
          <w:lang w:val="es-MX"/>
        </w:rPr>
        <w:t xml:space="preserve"> a sus </w:t>
      </w:r>
      <w:r w:rsidR="00C33114" w:rsidRPr="00422CA2">
        <w:rPr>
          <w:rFonts w:ascii="ITC Avant Garde" w:hAnsi="ITC Avant Garde" w:cs="Arial"/>
          <w:sz w:val="22"/>
          <w:szCs w:val="22"/>
          <w:lang w:val="es-MX"/>
        </w:rPr>
        <w:t>usuarios finales</w:t>
      </w:r>
      <w:r w:rsidRPr="00422CA2">
        <w:rPr>
          <w:rFonts w:ascii="ITC Avant Garde" w:hAnsi="ITC Avant Garde" w:cs="Arial"/>
          <w:sz w:val="22"/>
          <w:szCs w:val="22"/>
          <w:lang w:val="es-MX"/>
        </w:rPr>
        <w:t>.</w:t>
      </w:r>
    </w:p>
    <w:p w14:paraId="40E8584E" w14:textId="591481DC" w:rsidR="00C30BB8" w:rsidRPr="00422CA2" w:rsidRDefault="00011A1B"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El CS podrá solicitar en el formato de solicitud de servicios de Reventa, que Telmex provea el cableado interior y/o los aparatos telefónicos que se instalará(n) en el domicilio del usuario cuando se lleve a cabo la instalación del</w:t>
      </w:r>
      <w:r w:rsidR="008D4BD0" w:rsidRPr="00422CA2">
        <w:rPr>
          <w:rFonts w:ascii="ITC Avant Garde" w:hAnsi="ITC Avant Garde" w:cs="Arial"/>
          <w:sz w:val="22"/>
          <w:szCs w:val="22"/>
          <w:lang w:val="es-MX"/>
        </w:rPr>
        <w:t xml:space="preserve"> SRLT</w:t>
      </w:r>
      <w:r w:rsidR="00C30BB8" w:rsidRPr="00422CA2">
        <w:rPr>
          <w:rFonts w:ascii="ITC Avant Garde" w:hAnsi="ITC Avant Garde" w:cs="Arial"/>
          <w:sz w:val="22"/>
          <w:szCs w:val="22"/>
          <w:lang w:val="es-MX"/>
        </w:rPr>
        <w:t>, bajo una contraprestación específica.</w:t>
      </w:r>
    </w:p>
    <w:p w14:paraId="40E85850" w14:textId="11B06012" w:rsidR="00C30BB8" w:rsidRPr="00422CA2" w:rsidRDefault="00C30BB8"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Las fallas relacionadas con SRL</w:t>
      </w:r>
      <w:r w:rsidR="008D4BD0" w:rsidRPr="00422CA2">
        <w:rPr>
          <w:rFonts w:ascii="ITC Avant Garde" w:hAnsi="ITC Avant Garde" w:cs="Arial"/>
          <w:sz w:val="22"/>
          <w:szCs w:val="22"/>
          <w:lang w:val="es-MX"/>
        </w:rPr>
        <w:t>T</w:t>
      </w:r>
      <w:r w:rsidRPr="00422CA2">
        <w:rPr>
          <w:rFonts w:ascii="ITC Avant Garde" w:hAnsi="ITC Avant Garde" w:cs="Arial"/>
          <w:sz w:val="22"/>
          <w:szCs w:val="22"/>
          <w:lang w:val="es-MX"/>
        </w:rPr>
        <w:t xml:space="preserve"> serán reportadas por el usuario final al CS mediante una llamada a su centro de atención telefónico</w:t>
      </w:r>
      <w:r w:rsidR="008D4BD0" w:rsidRPr="00422CA2">
        <w:rPr>
          <w:rFonts w:ascii="ITC Avant Garde" w:hAnsi="ITC Avant Garde" w:cs="Arial"/>
          <w:sz w:val="22"/>
          <w:szCs w:val="22"/>
          <w:lang w:val="es-MX"/>
        </w:rPr>
        <w:t>.</w:t>
      </w:r>
      <w:r w:rsidRPr="00422CA2">
        <w:rPr>
          <w:rFonts w:ascii="ITC Avant Garde" w:hAnsi="ITC Avant Garde" w:cs="Arial"/>
          <w:sz w:val="22"/>
          <w:szCs w:val="22"/>
          <w:lang w:val="es-MX"/>
        </w:rPr>
        <w:t xml:space="preserve"> </w:t>
      </w:r>
      <w:r w:rsidR="008D4BD0" w:rsidRPr="00422CA2">
        <w:rPr>
          <w:rFonts w:ascii="ITC Avant Garde" w:hAnsi="ITC Avant Garde" w:cs="Arial"/>
          <w:sz w:val="22"/>
          <w:szCs w:val="22"/>
          <w:lang w:val="es-MX"/>
        </w:rPr>
        <w:t>A</w:t>
      </w:r>
      <w:r w:rsidRPr="00422CA2">
        <w:rPr>
          <w:rFonts w:ascii="ITC Avant Garde" w:hAnsi="ITC Avant Garde" w:cs="Arial"/>
          <w:sz w:val="22"/>
          <w:szCs w:val="22"/>
          <w:lang w:val="es-MX"/>
        </w:rPr>
        <w:t xml:space="preserve"> solicitud del CS, Telmex habilitará el Servicio 050 </w:t>
      </w:r>
      <w:r w:rsidR="00355CAD" w:rsidRPr="00422CA2">
        <w:rPr>
          <w:rFonts w:ascii="ITC Avant Garde" w:hAnsi="ITC Avant Garde" w:cs="Arial"/>
          <w:sz w:val="22"/>
          <w:szCs w:val="22"/>
          <w:lang w:val="es-MX"/>
        </w:rPr>
        <w:t>neutro</w:t>
      </w:r>
      <w:r w:rsidR="00355CAD" w:rsidRPr="00422CA2">
        <w:rPr>
          <w:rStyle w:val="Refdenotaalpie"/>
          <w:rFonts w:ascii="ITC Avant Garde" w:hAnsi="ITC Avant Garde" w:cs="Arial"/>
          <w:sz w:val="22"/>
          <w:szCs w:val="22"/>
          <w:lang w:val="es-MX"/>
        </w:rPr>
        <w:footnoteReference w:id="7"/>
      </w:r>
      <w:r w:rsidR="00355CAD" w:rsidRPr="00422CA2">
        <w:rPr>
          <w:rFonts w:ascii="ITC Avant Garde" w:hAnsi="ITC Avant Garde" w:cs="Arial"/>
          <w:sz w:val="22"/>
          <w:szCs w:val="22"/>
          <w:lang w:val="es-MX"/>
        </w:rPr>
        <w:t xml:space="preserve"> </w:t>
      </w:r>
      <w:r w:rsidR="00C33114" w:rsidRPr="00422CA2">
        <w:rPr>
          <w:rFonts w:ascii="ITC Avant Garde" w:hAnsi="ITC Avant Garde" w:cs="Arial"/>
          <w:sz w:val="22"/>
          <w:szCs w:val="22"/>
          <w:lang w:val="es-MX"/>
        </w:rPr>
        <w:t>por medio del cual se</w:t>
      </w:r>
      <w:r w:rsidRPr="00422CA2">
        <w:rPr>
          <w:rFonts w:ascii="ITC Avant Garde" w:hAnsi="ITC Avant Garde" w:cs="Arial"/>
          <w:sz w:val="22"/>
          <w:szCs w:val="22"/>
          <w:lang w:val="es-MX"/>
        </w:rPr>
        <w:t xml:space="preserve"> transferirá la llamada al CS, quien a su vez atenderá al cliente final</w:t>
      </w:r>
      <w:r w:rsidR="00236C7D" w:rsidRPr="00422CA2">
        <w:rPr>
          <w:rFonts w:ascii="ITC Avant Garde" w:hAnsi="ITC Avant Garde" w:cs="Arial"/>
          <w:sz w:val="22"/>
          <w:szCs w:val="22"/>
          <w:lang w:val="es-MX"/>
        </w:rPr>
        <w:t xml:space="preserve"> y </w:t>
      </w:r>
      <w:r w:rsidRPr="00422CA2">
        <w:rPr>
          <w:rFonts w:ascii="ITC Avant Garde" w:hAnsi="ITC Avant Garde" w:cs="Arial"/>
          <w:sz w:val="22"/>
          <w:szCs w:val="22"/>
          <w:lang w:val="es-MX"/>
        </w:rPr>
        <w:t>será responsable de levantar el reporte de la falla a Telmex</w:t>
      </w:r>
      <w:r w:rsidR="004D355D" w:rsidRPr="00422CA2">
        <w:rPr>
          <w:rFonts w:ascii="ITC Avant Garde" w:hAnsi="ITC Avant Garde" w:cs="Arial"/>
          <w:sz w:val="22"/>
          <w:szCs w:val="22"/>
          <w:lang w:val="es-MX"/>
        </w:rPr>
        <w:t>. El CS</w:t>
      </w:r>
      <w:r w:rsidRPr="00422CA2">
        <w:rPr>
          <w:rFonts w:ascii="ITC Avant Garde" w:hAnsi="ITC Avant Garde" w:cs="Arial"/>
          <w:sz w:val="22"/>
          <w:szCs w:val="22"/>
          <w:lang w:val="es-MX"/>
        </w:rPr>
        <w:t xml:space="preserve"> podrá dar seguimiento a su atención y solución a través de los procedimientos establecidos en el Anexo C</w:t>
      </w:r>
      <w:r w:rsidR="00B92638" w:rsidRPr="00422CA2">
        <w:rPr>
          <w:rFonts w:ascii="ITC Avant Garde" w:hAnsi="ITC Avant Garde" w:cs="Arial"/>
          <w:sz w:val="22"/>
          <w:szCs w:val="22"/>
          <w:lang w:val="es-MX"/>
        </w:rPr>
        <w:t>: Procedimiento</w:t>
      </w:r>
      <w:r w:rsidRPr="00422CA2">
        <w:rPr>
          <w:rFonts w:ascii="ITC Avant Garde" w:hAnsi="ITC Avant Garde" w:cs="Arial"/>
          <w:sz w:val="22"/>
          <w:szCs w:val="22"/>
          <w:lang w:val="es-MX"/>
        </w:rPr>
        <w:t xml:space="preserve"> de Gestión de Fallas</w:t>
      </w:r>
      <w:r w:rsidR="00B92638" w:rsidRPr="00422CA2">
        <w:rPr>
          <w:rFonts w:ascii="ITC Avant Garde" w:hAnsi="ITC Avant Garde" w:cs="Arial"/>
          <w:sz w:val="22"/>
          <w:szCs w:val="22"/>
          <w:lang w:val="es-MX"/>
        </w:rPr>
        <w:t>, Continuidad de Servicio y Atención</w:t>
      </w:r>
      <w:r w:rsidRPr="00422CA2">
        <w:rPr>
          <w:rFonts w:ascii="ITC Avant Garde" w:hAnsi="ITC Avant Garde" w:cs="Arial"/>
          <w:sz w:val="22"/>
          <w:szCs w:val="22"/>
          <w:lang w:val="es-MX"/>
        </w:rPr>
        <w:t xml:space="preserve"> </w:t>
      </w:r>
      <w:r w:rsidR="00B92638" w:rsidRPr="00422CA2">
        <w:rPr>
          <w:rFonts w:ascii="ITC Avant Garde" w:hAnsi="ITC Avant Garde" w:cs="Arial"/>
          <w:sz w:val="22"/>
          <w:szCs w:val="22"/>
          <w:lang w:val="es-MX"/>
        </w:rPr>
        <w:t>Incidencia</w:t>
      </w:r>
      <w:r w:rsidRPr="00422CA2">
        <w:rPr>
          <w:rFonts w:ascii="ITC Avant Garde" w:hAnsi="ITC Avant Garde" w:cs="Arial"/>
          <w:sz w:val="22"/>
          <w:szCs w:val="22"/>
          <w:lang w:val="es-MX"/>
        </w:rPr>
        <w:t xml:space="preserve">s. </w:t>
      </w:r>
      <w:r w:rsidR="00C33114" w:rsidRPr="00422CA2">
        <w:rPr>
          <w:rFonts w:ascii="ITC Avant Garde" w:hAnsi="ITC Avant Garde" w:cs="Arial"/>
          <w:sz w:val="22"/>
          <w:szCs w:val="22"/>
          <w:lang w:val="es-MX"/>
        </w:rPr>
        <w:t>L</w:t>
      </w:r>
      <w:r w:rsidRPr="00422CA2">
        <w:rPr>
          <w:rFonts w:ascii="ITC Avant Garde" w:hAnsi="ITC Avant Garde" w:cs="Arial"/>
          <w:sz w:val="22"/>
          <w:szCs w:val="22"/>
          <w:lang w:val="es-MX"/>
        </w:rPr>
        <w:t xml:space="preserve">a atención de la llamada al 050 por parte de los clientes finales del CS se atenderá en las mismas condiciones de enrutamiento y encolamiento con que hoy se atienden los </w:t>
      </w:r>
      <w:r w:rsidR="00C33114" w:rsidRPr="00422CA2">
        <w:rPr>
          <w:rFonts w:ascii="ITC Avant Garde" w:hAnsi="ITC Avant Garde" w:cs="Arial"/>
          <w:sz w:val="22"/>
          <w:szCs w:val="22"/>
          <w:lang w:val="es-MX"/>
        </w:rPr>
        <w:t xml:space="preserve">usuarios finales </w:t>
      </w:r>
      <w:r w:rsidRPr="00422CA2">
        <w:rPr>
          <w:rFonts w:ascii="ITC Avant Garde" w:hAnsi="ITC Avant Garde" w:cs="Arial"/>
          <w:sz w:val="22"/>
          <w:szCs w:val="22"/>
          <w:lang w:val="es-MX"/>
        </w:rPr>
        <w:t>de Telmex.</w:t>
      </w:r>
    </w:p>
    <w:p w14:paraId="40E85852" w14:textId="14F480C1" w:rsidR="007C70D0" w:rsidRPr="00422CA2" w:rsidRDefault="00011A1B"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Adicionalmente</w:t>
      </w:r>
      <w:r w:rsidR="00C33114" w:rsidRPr="00422CA2">
        <w:rPr>
          <w:rFonts w:ascii="ITC Avant Garde" w:hAnsi="ITC Avant Garde" w:cs="Arial"/>
          <w:sz w:val="22"/>
          <w:szCs w:val="22"/>
          <w:lang w:val="es-MX"/>
        </w:rPr>
        <w:t>,</w:t>
      </w:r>
      <w:r w:rsidR="004D355D" w:rsidRPr="00422CA2">
        <w:rPr>
          <w:rFonts w:ascii="ITC Avant Garde" w:hAnsi="ITC Avant Garde" w:cs="Arial"/>
          <w:sz w:val="22"/>
          <w:szCs w:val="22"/>
          <w:lang w:val="es-MX"/>
        </w:rPr>
        <w:t xml:space="preserve"> y en caso de que </w:t>
      </w:r>
      <w:r w:rsidR="00502A67" w:rsidRPr="00422CA2">
        <w:rPr>
          <w:rFonts w:ascii="ITC Avant Garde" w:hAnsi="ITC Avant Garde" w:cs="Arial"/>
          <w:sz w:val="22"/>
          <w:szCs w:val="22"/>
          <w:lang w:val="es-MX"/>
        </w:rPr>
        <w:t>el</w:t>
      </w:r>
      <w:r w:rsidR="004D355D" w:rsidRPr="00422CA2">
        <w:rPr>
          <w:rFonts w:ascii="ITC Avant Garde" w:hAnsi="ITC Avant Garde" w:cs="Arial"/>
          <w:sz w:val="22"/>
          <w:szCs w:val="22"/>
          <w:lang w:val="es-MX"/>
        </w:rPr>
        <w:t xml:space="preserve"> paquete contratado no incluya alguno de los siguientes servicios</w:t>
      </w:r>
      <w:r w:rsidRPr="00422CA2">
        <w:rPr>
          <w:rFonts w:ascii="ITC Avant Garde" w:hAnsi="ITC Avant Garde" w:cs="Arial"/>
          <w:sz w:val="22"/>
          <w:szCs w:val="22"/>
          <w:lang w:val="es-MX"/>
        </w:rPr>
        <w:t>, el CS podrá contratar</w:t>
      </w:r>
      <w:r w:rsidR="00C33114" w:rsidRPr="00422CA2">
        <w:rPr>
          <w:rFonts w:ascii="ITC Avant Garde" w:hAnsi="ITC Avant Garde" w:cs="Arial"/>
          <w:sz w:val="22"/>
          <w:szCs w:val="22"/>
          <w:lang w:val="es-MX"/>
        </w:rPr>
        <w:t xml:space="preserve">los </w:t>
      </w:r>
      <w:r w:rsidR="00C33114" w:rsidRPr="00422CA2">
        <w:rPr>
          <w:rFonts w:ascii="ITC Avant Garde" w:hAnsi="ITC Avant Garde" w:cs="Arial"/>
          <w:sz w:val="22"/>
          <w:szCs w:val="22"/>
        </w:rPr>
        <w:t>en las mismas condiciones que a los usuarios finales de Telmex</w:t>
      </w:r>
      <w:r w:rsidRPr="00422CA2">
        <w:rPr>
          <w:rFonts w:ascii="ITC Avant Garde" w:hAnsi="ITC Avant Garde" w:cs="Arial"/>
          <w:sz w:val="22"/>
          <w:szCs w:val="22"/>
          <w:lang w:val="es-MX"/>
        </w:rPr>
        <w:t>:</w:t>
      </w:r>
    </w:p>
    <w:p w14:paraId="40E85853" w14:textId="77777777" w:rsidR="007C70D0"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Buzón de Voz: Es el servicio de almacenamiento y consulta de mensajes cuando la línea está ocupada o no se pueda contestar;</w:t>
      </w:r>
    </w:p>
    <w:p w14:paraId="40E85854" w14:textId="77777777" w:rsidR="007C70D0"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Identificador de llamada: Servicio que muestra el número telefónico de la llamada entrante</w:t>
      </w:r>
      <w:r w:rsidRPr="00422CA2">
        <w:rPr>
          <w:rStyle w:val="Refdenotaalpie"/>
          <w:rFonts w:ascii="ITC Avant Garde" w:hAnsi="ITC Avant Garde" w:cs="Arial"/>
          <w:sz w:val="22"/>
          <w:szCs w:val="22"/>
          <w:lang w:val="es-MX"/>
        </w:rPr>
        <w:footnoteReference w:id="8"/>
      </w:r>
      <w:r w:rsidRPr="00422CA2">
        <w:rPr>
          <w:rFonts w:ascii="ITC Avant Garde" w:hAnsi="ITC Avant Garde" w:cs="Arial"/>
          <w:sz w:val="22"/>
          <w:szCs w:val="22"/>
          <w:lang w:val="es-MX"/>
        </w:rPr>
        <w:t>;</w:t>
      </w:r>
    </w:p>
    <w:p w14:paraId="40E85855" w14:textId="77777777" w:rsidR="007C70D0"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Llamada en Espera: Servicio que anuncia y permite tomar otra llamada entrante cuando la línea se encuentra ocupada;</w:t>
      </w:r>
    </w:p>
    <w:p w14:paraId="40E85856" w14:textId="77777777" w:rsidR="007C70D0"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Sígueme: Servicio que permite la transferencia de llamadas a otro teléfono ya sean locales, larga distancia o a celular;</w:t>
      </w:r>
    </w:p>
    <w:p w14:paraId="40E85857" w14:textId="77777777" w:rsidR="007C70D0"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Tres a la vez: Servicio que permite enlazar hasta tres usuarios en una misma conversación;</w:t>
      </w:r>
    </w:p>
    <w:p w14:paraId="40E85858" w14:textId="77777777" w:rsidR="0079045F"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Cambio de Número;</w:t>
      </w:r>
    </w:p>
    <w:p w14:paraId="40E85859" w14:textId="77777777" w:rsidR="00664862"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Suspensión del número del usuario final;</w:t>
      </w:r>
    </w:p>
    <w:p w14:paraId="40E8585A" w14:textId="77777777" w:rsidR="00664862"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Reactivación del número del usuario final; y</w:t>
      </w:r>
    </w:p>
    <w:p w14:paraId="40E8585B" w14:textId="77777777" w:rsidR="003F5389" w:rsidRPr="00422CA2" w:rsidRDefault="00011A1B" w:rsidP="005248DC">
      <w:pPr>
        <w:pStyle w:val="Prrafodelista"/>
        <w:numPr>
          <w:ilvl w:val="2"/>
          <w:numId w:val="25"/>
        </w:numPr>
        <w:spacing w:after="200" w:line="276" w:lineRule="auto"/>
        <w:ind w:left="709"/>
        <w:jc w:val="both"/>
        <w:rPr>
          <w:rFonts w:ascii="ITC Avant Garde" w:hAnsi="ITC Avant Garde" w:cs="Arial"/>
          <w:sz w:val="22"/>
          <w:szCs w:val="22"/>
          <w:lang w:val="es-MX"/>
        </w:rPr>
      </w:pPr>
      <w:r w:rsidRPr="00422CA2">
        <w:rPr>
          <w:rFonts w:ascii="ITC Avant Garde" w:hAnsi="ITC Avant Garde" w:cs="Arial"/>
          <w:sz w:val="22"/>
          <w:szCs w:val="22"/>
          <w:lang w:val="es-MX"/>
        </w:rPr>
        <w:t>Cambio de domicilio</w:t>
      </w:r>
    </w:p>
    <w:p w14:paraId="40E8585D" w14:textId="77777777" w:rsidR="007C70D0"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Telmex pondrá a disposición del CS en el SEG cuando esté disponible, una interfaz en la cual podrá realizar la suspensión o reanudación de los servicios del usuario final de acuerdo a sus políticas, con la contraprestación correspondiente. </w:t>
      </w:r>
    </w:p>
    <w:p w14:paraId="710697D9" w14:textId="2249CEB9" w:rsidR="00361227" w:rsidRPr="00422CA2" w:rsidRDefault="001707DF"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Los servicios incluidos en </w:t>
      </w:r>
      <w:r w:rsidR="00361227" w:rsidRPr="00422CA2">
        <w:rPr>
          <w:rFonts w:ascii="ITC Avant Garde" w:hAnsi="ITC Avant Garde"/>
          <w:sz w:val="22"/>
          <w:szCs w:val="22"/>
        </w:rPr>
        <w:t>el</w:t>
      </w:r>
      <w:r w:rsidRPr="00422CA2">
        <w:rPr>
          <w:rFonts w:ascii="ITC Avant Garde" w:hAnsi="ITC Avant Garde"/>
          <w:sz w:val="22"/>
          <w:szCs w:val="22"/>
        </w:rPr>
        <w:t xml:space="preserve"> SRLT que lleven asociada algún tipo de locución, deberá</w:t>
      </w:r>
      <w:r w:rsidR="00A30756" w:rsidRPr="00422CA2">
        <w:rPr>
          <w:rFonts w:ascii="ITC Avant Garde" w:hAnsi="ITC Avant Garde"/>
          <w:sz w:val="22"/>
          <w:szCs w:val="22"/>
        </w:rPr>
        <w:t>n</w:t>
      </w:r>
      <w:r w:rsidRPr="00422CA2">
        <w:rPr>
          <w:rFonts w:ascii="ITC Avant Garde" w:hAnsi="ITC Avant Garde"/>
          <w:sz w:val="22"/>
          <w:szCs w:val="22"/>
        </w:rPr>
        <w:t xml:space="preserve"> ser neut</w:t>
      </w:r>
      <w:r w:rsidR="00A30756" w:rsidRPr="00422CA2">
        <w:rPr>
          <w:rFonts w:ascii="ITC Avant Garde" w:hAnsi="ITC Avant Garde"/>
          <w:sz w:val="22"/>
          <w:szCs w:val="22"/>
        </w:rPr>
        <w:t>ros</w:t>
      </w:r>
      <w:r w:rsidRPr="00422CA2">
        <w:rPr>
          <w:rFonts w:ascii="ITC Avant Garde" w:hAnsi="ITC Avant Garde"/>
          <w:sz w:val="22"/>
          <w:szCs w:val="22"/>
        </w:rPr>
        <w:t xml:space="preserve"> y no incluir la denominación o marca que identifique </w:t>
      </w:r>
      <w:r w:rsidR="00316A8A" w:rsidRPr="00422CA2">
        <w:rPr>
          <w:rFonts w:ascii="ITC Avant Garde" w:hAnsi="ITC Avant Garde"/>
          <w:sz w:val="22"/>
          <w:szCs w:val="22"/>
        </w:rPr>
        <w:t>a Telmex</w:t>
      </w:r>
      <w:r w:rsidRPr="00422CA2">
        <w:rPr>
          <w:rFonts w:ascii="ITC Avant Garde" w:hAnsi="ITC Avant Garde"/>
          <w:sz w:val="22"/>
          <w:szCs w:val="22"/>
        </w:rPr>
        <w:t xml:space="preserve">. El CS que desee aportar sus propias locuciones, podrá hacerlo siempre que no suponga un coste adicional para </w:t>
      </w:r>
      <w:r w:rsidR="00E64508" w:rsidRPr="00422CA2">
        <w:rPr>
          <w:rFonts w:ascii="ITC Avant Garde" w:hAnsi="ITC Avant Garde"/>
          <w:sz w:val="22"/>
          <w:szCs w:val="22"/>
        </w:rPr>
        <w:t>Telmex</w:t>
      </w:r>
      <w:r w:rsidRPr="00422CA2">
        <w:rPr>
          <w:rFonts w:ascii="ITC Avant Garde" w:hAnsi="ITC Avant Garde"/>
          <w:sz w:val="22"/>
          <w:szCs w:val="22"/>
        </w:rPr>
        <w:t xml:space="preserve"> y estos se hagan a su cargo.</w:t>
      </w:r>
    </w:p>
    <w:p w14:paraId="40E8585E" w14:textId="2FE5BF42" w:rsidR="00530A32" w:rsidRPr="00422CA2" w:rsidRDefault="00DB40E9" w:rsidP="004129D1">
      <w:pPr>
        <w:pStyle w:val="Ttulo1"/>
      </w:pPr>
      <w:bookmarkStart w:id="221" w:name="_Toc436840882"/>
      <w:bookmarkStart w:id="222" w:name="_Toc436846319"/>
      <w:bookmarkStart w:id="223" w:name="_Toc436848269"/>
      <w:bookmarkStart w:id="224" w:name="_Toc436856517"/>
      <w:bookmarkStart w:id="225" w:name="_Toc436862663"/>
      <w:bookmarkStart w:id="226" w:name="_Toc436866313"/>
      <w:bookmarkStart w:id="227" w:name="_Toc436870892"/>
      <w:bookmarkStart w:id="228" w:name="_Toc436875884"/>
      <w:bookmarkStart w:id="229" w:name="_Toc437602072"/>
      <w:r w:rsidRPr="00422CA2">
        <w:t xml:space="preserve">4.2 </w:t>
      </w:r>
      <w:r w:rsidR="00011A1B" w:rsidRPr="00422CA2">
        <w:t>Servicio de Reventa de Infinitum y Servicios de Reventa de Paquetes Infinitum</w:t>
      </w:r>
      <w:bookmarkEnd w:id="221"/>
      <w:bookmarkEnd w:id="222"/>
      <w:bookmarkEnd w:id="223"/>
      <w:bookmarkEnd w:id="224"/>
      <w:bookmarkEnd w:id="225"/>
      <w:bookmarkEnd w:id="226"/>
      <w:bookmarkEnd w:id="227"/>
      <w:bookmarkEnd w:id="228"/>
      <w:bookmarkEnd w:id="229"/>
    </w:p>
    <w:p w14:paraId="40E85860" w14:textId="77777777" w:rsidR="00530A32" w:rsidRPr="00422CA2" w:rsidRDefault="00011A1B" w:rsidP="00586B55">
      <w:pPr>
        <w:pStyle w:val="Ttulo1"/>
      </w:pPr>
      <w:bookmarkStart w:id="230" w:name="_Toc436840883"/>
      <w:bookmarkStart w:id="231" w:name="_Toc436846320"/>
      <w:bookmarkStart w:id="232" w:name="_Toc436848270"/>
      <w:bookmarkStart w:id="233" w:name="_Toc436856518"/>
      <w:bookmarkStart w:id="234" w:name="_Toc436862664"/>
      <w:bookmarkStart w:id="235" w:name="_Toc436866314"/>
      <w:bookmarkStart w:id="236" w:name="_Toc436870893"/>
      <w:bookmarkStart w:id="237" w:name="_Toc436875885"/>
      <w:bookmarkStart w:id="238" w:name="_Toc437602073"/>
      <w:r w:rsidRPr="00422CA2">
        <w:t>4.2.1</w:t>
      </w:r>
      <w:r w:rsidRPr="00422CA2">
        <w:tab/>
        <w:t>Servicio de Reventa de Infinitum</w:t>
      </w:r>
      <w:bookmarkEnd w:id="230"/>
      <w:bookmarkEnd w:id="231"/>
      <w:bookmarkEnd w:id="232"/>
      <w:bookmarkEnd w:id="233"/>
      <w:bookmarkEnd w:id="234"/>
      <w:bookmarkEnd w:id="235"/>
      <w:bookmarkEnd w:id="236"/>
      <w:bookmarkEnd w:id="237"/>
      <w:bookmarkEnd w:id="238"/>
    </w:p>
    <w:p w14:paraId="40E85861" w14:textId="68EC26FD" w:rsidR="009603DB"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Servicio de Reventa de Infinitum (SRI) permite a los Concesionarios Solicitantes la reventa o comercialización del servicio de internet que Telmex </w:t>
      </w:r>
      <w:r w:rsidR="00EE462C" w:rsidRPr="00422CA2">
        <w:rPr>
          <w:rFonts w:ascii="ITC Avant Garde" w:hAnsi="ITC Avant Garde"/>
          <w:sz w:val="22"/>
          <w:szCs w:val="22"/>
        </w:rPr>
        <w:t xml:space="preserve">tiene </w:t>
      </w:r>
      <w:r w:rsidR="00843A6D" w:rsidRPr="00422CA2">
        <w:rPr>
          <w:rFonts w:ascii="ITC Avant Garde" w:hAnsi="ITC Avant Garde"/>
          <w:sz w:val="22"/>
          <w:szCs w:val="22"/>
        </w:rPr>
        <w:t xml:space="preserve">autorizado </w:t>
      </w:r>
      <w:r w:rsidR="00EE462C" w:rsidRPr="00422CA2">
        <w:rPr>
          <w:rFonts w:ascii="ITC Avant Garde" w:hAnsi="ITC Avant Garde"/>
          <w:sz w:val="22"/>
          <w:szCs w:val="22"/>
        </w:rPr>
        <w:t>ante el Instituto</w:t>
      </w:r>
      <w:r w:rsidR="008918BE" w:rsidRPr="00422CA2">
        <w:rPr>
          <w:rFonts w:ascii="ITC Avant Garde" w:hAnsi="ITC Avant Garde"/>
          <w:sz w:val="22"/>
          <w:szCs w:val="22"/>
        </w:rPr>
        <w:t>,</w:t>
      </w:r>
      <w:r w:rsidR="00EE462C" w:rsidRPr="00422CA2">
        <w:rPr>
          <w:rFonts w:ascii="ITC Avant Garde" w:hAnsi="ITC Avant Garde"/>
          <w:sz w:val="22"/>
          <w:szCs w:val="22"/>
        </w:rPr>
        <w:t xml:space="preserve"> </w:t>
      </w:r>
      <w:r w:rsidRPr="00422CA2">
        <w:rPr>
          <w:rFonts w:ascii="ITC Avant Garde" w:hAnsi="ITC Avant Garde"/>
          <w:sz w:val="22"/>
          <w:szCs w:val="22"/>
        </w:rPr>
        <w:t>ofrece</w:t>
      </w:r>
      <w:r w:rsidR="008918BE" w:rsidRPr="00422CA2">
        <w:rPr>
          <w:rFonts w:ascii="ITC Avant Garde" w:hAnsi="ITC Avant Garde"/>
          <w:sz w:val="22"/>
          <w:szCs w:val="22"/>
        </w:rPr>
        <w:t>, aplique</w:t>
      </w:r>
      <w:r w:rsidRPr="00422CA2">
        <w:rPr>
          <w:rFonts w:ascii="ITC Avant Garde" w:hAnsi="ITC Avant Garde"/>
          <w:sz w:val="22"/>
          <w:szCs w:val="22"/>
        </w:rPr>
        <w:t xml:space="preserve"> </w:t>
      </w:r>
      <w:r w:rsidR="00EE462C" w:rsidRPr="00422CA2">
        <w:rPr>
          <w:rFonts w:ascii="ITC Avant Garde" w:hAnsi="ITC Avant Garde"/>
          <w:sz w:val="22"/>
          <w:szCs w:val="22"/>
        </w:rPr>
        <w:t xml:space="preserve">o comercialice a </w:t>
      </w:r>
      <w:r w:rsidRPr="00422CA2">
        <w:rPr>
          <w:rFonts w:ascii="ITC Avant Garde" w:hAnsi="ITC Avant Garde"/>
          <w:sz w:val="22"/>
          <w:szCs w:val="22"/>
        </w:rPr>
        <w:t>usuarios residenciales y comerciales</w:t>
      </w:r>
      <w:r w:rsidR="004042A3" w:rsidRPr="00422CA2">
        <w:rPr>
          <w:rFonts w:ascii="ITC Avant Garde" w:hAnsi="ITC Avant Garde"/>
          <w:sz w:val="22"/>
          <w:szCs w:val="22"/>
        </w:rPr>
        <w:t xml:space="preserve"> </w:t>
      </w:r>
      <w:r w:rsidR="004042A3" w:rsidRPr="00422CA2">
        <w:rPr>
          <w:rFonts w:ascii="ITC Avant Garde" w:hAnsi="ITC Avant Garde"/>
          <w:sz w:val="22"/>
          <w:szCs w:val="22"/>
          <w:lang w:val="es-MX"/>
        </w:rPr>
        <w:t>en los mismos términos y condiciones que ofrece a sus usuarios incluyendo descuentos y promociones</w:t>
      </w:r>
      <w:r w:rsidR="000F2789" w:rsidRPr="00422CA2">
        <w:rPr>
          <w:rFonts w:ascii="ITC Avant Garde" w:hAnsi="ITC Avant Garde"/>
          <w:sz w:val="22"/>
          <w:szCs w:val="22"/>
        </w:rPr>
        <w:t>, así como, en su caso, los descuentos mayoristas aplicables</w:t>
      </w:r>
      <w:r w:rsidRPr="00422CA2">
        <w:rPr>
          <w:rFonts w:ascii="ITC Avant Garde" w:hAnsi="ITC Avant Garde"/>
          <w:sz w:val="22"/>
          <w:szCs w:val="22"/>
        </w:rPr>
        <w:t xml:space="preserve">. </w:t>
      </w:r>
      <w:r w:rsidR="00006209" w:rsidRPr="00422CA2">
        <w:rPr>
          <w:rFonts w:ascii="ITC Avant Garde" w:hAnsi="ITC Avant Garde"/>
          <w:sz w:val="22"/>
          <w:szCs w:val="22"/>
        </w:rPr>
        <w:t xml:space="preserve">Telmex </w:t>
      </w:r>
      <w:r w:rsidR="0051165A" w:rsidRPr="00422CA2">
        <w:rPr>
          <w:rFonts w:ascii="ITC Avant Garde" w:hAnsi="ITC Avant Garde"/>
          <w:sz w:val="22"/>
          <w:szCs w:val="22"/>
        </w:rPr>
        <w:t>ofrecerá</w:t>
      </w:r>
      <w:r w:rsidR="00006209" w:rsidRPr="00422CA2">
        <w:rPr>
          <w:rFonts w:ascii="ITC Avant Garde" w:hAnsi="ITC Avant Garde"/>
          <w:sz w:val="22"/>
          <w:szCs w:val="22"/>
        </w:rPr>
        <w:t xml:space="preserve"> a los CS las nuevas ofertas comerciales de Infinitum una vez </w:t>
      </w:r>
      <w:r w:rsidR="0051165A" w:rsidRPr="00422CA2">
        <w:rPr>
          <w:rFonts w:ascii="ITC Avant Garde" w:hAnsi="ITC Avant Garde"/>
          <w:sz w:val="22"/>
          <w:szCs w:val="22"/>
        </w:rPr>
        <w:t>que se las autorice</w:t>
      </w:r>
      <w:r w:rsidR="00006209" w:rsidRPr="00422CA2">
        <w:rPr>
          <w:rFonts w:ascii="ITC Avant Garde" w:hAnsi="ITC Avant Garde"/>
          <w:sz w:val="22"/>
          <w:szCs w:val="22"/>
        </w:rPr>
        <w:t xml:space="preserve"> el Instituto</w:t>
      </w:r>
      <w:r w:rsidR="004042A3" w:rsidRPr="00422CA2">
        <w:rPr>
          <w:rFonts w:ascii="ITC Avant Garde" w:hAnsi="ITC Avant Garde"/>
          <w:sz w:val="22"/>
          <w:szCs w:val="22"/>
        </w:rPr>
        <w:t>.</w:t>
      </w:r>
      <w:r w:rsidRPr="00422CA2">
        <w:rPr>
          <w:rFonts w:ascii="ITC Avant Garde" w:hAnsi="ITC Avant Garde"/>
          <w:sz w:val="22"/>
          <w:szCs w:val="22"/>
        </w:rPr>
        <w:t xml:space="preserve"> </w:t>
      </w:r>
      <w:r w:rsidR="004042A3" w:rsidRPr="00422CA2">
        <w:rPr>
          <w:rFonts w:ascii="ITC Avant Garde" w:hAnsi="ITC Avant Garde"/>
          <w:sz w:val="22"/>
          <w:szCs w:val="22"/>
        </w:rPr>
        <w:t>P</w:t>
      </w:r>
      <w:r w:rsidRPr="00422CA2">
        <w:rPr>
          <w:rFonts w:ascii="ITC Avant Garde" w:hAnsi="ITC Avant Garde"/>
          <w:sz w:val="22"/>
          <w:szCs w:val="22"/>
        </w:rPr>
        <w:t xml:space="preserve">ara ello, publicará las nuevas ofertas comerciales autorizadas en </w:t>
      </w:r>
      <w:r w:rsidR="001A3BD7" w:rsidRPr="00422CA2">
        <w:rPr>
          <w:rFonts w:ascii="ITC Avant Garde" w:hAnsi="ITC Avant Garde"/>
          <w:sz w:val="22"/>
          <w:szCs w:val="22"/>
        </w:rPr>
        <w:t>el Sistema de Captura o SEG cuando esté disponible</w:t>
      </w:r>
      <w:r w:rsidRPr="00422CA2">
        <w:rPr>
          <w:rFonts w:ascii="ITC Avant Garde" w:hAnsi="ITC Avant Garde"/>
          <w:sz w:val="22"/>
          <w:szCs w:val="22"/>
        </w:rPr>
        <w:t>.</w:t>
      </w:r>
    </w:p>
    <w:p w14:paraId="40E85863" w14:textId="4F1B8850" w:rsidR="00C17920" w:rsidRPr="00422CA2" w:rsidRDefault="00011A1B" w:rsidP="005248DC">
      <w:pPr>
        <w:tabs>
          <w:tab w:val="left" w:pos="2051"/>
        </w:tabs>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expresar la modalidad que desea contratar en el momento de la solicitud, si el domicilio del usuario final para el que se ha solicitado un Servicio de Reventa de Infinitum residencial, </w:t>
      </w:r>
      <w:r w:rsidR="00AF0526" w:rsidRPr="00422CA2">
        <w:rPr>
          <w:rFonts w:ascii="ITC Avant Garde" w:hAnsi="ITC Avant Garde" w:cs="Arial"/>
          <w:sz w:val="22"/>
          <w:szCs w:val="22"/>
        </w:rPr>
        <w:t>no corresponde a un hogar o casa habitación de persona física que recibirá el servicio</w:t>
      </w:r>
      <w:r w:rsidRPr="00422CA2">
        <w:rPr>
          <w:rFonts w:ascii="ITC Avant Garde" w:hAnsi="ITC Avant Garde" w:cs="Arial"/>
          <w:sz w:val="22"/>
          <w:szCs w:val="22"/>
        </w:rPr>
        <w:t xml:space="preserve">, se habilitará el </w:t>
      </w:r>
      <w:r w:rsidR="00AF0526" w:rsidRPr="00422CA2">
        <w:rPr>
          <w:rFonts w:ascii="ITC Avant Garde" w:hAnsi="ITC Avant Garde" w:cs="Arial"/>
          <w:sz w:val="22"/>
          <w:szCs w:val="22"/>
        </w:rPr>
        <w:t xml:space="preserve">mismo </w:t>
      </w:r>
      <w:r w:rsidRPr="00422CA2">
        <w:rPr>
          <w:rFonts w:ascii="ITC Avant Garde" w:hAnsi="ITC Avant Garde" w:cs="Arial"/>
          <w:sz w:val="22"/>
          <w:szCs w:val="22"/>
        </w:rPr>
        <w:t>en la modalidad comercial</w:t>
      </w:r>
      <w:r w:rsidR="00850A5B" w:rsidRPr="00422CA2">
        <w:rPr>
          <w:rFonts w:ascii="ITC Avant Garde" w:hAnsi="ITC Avant Garde" w:cs="Arial"/>
          <w:sz w:val="22"/>
          <w:szCs w:val="22"/>
        </w:rPr>
        <w:t xml:space="preserve"> más parecida</w:t>
      </w:r>
      <w:r w:rsidRPr="00422CA2">
        <w:rPr>
          <w:rFonts w:ascii="ITC Avant Garde" w:hAnsi="ITC Avant Garde" w:cs="Arial"/>
          <w:sz w:val="22"/>
          <w:szCs w:val="22"/>
        </w:rPr>
        <w:t>.</w:t>
      </w:r>
    </w:p>
    <w:p w14:paraId="40E85865" w14:textId="77777777" w:rsidR="00D3194B"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En este servicio Telmex realizará el aprovisionamiento del Servicio de Reventa de Infinitum como lo realiza para sus usuarios comerciales</w:t>
      </w:r>
      <w:r w:rsidRPr="00422CA2">
        <w:rPr>
          <w:rStyle w:val="Refdenotaalpie"/>
          <w:rFonts w:ascii="ITC Avant Garde" w:hAnsi="ITC Avant Garde"/>
          <w:sz w:val="22"/>
          <w:szCs w:val="22"/>
        </w:rPr>
        <w:footnoteReference w:id="9"/>
      </w:r>
      <w:r w:rsidRPr="00422CA2">
        <w:rPr>
          <w:rFonts w:ascii="ITC Avant Garde" w:hAnsi="ITC Avant Garde"/>
          <w:sz w:val="22"/>
          <w:szCs w:val="22"/>
        </w:rPr>
        <w:t xml:space="preserve"> o residenciales, incluyendo la instalación el cableado hasta el PCT.</w:t>
      </w:r>
    </w:p>
    <w:p w14:paraId="40E85867" w14:textId="5728514D" w:rsidR="004F375A" w:rsidRPr="00422CA2" w:rsidRDefault="0065350B" w:rsidP="005248DC">
      <w:pPr>
        <w:spacing w:before="240"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Al momento de publicación de la presente oferta, l</w:t>
      </w:r>
      <w:r w:rsidR="00011A1B" w:rsidRPr="00422CA2">
        <w:rPr>
          <w:rFonts w:ascii="ITC Avant Garde" w:hAnsi="ITC Avant Garde" w:cs="Arial"/>
          <w:sz w:val="22"/>
          <w:szCs w:val="22"/>
          <w:lang w:val="es-MX"/>
        </w:rPr>
        <w:t xml:space="preserve">as </w:t>
      </w:r>
      <w:r w:rsidR="00326841" w:rsidRPr="00422CA2">
        <w:rPr>
          <w:rFonts w:ascii="ITC Avant Garde" w:hAnsi="ITC Avant Garde" w:cs="Arial"/>
          <w:sz w:val="22"/>
          <w:szCs w:val="22"/>
          <w:lang w:val="es-MX"/>
        </w:rPr>
        <w:t>modalidades</w:t>
      </w:r>
      <w:r w:rsidR="00011A1B" w:rsidRPr="00422CA2">
        <w:rPr>
          <w:rFonts w:ascii="ITC Avant Garde" w:hAnsi="ITC Avant Garde" w:cs="Arial"/>
          <w:sz w:val="22"/>
          <w:szCs w:val="22"/>
          <w:lang w:val="es-MX"/>
        </w:rPr>
        <w:t xml:space="preserve"> disponibles para el Servicio de Reventa de Infinitum serán</w:t>
      </w:r>
      <w:r w:rsidR="006D2C45" w:rsidRPr="00422CA2">
        <w:rPr>
          <w:rFonts w:ascii="ITC Avant Garde" w:hAnsi="ITC Avant Garde" w:cs="Arial"/>
          <w:sz w:val="22"/>
          <w:szCs w:val="22"/>
          <w:lang w:val="es-MX"/>
        </w:rPr>
        <w:t xml:space="preserve">, de manera enunciativa más no </w:t>
      </w:r>
      <w:r w:rsidR="006D2C45" w:rsidRPr="00422CA2">
        <w:rPr>
          <w:rFonts w:ascii="ITC Avant Garde" w:hAnsi="ITC Avant Garde" w:cs="Arial"/>
          <w:sz w:val="22"/>
          <w:szCs w:val="22"/>
          <w:lang w:val="es-MX"/>
        </w:rPr>
        <w:lastRenderedPageBreak/>
        <w:t>limitativa y sin menoscabo de alguna modificación solicitada y aprobada por el Instituto, las siguientes</w:t>
      </w:r>
      <w:r w:rsidR="004F375A" w:rsidRPr="00422CA2">
        <w:rPr>
          <w:rFonts w:ascii="ITC Avant Garde" w:hAnsi="ITC Avant Garde" w:cs="Arial"/>
          <w:sz w:val="22"/>
          <w:szCs w:val="22"/>
          <w:lang w:val="es-MX"/>
        </w:rPr>
        <w:t>:</w:t>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00"/>
        <w:gridCol w:w="4840"/>
        <w:gridCol w:w="1520"/>
      </w:tblGrid>
      <w:tr w:rsidR="00422CA2" w:rsidRPr="00422CA2" w14:paraId="40E8586B" w14:textId="77777777" w:rsidTr="00EE0F2A">
        <w:trPr>
          <w:trHeight w:val="525"/>
          <w:jc w:val="center"/>
        </w:trPr>
        <w:tc>
          <w:tcPr>
            <w:tcW w:w="1900" w:type="dxa"/>
            <w:shd w:val="clear" w:color="auto" w:fill="0070C0"/>
            <w:tcMar>
              <w:top w:w="0" w:type="dxa"/>
              <w:left w:w="70" w:type="dxa"/>
              <w:bottom w:w="0" w:type="dxa"/>
              <w:right w:w="70" w:type="dxa"/>
            </w:tcMar>
            <w:vAlign w:val="center"/>
            <w:hideMark/>
          </w:tcPr>
          <w:p w14:paraId="40E85868" w14:textId="77777777" w:rsidR="004F375A" w:rsidRPr="00422CA2" w:rsidRDefault="00B438B5" w:rsidP="005248DC">
            <w:pPr>
              <w:spacing w:before="60" w:after="60" w:line="276" w:lineRule="auto"/>
              <w:jc w:val="center"/>
              <w:rPr>
                <w:rFonts w:ascii="ITC Avant Garde" w:eastAsiaTheme="minorHAnsi" w:hAnsi="ITC Avant Garde"/>
                <w:b/>
                <w:bCs/>
                <w:sz w:val="20"/>
                <w:szCs w:val="20"/>
              </w:rPr>
            </w:pPr>
            <w:r w:rsidRPr="00422CA2">
              <w:rPr>
                <w:rFonts w:ascii="ITC Avant Garde" w:eastAsiaTheme="minorHAnsi" w:hAnsi="ITC Avant Garde"/>
                <w:b/>
                <w:bCs/>
                <w:sz w:val="20"/>
                <w:szCs w:val="20"/>
              </w:rPr>
              <w:t>Servicio</w:t>
            </w:r>
          </w:p>
        </w:tc>
        <w:tc>
          <w:tcPr>
            <w:tcW w:w="4840" w:type="dxa"/>
            <w:shd w:val="clear" w:color="auto" w:fill="0070C0"/>
            <w:tcMar>
              <w:top w:w="0" w:type="dxa"/>
              <w:left w:w="70" w:type="dxa"/>
              <w:bottom w:w="0" w:type="dxa"/>
              <w:right w:w="70" w:type="dxa"/>
            </w:tcMar>
            <w:vAlign w:val="center"/>
            <w:hideMark/>
          </w:tcPr>
          <w:p w14:paraId="40E85869" w14:textId="77777777" w:rsidR="004F375A" w:rsidRPr="00422CA2" w:rsidRDefault="00B438B5" w:rsidP="005248DC">
            <w:pPr>
              <w:spacing w:before="60" w:after="60" w:line="276" w:lineRule="auto"/>
              <w:jc w:val="center"/>
              <w:rPr>
                <w:rFonts w:ascii="ITC Avant Garde" w:eastAsiaTheme="minorHAnsi" w:hAnsi="ITC Avant Garde"/>
                <w:b/>
                <w:bCs/>
                <w:sz w:val="20"/>
                <w:szCs w:val="20"/>
              </w:rPr>
            </w:pPr>
            <w:r w:rsidRPr="00422CA2">
              <w:rPr>
                <w:rFonts w:ascii="ITC Avant Garde" w:hAnsi="ITC Avant Garde"/>
                <w:b/>
                <w:bCs/>
                <w:sz w:val="20"/>
                <w:szCs w:val="20"/>
              </w:rPr>
              <w:t>Modalidad</w:t>
            </w:r>
          </w:p>
        </w:tc>
        <w:tc>
          <w:tcPr>
            <w:tcW w:w="1520" w:type="dxa"/>
            <w:shd w:val="clear" w:color="auto" w:fill="0070C0"/>
            <w:tcMar>
              <w:top w:w="0" w:type="dxa"/>
              <w:left w:w="70" w:type="dxa"/>
              <w:bottom w:w="0" w:type="dxa"/>
              <w:right w:w="70" w:type="dxa"/>
            </w:tcMar>
            <w:vAlign w:val="center"/>
            <w:hideMark/>
          </w:tcPr>
          <w:p w14:paraId="40E8586A" w14:textId="77777777" w:rsidR="004F375A" w:rsidRPr="00422CA2" w:rsidRDefault="004F375A" w:rsidP="005248DC">
            <w:pPr>
              <w:spacing w:before="60" w:after="60" w:line="276" w:lineRule="auto"/>
              <w:jc w:val="center"/>
              <w:rPr>
                <w:rFonts w:ascii="ITC Avant Garde" w:eastAsiaTheme="minorHAnsi" w:hAnsi="ITC Avant Garde"/>
                <w:b/>
                <w:bCs/>
                <w:sz w:val="20"/>
                <w:szCs w:val="20"/>
              </w:rPr>
            </w:pPr>
            <w:r w:rsidRPr="00422CA2">
              <w:rPr>
                <w:rFonts w:ascii="ITC Avant Garde" w:hAnsi="ITC Avant Garde"/>
                <w:b/>
                <w:bCs/>
                <w:sz w:val="20"/>
                <w:szCs w:val="20"/>
              </w:rPr>
              <w:t xml:space="preserve">Velocidad </w:t>
            </w:r>
            <w:r w:rsidRPr="00422CA2">
              <w:rPr>
                <w:rFonts w:ascii="ITC Avant Garde" w:hAnsi="ITC Avant Garde"/>
                <w:b/>
                <w:bCs/>
                <w:sz w:val="20"/>
                <w:szCs w:val="20"/>
              </w:rPr>
              <w:br/>
              <w:t>(Mbps)</w:t>
            </w:r>
          </w:p>
        </w:tc>
      </w:tr>
      <w:tr w:rsidR="00422CA2" w:rsidRPr="00422CA2" w14:paraId="40E8586F" w14:textId="77777777" w:rsidTr="00EE0F2A">
        <w:trPr>
          <w:trHeight w:val="360"/>
          <w:jc w:val="center"/>
        </w:trPr>
        <w:tc>
          <w:tcPr>
            <w:tcW w:w="1900" w:type="dxa"/>
            <w:vMerge w:val="restart"/>
            <w:shd w:val="clear" w:color="auto" w:fill="FFFFFF"/>
            <w:tcMar>
              <w:top w:w="0" w:type="dxa"/>
              <w:left w:w="70" w:type="dxa"/>
              <w:bottom w:w="0" w:type="dxa"/>
              <w:right w:w="70" w:type="dxa"/>
            </w:tcMar>
            <w:vAlign w:val="center"/>
            <w:hideMark/>
          </w:tcPr>
          <w:p w14:paraId="40E8586C" w14:textId="77777777"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Reventa Infinitum (Residenciales)</w:t>
            </w:r>
          </w:p>
        </w:tc>
        <w:tc>
          <w:tcPr>
            <w:tcW w:w="4840" w:type="dxa"/>
            <w:shd w:val="clear" w:color="auto" w:fill="FFFFFF"/>
            <w:tcMar>
              <w:top w:w="0" w:type="dxa"/>
              <w:left w:w="70" w:type="dxa"/>
              <w:bottom w:w="0" w:type="dxa"/>
              <w:right w:w="70" w:type="dxa"/>
            </w:tcMar>
            <w:vAlign w:val="center"/>
            <w:hideMark/>
          </w:tcPr>
          <w:p w14:paraId="40E8586D" w14:textId="59FE2515"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10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6E"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10</w:t>
            </w:r>
          </w:p>
        </w:tc>
      </w:tr>
      <w:tr w:rsidR="00422CA2" w:rsidRPr="00422CA2" w14:paraId="40E85873" w14:textId="77777777" w:rsidTr="00EE0F2A">
        <w:trPr>
          <w:trHeight w:val="300"/>
          <w:jc w:val="center"/>
        </w:trPr>
        <w:tc>
          <w:tcPr>
            <w:tcW w:w="0" w:type="auto"/>
            <w:vMerge/>
            <w:vAlign w:val="center"/>
            <w:hideMark/>
          </w:tcPr>
          <w:p w14:paraId="40E85870" w14:textId="77777777" w:rsidR="004F375A" w:rsidRPr="00422CA2" w:rsidRDefault="004F375A"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center"/>
            <w:hideMark/>
          </w:tcPr>
          <w:p w14:paraId="40E85871" w14:textId="644E4D8E"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20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72"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20</w:t>
            </w:r>
          </w:p>
        </w:tc>
      </w:tr>
      <w:tr w:rsidR="00422CA2" w:rsidRPr="00422CA2" w14:paraId="40E85877" w14:textId="77777777" w:rsidTr="00EE0F2A">
        <w:trPr>
          <w:trHeight w:val="300"/>
          <w:jc w:val="center"/>
        </w:trPr>
        <w:tc>
          <w:tcPr>
            <w:tcW w:w="0" w:type="auto"/>
            <w:vMerge/>
            <w:vAlign w:val="center"/>
            <w:hideMark/>
          </w:tcPr>
          <w:p w14:paraId="40E85874" w14:textId="77777777" w:rsidR="004F375A" w:rsidRPr="00422CA2" w:rsidRDefault="004F375A"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center"/>
            <w:hideMark/>
          </w:tcPr>
          <w:p w14:paraId="40E85875" w14:textId="6EDA7253"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50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76"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50</w:t>
            </w:r>
          </w:p>
        </w:tc>
      </w:tr>
      <w:tr w:rsidR="00422CA2" w:rsidRPr="00422CA2" w14:paraId="40E8587B" w14:textId="77777777" w:rsidTr="00EE0F2A">
        <w:trPr>
          <w:trHeight w:val="300"/>
          <w:jc w:val="center"/>
        </w:trPr>
        <w:tc>
          <w:tcPr>
            <w:tcW w:w="0" w:type="auto"/>
            <w:vMerge/>
            <w:vAlign w:val="center"/>
            <w:hideMark/>
          </w:tcPr>
          <w:p w14:paraId="40E85878" w14:textId="77777777" w:rsidR="004F375A" w:rsidRPr="00422CA2" w:rsidRDefault="004F375A"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center"/>
            <w:hideMark/>
          </w:tcPr>
          <w:p w14:paraId="40E85879" w14:textId="6108EC37"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100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7A"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100</w:t>
            </w:r>
          </w:p>
        </w:tc>
      </w:tr>
      <w:tr w:rsidR="00422CA2" w:rsidRPr="00422CA2" w14:paraId="40E8587F" w14:textId="77777777" w:rsidTr="00EE0F2A">
        <w:trPr>
          <w:trHeight w:val="300"/>
          <w:jc w:val="center"/>
        </w:trPr>
        <w:tc>
          <w:tcPr>
            <w:tcW w:w="1900" w:type="dxa"/>
            <w:vMerge w:val="restart"/>
            <w:shd w:val="clear" w:color="auto" w:fill="FFFFFF"/>
            <w:tcMar>
              <w:top w:w="0" w:type="dxa"/>
              <w:left w:w="70" w:type="dxa"/>
              <w:bottom w:w="0" w:type="dxa"/>
              <w:right w:w="70" w:type="dxa"/>
            </w:tcMar>
            <w:vAlign w:val="center"/>
            <w:hideMark/>
          </w:tcPr>
          <w:p w14:paraId="40E8587C" w14:textId="77777777"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Reventa Infinitum (Comerciales)</w:t>
            </w:r>
          </w:p>
        </w:tc>
        <w:tc>
          <w:tcPr>
            <w:tcW w:w="4840" w:type="dxa"/>
            <w:shd w:val="clear" w:color="auto" w:fill="FFFFFF"/>
            <w:tcMar>
              <w:top w:w="0" w:type="dxa"/>
              <w:left w:w="70" w:type="dxa"/>
              <w:bottom w:w="0" w:type="dxa"/>
              <w:right w:w="70" w:type="dxa"/>
            </w:tcMar>
            <w:vAlign w:val="center"/>
            <w:hideMark/>
          </w:tcPr>
          <w:p w14:paraId="40E8587D" w14:textId="272765E0"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Negocio 10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7E"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10</w:t>
            </w:r>
          </w:p>
        </w:tc>
      </w:tr>
      <w:tr w:rsidR="00422CA2" w:rsidRPr="00422CA2" w14:paraId="40E85883" w14:textId="77777777" w:rsidTr="00EE0F2A">
        <w:trPr>
          <w:trHeight w:val="300"/>
          <w:jc w:val="center"/>
        </w:trPr>
        <w:tc>
          <w:tcPr>
            <w:tcW w:w="0" w:type="auto"/>
            <w:vMerge/>
            <w:vAlign w:val="center"/>
            <w:hideMark/>
          </w:tcPr>
          <w:p w14:paraId="40E85880" w14:textId="77777777" w:rsidR="004F375A" w:rsidRPr="00422CA2" w:rsidRDefault="004F375A"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center"/>
            <w:hideMark/>
          </w:tcPr>
          <w:p w14:paraId="40E85881" w14:textId="243F73A5"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Negocio 20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82"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20</w:t>
            </w:r>
          </w:p>
        </w:tc>
      </w:tr>
      <w:tr w:rsidR="00422CA2" w:rsidRPr="00422CA2" w14:paraId="40E85887" w14:textId="77777777" w:rsidTr="00EE0F2A">
        <w:trPr>
          <w:trHeight w:val="300"/>
          <w:jc w:val="center"/>
        </w:trPr>
        <w:tc>
          <w:tcPr>
            <w:tcW w:w="0" w:type="auto"/>
            <w:vMerge/>
            <w:vAlign w:val="center"/>
            <w:hideMark/>
          </w:tcPr>
          <w:p w14:paraId="40E85884" w14:textId="77777777" w:rsidR="004F375A" w:rsidRPr="00422CA2" w:rsidRDefault="004F375A"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center"/>
            <w:hideMark/>
          </w:tcPr>
          <w:p w14:paraId="40E85885" w14:textId="0AE52511" w:rsidR="004F375A" w:rsidRPr="00422CA2" w:rsidRDefault="004F375A"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Infinitum Negocio 50 Mb</w:t>
            </w:r>
            <w:r w:rsidR="00055F11" w:rsidRPr="00422CA2">
              <w:rPr>
                <w:rFonts w:ascii="ITC Avant Garde" w:hAnsi="ITC Avant Garde"/>
                <w:sz w:val="20"/>
                <w:szCs w:val="20"/>
              </w:rPr>
              <w:t>ps</w:t>
            </w:r>
          </w:p>
        </w:tc>
        <w:tc>
          <w:tcPr>
            <w:tcW w:w="1520" w:type="dxa"/>
            <w:shd w:val="clear" w:color="auto" w:fill="FFFFFF"/>
            <w:tcMar>
              <w:top w:w="0" w:type="dxa"/>
              <w:left w:w="70" w:type="dxa"/>
              <w:bottom w:w="0" w:type="dxa"/>
              <w:right w:w="70" w:type="dxa"/>
            </w:tcMar>
            <w:vAlign w:val="center"/>
            <w:hideMark/>
          </w:tcPr>
          <w:p w14:paraId="40E85886" w14:textId="77777777" w:rsidR="004F375A" w:rsidRPr="00422CA2" w:rsidRDefault="004F375A"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50</w:t>
            </w:r>
          </w:p>
        </w:tc>
      </w:tr>
    </w:tbl>
    <w:p w14:paraId="40E85888" w14:textId="5633BCF4" w:rsidR="00C97B0A" w:rsidRPr="00422CA2" w:rsidRDefault="00C4252F" w:rsidP="009562CF">
      <w:pPr>
        <w:spacing w:before="120" w:after="200" w:line="276" w:lineRule="auto"/>
        <w:ind w:left="284"/>
        <w:jc w:val="center"/>
        <w:rPr>
          <w:rFonts w:ascii="ITC Avant Garde" w:hAnsi="ITC Avant Garde"/>
          <w:sz w:val="18"/>
          <w:szCs w:val="18"/>
          <w:lang w:val="es-MX"/>
        </w:rPr>
      </w:pPr>
      <w:r w:rsidRPr="00422CA2">
        <w:rPr>
          <w:rFonts w:ascii="ITC Avant Garde" w:hAnsi="ITC Avant Garde"/>
          <w:sz w:val="18"/>
          <w:szCs w:val="18"/>
          <w:lang w:val="es-MX"/>
        </w:rPr>
        <w:t xml:space="preserve">Tabla </w:t>
      </w:r>
      <w:r w:rsidR="00A31898" w:rsidRPr="00422CA2">
        <w:rPr>
          <w:rFonts w:ascii="ITC Avant Garde" w:hAnsi="ITC Avant Garde"/>
          <w:sz w:val="18"/>
          <w:szCs w:val="18"/>
          <w:lang w:val="es-MX"/>
        </w:rPr>
        <w:t>9</w:t>
      </w:r>
      <w:r w:rsidRPr="00422CA2">
        <w:rPr>
          <w:rFonts w:ascii="ITC Avant Garde" w:hAnsi="ITC Avant Garde"/>
          <w:sz w:val="18"/>
          <w:szCs w:val="18"/>
          <w:lang w:val="es-MX"/>
        </w:rPr>
        <w:t xml:space="preserve"> </w:t>
      </w:r>
      <w:r w:rsidR="00326841" w:rsidRPr="00422CA2">
        <w:rPr>
          <w:rFonts w:ascii="ITC Avant Garde" w:hAnsi="ITC Avant Garde"/>
          <w:sz w:val="18"/>
          <w:szCs w:val="18"/>
          <w:lang w:val="es-MX"/>
        </w:rPr>
        <w:t>Modalidades de Reventa de Infinitum</w:t>
      </w:r>
    </w:p>
    <w:p w14:paraId="40E8588A" w14:textId="77777777" w:rsidR="00F82022" w:rsidRPr="00422CA2" w:rsidRDefault="00011A1B" w:rsidP="005248DC">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Alcance del servicio</w:t>
      </w:r>
    </w:p>
    <w:p w14:paraId="40E8588B" w14:textId="77777777" w:rsidR="00905778" w:rsidRPr="00422CA2" w:rsidRDefault="00011A1B" w:rsidP="005248DC">
      <w:pPr>
        <w:spacing w:before="240" w:after="200" w:line="276" w:lineRule="auto"/>
        <w:jc w:val="both"/>
        <w:rPr>
          <w:rFonts w:ascii="ITC Avant Garde" w:hAnsi="ITC Avant Garde"/>
          <w:sz w:val="22"/>
          <w:szCs w:val="22"/>
        </w:rPr>
      </w:pPr>
      <w:r w:rsidRPr="00422CA2">
        <w:rPr>
          <w:rFonts w:ascii="ITC Avant Garde" w:hAnsi="ITC Avant Garde"/>
          <w:sz w:val="22"/>
          <w:szCs w:val="22"/>
        </w:rPr>
        <w:t>El alcance y responsabilidad de Telmex en el Servicio de Reventa de Infinitum es el siguiente:</w:t>
      </w:r>
    </w:p>
    <w:p w14:paraId="40E8588C" w14:textId="77777777" w:rsidR="00905778"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Instalación del servicio.</w:t>
      </w:r>
    </w:p>
    <w:p w14:paraId="40E8588D" w14:textId="77777777" w:rsidR="00905778"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Habilitación del servicio en la red y Sistemas de Gestión Telmex.</w:t>
      </w:r>
    </w:p>
    <w:p w14:paraId="40E8588E" w14:textId="77777777" w:rsidR="00905778"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Servicio de Internet.</w:t>
      </w:r>
    </w:p>
    <w:p w14:paraId="40E8588F" w14:textId="77777777" w:rsidR="00AA03AB"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Acceso a sitios WiFi Móvil en Infinitum.</w:t>
      </w:r>
    </w:p>
    <w:p w14:paraId="40E85890" w14:textId="51ED0EB5" w:rsidR="00F82022" w:rsidRPr="00422CA2" w:rsidRDefault="00011A1B" w:rsidP="005248DC">
      <w:pPr>
        <w:spacing w:before="240"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usuario final podrá navegar en internet a través de este servicio bajo las mismas condiciones físicas y técnicas que actualmente ofrece Telmex a sus usuarios finales, los usuarios podrán ingresar a las zonas de cobertura de WiFi Móvil en Infinitum, para lo que Telmex otorgará un usuario y contraseña por cada usuario final. </w:t>
      </w:r>
    </w:p>
    <w:p w14:paraId="40E85892" w14:textId="77777777" w:rsidR="00905778"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Servicio de Reventa de Infinitum se aprovisionará de acuerdo con las siguientes características: </w:t>
      </w:r>
    </w:p>
    <w:p w14:paraId="40E85893" w14:textId="77777777" w:rsidR="00905778" w:rsidRPr="00422CA2" w:rsidRDefault="00011A1B" w:rsidP="005248DC">
      <w:pPr>
        <w:numPr>
          <w:ilvl w:val="0"/>
          <w:numId w:val="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Tráfico </w:t>
      </w:r>
      <w:r w:rsidRPr="00422CA2">
        <w:rPr>
          <w:rFonts w:ascii="ITC Avant Garde" w:hAnsi="ITC Avant Garde"/>
          <w:i/>
          <w:sz w:val="22"/>
          <w:szCs w:val="22"/>
          <w:lang w:val="es-ES"/>
        </w:rPr>
        <w:t>Best Effort</w:t>
      </w:r>
      <w:r w:rsidRPr="00422CA2">
        <w:rPr>
          <w:rFonts w:ascii="ITC Avant Garde" w:hAnsi="ITC Avant Garde"/>
          <w:sz w:val="22"/>
          <w:szCs w:val="22"/>
          <w:lang w:val="es-ES"/>
        </w:rPr>
        <w:t xml:space="preserve"> </w:t>
      </w:r>
    </w:p>
    <w:p w14:paraId="40E85894" w14:textId="77777777" w:rsidR="00905778" w:rsidRPr="00422CA2" w:rsidRDefault="00011A1B" w:rsidP="005248DC">
      <w:pPr>
        <w:numPr>
          <w:ilvl w:val="0"/>
          <w:numId w:val="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Medio de transmisión a usuarios finales (cobre o fibra óptica)</w:t>
      </w:r>
    </w:p>
    <w:p w14:paraId="40E85896" w14:textId="151BA7A8" w:rsidR="00905778"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CS podrá solicitar </w:t>
      </w:r>
      <w:r w:rsidR="00BE54DC" w:rsidRPr="00422CA2">
        <w:rPr>
          <w:rFonts w:ascii="ITC Avant Garde" w:hAnsi="ITC Avant Garde"/>
          <w:sz w:val="22"/>
          <w:szCs w:val="22"/>
          <w:lang w:val="es-ES"/>
        </w:rPr>
        <w:t>el</w:t>
      </w:r>
      <w:r w:rsidRPr="00422CA2">
        <w:rPr>
          <w:rFonts w:ascii="ITC Avant Garde" w:hAnsi="ITC Avant Garde"/>
          <w:sz w:val="22"/>
          <w:szCs w:val="22"/>
          <w:lang w:val="es-ES"/>
        </w:rPr>
        <w:t xml:space="preserve"> siguiente movimiento sobre el Servicio de Reventa de Infinitum:</w:t>
      </w:r>
    </w:p>
    <w:p w14:paraId="40E85897" w14:textId="77777777" w:rsidR="00905778" w:rsidRPr="00422CA2" w:rsidRDefault="00011A1B" w:rsidP="005248DC">
      <w:pPr>
        <w:numPr>
          <w:ilvl w:val="0"/>
          <w:numId w:val="27"/>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lastRenderedPageBreak/>
        <w:t>Cambio de velocidad.</w:t>
      </w:r>
    </w:p>
    <w:p w14:paraId="40E85899" w14:textId="77777777" w:rsidR="0037581A"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Telmex pondrá a disposición del CS en el SEG cuando esté disponible, una interfaz en la cual podrá realizar la suspensión o reanudación de los servicios del usuario final de acuerdo a sus políticas, con la contraprestación correspondiente. </w:t>
      </w:r>
    </w:p>
    <w:p w14:paraId="40E8589B" w14:textId="77777777" w:rsidR="00AD3EA9"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La facturación a los usuarios finales de los servicios será responsabilidad del CS, por lo que Telmex pondrá a disposición de los CS un archivo donde se asocien los Servicios de Reventa de Infinitum prestados a cada usuario final, a través del sistema SIANA para que sean descargados por cada CS.</w:t>
      </w:r>
    </w:p>
    <w:p w14:paraId="40E8589C" w14:textId="77777777" w:rsidR="00530A32" w:rsidRPr="00422CA2" w:rsidRDefault="00011A1B" w:rsidP="004129D1">
      <w:pPr>
        <w:pStyle w:val="Ttulo1"/>
      </w:pPr>
      <w:bookmarkStart w:id="239" w:name="_Toc413682062"/>
      <w:bookmarkStart w:id="240" w:name="_Toc436840884"/>
      <w:bookmarkStart w:id="241" w:name="_Toc436846321"/>
      <w:bookmarkStart w:id="242" w:name="_Toc436848271"/>
      <w:bookmarkStart w:id="243" w:name="_Toc436856519"/>
      <w:bookmarkStart w:id="244" w:name="_Toc436862665"/>
      <w:bookmarkStart w:id="245" w:name="_Toc436866315"/>
      <w:bookmarkStart w:id="246" w:name="_Toc436870894"/>
      <w:bookmarkStart w:id="247" w:name="_Toc436875886"/>
      <w:bookmarkStart w:id="248" w:name="_Toc437602074"/>
      <w:r w:rsidRPr="00422CA2">
        <w:t>4.2.2</w:t>
      </w:r>
      <w:r w:rsidRPr="00422CA2">
        <w:tab/>
        <w:t xml:space="preserve">Servicio de Reventa de </w:t>
      </w:r>
      <w:bookmarkEnd w:id="239"/>
      <w:r w:rsidRPr="00422CA2">
        <w:t>Paquetes Infinitum</w:t>
      </w:r>
      <w:bookmarkEnd w:id="240"/>
      <w:bookmarkEnd w:id="241"/>
      <w:bookmarkEnd w:id="242"/>
      <w:bookmarkEnd w:id="243"/>
      <w:bookmarkEnd w:id="244"/>
      <w:bookmarkEnd w:id="245"/>
      <w:bookmarkEnd w:id="246"/>
      <w:bookmarkEnd w:id="247"/>
      <w:bookmarkEnd w:id="248"/>
    </w:p>
    <w:p w14:paraId="40E8589D" w14:textId="77777777" w:rsidR="00F07FD9"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Servicio de Reventa de Paquetes Infinitum (SRPI) permite a los Concesionarios Solicitantes la reventa o comercialización del servicio de línea telefónica junto con Infinitum, en la modalidad de paquetes, tanto para líneas residenciales como para líneas comerciales. </w:t>
      </w:r>
    </w:p>
    <w:p w14:paraId="40E8589F" w14:textId="77777777" w:rsidR="00BE2BBD" w:rsidRPr="00422CA2" w:rsidRDefault="00BE2BBD" w:rsidP="005248DC">
      <w:pPr>
        <w:tabs>
          <w:tab w:val="left" w:pos="2051"/>
        </w:tabs>
        <w:spacing w:after="200" w:line="276" w:lineRule="auto"/>
        <w:jc w:val="both"/>
        <w:rPr>
          <w:rFonts w:ascii="ITC Avant Garde" w:hAnsi="ITC Avant Garde" w:cs="Arial"/>
          <w:sz w:val="22"/>
          <w:szCs w:val="22"/>
        </w:rPr>
      </w:pPr>
      <w:r w:rsidRPr="00422CA2">
        <w:rPr>
          <w:rFonts w:ascii="ITC Avant Garde" w:hAnsi="ITC Avant Garde" w:cs="Arial"/>
          <w:sz w:val="22"/>
          <w:szCs w:val="22"/>
        </w:rPr>
        <w:t>El CS deberá expresar la modalidad que desea contratar en el momento de la solicitud, si el domicilio del usuario final para el que se ha solicitado un Servicio de Reventa de Paquetes Infinitum residencial, no es persona física que recibirá el servicio en su hogar o casa habitación, se habilitará el servicio en la modalidad comercial más parecida.</w:t>
      </w:r>
    </w:p>
    <w:p w14:paraId="40E858A1" w14:textId="2FE1CB68" w:rsidR="00AF1870"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En este servicio Telmex realiza la provisión de los paquetes que </w:t>
      </w:r>
      <w:r w:rsidR="00110462" w:rsidRPr="00422CA2">
        <w:rPr>
          <w:rFonts w:ascii="ITC Avant Garde" w:hAnsi="ITC Avant Garde"/>
          <w:sz w:val="22"/>
          <w:szCs w:val="22"/>
        </w:rPr>
        <w:t xml:space="preserve">tiene </w:t>
      </w:r>
      <w:r w:rsidR="00254414" w:rsidRPr="00422CA2">
        <w:rPr>
          <w:rFonts w:ascii="ITC Avant Garde" w:hAnsi="ITC Avant Garde"/>
          <w:sz w:val="22"/>
          <w:szCs w:val="22"/>
        </w:rPr>
        <w:t xml:space="preserve">autorizado y </w:t>
      </w:r>
      <w:r w:rsidR="00110462" w:rsidRPr="00422CA2">
        <w:rPr>
          <w:rFonts w:ascii="ITC Avant Garde" w:hAnsi="ITC Avant Garde"/>
          <w:sz w:val="22"/>
          <w:szCs w:val="22"/>
        </w:rPr>
        <w:t xml:space="preserve">registrado ante el Instituto, ofrece o comercializa actualmente, </w:t>
      </w:r>
      <w:r w:rsidRPr="00422CA2">
        <w:rPr>
          <w:rFonts w:ascii="ITC Avant Garde" w:hAnsi="ITC Avant Garde"/>
          <w:sz w:val="22"/>
          <w:szCs w:val="22"/>
        </w:rPr>
        <w:t>bajo las mismas condiciones comerciales que ofrece para sus usuarios</w:t>
      </w:r>
      <w:r w:rsidR="00AD30AD" w:rsidRPr="00422CA2">
        <w:rPr>
          <w:rFonts w:ascii="ITC Avant Garde" w:hAnsi="ITC Avant Garde"/>
          <w:sz w:val="22"/>
          <w:szCs w:val="22"/>
          <w:lang w:val="es-MX"/>
        </w:rPr>
        <w:t>, en los mismos términos y condiciones que ofrece a sus usuarios incluyendo descuentos y promociones</w:t>
      </w:r>
      <w:r w:rsidR="000F2789" w:rsidRPr="00422CA2">
        <w:rPr>
          <w:rFonts w:ascii="ITC Avant Garde" w:hAnsi="ITC Avant Garde"/>
          <w:sz w:val="22"/>
          <w:szCs w:val="22"/>
          <w:lang w:val="es-MX"/>
        </w:rPr>
        <w:t>, así como, en su caso, los descuentos mayoristas aplicables</w:t>
      </w:r>
      <w:r w:rsidRPr="00422CA2">
        <w:rPr>
          <w:rFonts w:ascii="ITC Avant Garde" w:hAnsi="ITC Avant Garde"/>
          <w:sz w:val="22"/>
          <w:szCs w:val="22"/>
        </w:rPr>
        <w:t xml:space="preserve">. Telmex </w:t>
      </w:r>
      <w:r w:rsidR="0051165A" w:rsidRPr="00422CA2">
        <w:rPr>
          <w:rFonts w:ascii="ITC Avant Garde" w:hAnsi="ITC Avant Garde"/>
          <w:sz w:val="22"/>
          <w:szCs w:val="22"/>
        </w:rPr>
        <w:t>ofrecerá</w:t>
      </w:r>
      <w:r w:rsidRPr="00422CA2">
        <w:rPr>
          <w:rFonts w:ascii="ITC Avant Garde" w:hAnsi="ITC Avant Garde"/>
          <w:sz w:val="22"/>
          <w:szCs w:val="22"/>
        </w:rPr>
        <w:t xml:space="preserve"> a los CS las nuevas ofertas comerciales de Paquetes Infinitum </w:t>
      </w:r>
      <w:r w:rsidR="00006209" w:rsidRPr="00422CA2">
        <w:rPr>
          <w:rFonts w:ascii="ITC Avant Garde" w:hAnsi="ITC Avant Garde"/>
          <w:sz w:val="22"/>
          <w:szCs w:val="22"/>
        </w:rPr>
        <w:t xml:space="preserve">una vez </w:t>
      </w:r>
      <w:r w:rsidRPr="00422CA2">
        <w:rPr>
          <w:rFonts w:ascii="ITC Avant Garde" w:hAnsi="ITC Avant Garde"/>
          <w:sz w:val="22"/>
          <w:szCs w:val="22"/>
        </w:rPr>
        <w:t xml:space="preserve">que </w:t>
      </w:r>
      <w:r w:rsidR="0051165A" w:rsidRPr="00422CA2">
        <w:rPr>
          <w:rFonts w:ascii="ITC Avant Garde" w:hAnsi="ITC Avant Garde"/>
          <w:sz w:val="22"/>
          <w:szCs w:val="22"/>
        </w:rPr>
        <w:t>se las autorice</w:t>
      </w:r>
      <w:r w:rsidRPr="00422CA2">
        <w:rPr>
          <w:rFonts w:ascii="ITC Avant Garde" w:hAnsi="ITC Avant Garde"/>
          <w:sz w:val="22"/>
          <w:szCs w:val="22"/>
        </w:rPr>
        <w:t xml:space="preserve"> el Instituto</w:t>
      </w:r>
      <w:r w:rsidR="001357E1" w:rsidRPr="00422CA2">
        <w:rPr>
          <w:rFonts w:ascii="ITC Avant Garde" w:hAnsi="ITC Avant Garde"/>
          <w:sz w:val="22"/>
          <w:szCs w:val="22"/>
        </w:rPr>
        <w:t>. P</w:t>
      </w:r>
      <w:r w:rsidRPr="00422CA2">
        <w:rPr>
          <w:rFonts w:ascii="ITC Avant Garde" w:hAnsi="ITC Avant Garde"/>
          <w:sz w:val="22"/>
          <w:szCs w:val="22"/>
        </w:rPr>
        <w:t xml:space="preserve">ara ello, publicará las nuevas ofertas comerciales autorizadas en la interfaz </w:t>
      </w:r>
      <w:r w:rsidR="001A3BD7" w:rsidRPr="00422CA2">
        <w:rPr>
          <w:rFonts w:ascii="ITC Avant Garde" w:hAnsi="ITC Avant Garde"/>
          <w:sz w:val="22"/>
          <w:szCs w:val="22"/>
        </w:rPr>
        <w:t>en el Sistema de Captura o SEG cuando esté disponible</w:t>
      </w:r>
      <w:r w:rsidRPr="00422CA2">
        <w:rPr>
          <w:rFonts w:ascii="ITC Avant Garde" w:hAnsi="ITC Avant Garde"/>
          <w:sz w:val="22"/>
          <w:szCs w:val="22"/>
        </w:rPr>
        <w:t>.</w:t>
      </w:r>
      <w:r w:rsidR="00AE4DEC" w:rsidRPr="00422CA2">
        <w:rPr>
          <w:rFonts w:ascii="ITC Avant Garde" w:hAnsi="ITC Avant Garde"/>
          <w:sz w:val="22"/>
          <w:szCs w:val="22"/>
        </w:rPr>
        <w:t xml:space="preserve"> </w:t>
      </w:r>
    </w:p>
    <w:p w14:paraId="40E858A3" w14:textId="152F39A4" w:rsidR="00AE4DEC" w:rsidRPr="00422CA2" w:rsidRDefault="00AE4DEC" w:rsidP="005248DC">
      <w:pPr>
        <w:spacing w:after="200" w:line="276" w:lineRule="auto"/>
        <w:jc w:val="both"/>
        <w:rPr>
          <w:rFonts w:ascii="ITC Avant Garde" w:hAnsi="ITC Avant Garde"/>
          <w:sz w:val="22"/>
          <w:szCs w:val="22"/>
        </w:rPr>
      </w:pPr>
      <w:r w:rsidRPr="00422CA2">
        <w:rPr>
          <w:rFonts w:ascii="ITC Avant Garde" w:hAnsi="ITC Avant Garde"/>
          <w:sz w:val="22"/>
          <w:szCs w:val="22"/>
        </w:rPr>
        <w:t>Los paquetes a comercializar serán</w:t>
      </w:r>
      <w:r w:rsidR="006D2C45" w:rsidRPr="00422CA2">
        <w:rPr>
          <w:rFonts w:ascii="ITC Avant Garde" w:hAnsi="ITC Avant Garde"/>
          <w:sz w:val="22"/>
          <w:szCs w:val="22"/>
        </w:rPr>
        <w:t xml:space="preserve">, </w:t>
      </w:r>
      <w:r w:rsidR="006D2C45" w:rsidRPr="00422CA2">
        <w:rPr>
          <w:rFonts w:ascii="ITC Avant Garde" w:hAnsi="ITC Avant Garde"/>
          <w:sz w:val="22"/>
          <w:szCs w:val="22"/>
          <w:lang w:val="es-MX"/>
        </w:rPr>
        <w:t>de manera enunciativa más no limitativa y sin menoscabo de alguna modificación solicitada y aprobada por el Instituto,</w:t>
      </w:r>
      <w:r w:rsidRPr="00422CA2">
        <w:rPr>
          <w:rFonts w:ascii="ITC Avant Garde" w:hAnsi="ITC Avant Garde"/>
          <w:sz w:val="22"/>
          <w:szCs w:val="22"/>
        </w:rPr>
        <w:t xml:space="preserve"> los siguientes:</w:t>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00"/>
        <w:gridCol w:w="4840"/>
        <w:gridCol w:w="1520"/>
      </w:tblGrid>
      <w:tr w:rsidR="00422CA2" w:rsidRPr="00422CA2" w14:paraId="40E858A7" w14:textId="77777777" w:rsidTr="00E7277A">
        <w:trPr>
          <w:trHeight w:val="525"/>
          <w:jc w:val="center"/>
        </w:trPr>
        <w:tc>
          <w:tcPr>
            <w:tcW w:w="1900" w:type="dxa"/>
            <w:shd w:val="clear" w:color="auto" w:fill="0070C0"/>
            <w:tcMar>
              <w:top w:w="0" w:type="dxa"/>
              <w:left w:w="70" w:type="dxa"/>
              <w:bottom w:w="0" w:type="dxa"/>
              <w:right w:w="70" w:type="dxa"/>
            </w:tcMar>
            <w:vAlign w:val="center"/>
            <w:hideMark/>
          </w:tcPr>
          <w:p w14:paraId="40E858A4" w14:textId="77777777" w:rsidR="00DE207B" w:rsidRPr="00422CA2" w:rsidRDefault="00B438B5" w:rsidP="005248DC">
            <w:pPr>
              <w:spacing w:before="60" w:after="60" w:line="276" w:lineRule="auto"/>
              <w:jc w:val="center"/>
              <w:rPr>
                <w:rFonts w:ascii="ITC Avant Garde" w:eastAsiaTheme="minorHAnsi" w:hAnsi="ITC Avant Garde"/>
                <w:b/>
                <w:bCs/>
                <w:sz w:val="20"/>
                <w:szCs w:val="20"/>
              </w:rPr>
            </w:pPr>
            <w:r w:rsidRPr="00422CA2">
              <w:rPr>
                <w:rFonts w:ascii="ITC Avant Garde" w:eastAsiaTheme="minorHAnsi" w:hAnsi="ITC Avant Garde"/>
                <w:b/>
                <w:bCs/>
                <w:sz w:val="20"/>
                <w:szCs w:val="20"/>
              </w:rPr>
              <w:t>Servicio</w:t>
            </w:r>
          </w:p>
        </w:tc>
        <w:tc>
          <w:tcPr>
            <w:tcW w:w="4840" w:type="dxa"/>
            <w:shd w:val="clear" w:color="auto" w:fill="0070C0"/>
            <w:tcMar>
              <w:top w:w="0" w:type="dxa"/>
              <w:left w:w="70" w:type="dxa"/>
              <w:bottom w:w="0" w:type="dxa"/>
              <w:right w:w="70" w:type="dxa"/>
            </w:tcMar>
            <w:vAlign w:val="center"/>
            <w:hideMark/>
          </w:tcPr>
          <w:p w14:paraId="40E858A5" w14:textId="77777777" w:rsidR="00DE207B" w:rsidRPr="00422CA2" w:rsidRDefault="00DE207B" w:rsidP="005248DC">
            <w:pPr>
              <w:spacing w:before="60" w:after="60" w:line="276" w:lineRule="auto"/>
              <w:jc w:val="center"/>
              <w:rPr>
                <w:rFonts w:ascii="ITC Avant Garde" w:eastAsiaTheme="minorHAnsi" w:hAnsi="ITC Avant Garde"/>
                <w:b/>
                <w:bCs/>
                <w:sz w:val="20"/>
                <w:szCs w:val="20"/>
              </w:rPr>
            </w:pPr>
            <w:r w:rsidRPr="00422CA2">
              <w:rPr>
                <w:rFonts w:ascii="ITC Avant Garde" w:hAnsi="ITC Avant Garde"/>
                <w:b/>
                <w:bCs/>
                <w:sz w:val="20"/>
                <w:szCs w:val="20"/>
              </w:rPr>
              <w:t>Paquete</w:t>
            </w:r>
          </w:p>
        </w:tc>
        <w:tc>
          <w:tcPr>
            <w:tcW w:w="1520" w:type="dxa"/>
            <w:shd w:val="clear" w:color="auto" w:fill="0070C0"/>
            <w:tcMar>
              <w:top w:w="0" w:type="dxa"/>
              <w:left w:w="70" w:type="dxa"/>
              <w:bottom w:w="0" w:type="dxa"/>
              <w:right w:w="70" w:type="dxa"/>
            </w:tcMar>
            <w:vAlign w:val="center"/>
            <w:hideMark/>
          </w:tcPr>
          <w:p w14:paraId="40E858A6" w14:textId="77777777" w:rsidR="00DE207B" w:rsidRPr="00422CA2" w:rsidRDefault="00DE207B" w:rsidP="005248DC">
            <w:pPr>
              <w:spacing w:before="60" w:after="60" w:line="276" w:lineRule="auto"/>
              <w:jc w:val="center"/>
              <w:rPr>
                <w:rFonts w:ascii="ITC Avant Garde" w:eastAsiaTheme="minorHAnsi" w:hAnsi="ITC Avant Garde"/>
                <w:b/>
                <w:bCs/>
                <w:sz w:val="20"/>
                <w:szCs w:val="20"/>
              </w:rPr>
            </w:pPr>
            <w:r w:rsidRPr="00422CA2">
              <w:rPr>
                <w:rFonts w:ascii="ITC Avant Garde" w:hAnsi="ITC Avant Garde"/>
                <w:b/>
                <w:bCs/>
                <w:sz w:val="20"/>
                <w:szCs w:val="20"/>
              </w:rPr>
              <w:t xml:space="preserve">Velocidad </w:t>
            </w:r>
            <w:r w:rsidRPr="00422CA2">
              <w:rPr>
                <w:rFonts w:ascii="ITC Avant Garde" w:hAnsi="ITC Avant Garde"/>
                <w:b/>
                <w:bCs/>
                <w:sz w:val="20"/>
                <w:szCs w:val="20"/>
              </w:rPr>
              <w:br/>
              <w:t>(Mbps)</w:t>
            </w:r>
          </w:p>
        </w:tc>
      </w:tr>
      <w:tr w:rsidR="00422CA2" w:rsidRPr="00422CA2" w14:paraId="40E858AB" w14:textId="77777777" w:rsidTr="00E7277A">
        <w:trPr>
          <w:trHeight w:val="300"/>
          <w:jc w:val="center"/>
        </w:trPr>
        <w:tc>
          <w:tcPr>
            <w:tcW w:w="1900" w:type="dxa"/>
            <w:vMerge w:val="restart"/>
            <w:shd w:val="clear" w:color="auto" w:fill="FFFFFF"/>
            <w:tcMar>
              <w:top w:w="0" w:type="dxa"/>
              <w:left w:w="70" w:type="dxa"/>
              <w:bottom w:w="0" w:type="dxa"/>
              <w:right w:w="70" w:type="dxa"/>
            </w:tcMar>
            <w:vAlign w:val="center"/>
            <w:hideMark/>
          </w:tcPr>
          <w:p w14:paraId="5D59F488" w14:textId="77777777" w:rsidR="00305B69" w:rsidRPr="00422CA2" w:rsidRDefault="00305B69"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 xml:space="preserve">Servicio Reventa Paquetes </w:t>
            </w:r>
            <w:r w:rsidRPr="00422CA2">
              <w:rPr>
                <w:rFonts w:ascii="ITC Avant Garde" w:hAnsi="ITC Avant Garde"/>
                <w:sz w:val="20"/>
                <w:szCs w:val="20"/>
              </w:rPr>
              <w:lastRenderedPageBreak/>
              <w:t>Infinitum (Residenciales)</w:t>
            </w:r>
          </w:p>
          <w:p w14:paraId="40E858A8" w14:textId="35C0F397" w:rsidR="00305B69" w:rsidRPr="00422CA2" w:rsidRDefault="00305B69" w:rsidP="005248DC">
            <w:pPr>
              <w:spacing w:before="60" w:after="60" w:line="276" w:lineRule="auto"/>
              <w:rPr>
                <w:rFonts w:ascii="ITC Avant Garde" w:eastAsiaTheme="minorHAnsi" w:hAnsi="ITC Avant Garde"/>
                <w:sz w:val="20"/>
                <w:szCs w:val="20"/>
              </w:rPr>
            </w:pPr>
          </w:p>
        </w:tc>
        <w:tc>
          <w:tcPr>
            <w:tcW w:w="4840" w:type="dxa"/>
            <w:shd w:val="clear" w:color="auto" w:fill="FFFFFF"/>
            <w:noWrap/>
            <w:tcMar>
              <w:top w:w="0" w:type="dxa"/>
              <w:left w:w="70" w:type="dxa"/>
              <w:bottom w:w="0" w:type="dxa"/>
              <w:right w:w="70" w:type="dxa"/>
            </w:tcMar>
            <w:vAlign w:val="bottom"/>
            <w:hideMark/>
          </w:tcPr>
          <w:p w14:paraId="40E858A9" w14:textId="77777777" w:rsidR="00305B69" w:rsidRPr="00422CA2" w:rsidRDefault="00305B69"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lastRenderedPageBreak/>
              <w:t>Infinitum 333</w:t>
            </w:r>
          </w:p>
        </w:tc>
        <w:tc>
          <w:tcPr>
            <w:tcW w:w="1520" w:type="dxa"/>
            <w:shd w:val="clear" w:color="auto" w:fill="FFFFFF"/>
            <w:noWrap/>
            <w:tcMar>
              <w:top w:w="0" w:type="dxa"/>
              <w:left w:w="70" w:type="dxa"/>
              <w:bottom w:w="0" w:type="dxa"/>
              <w:right w:w="70" w:type="dxa"/>
            </w:tcMar>
            <w:vAlign w:val="bottom"/>
            <w:hideMark/>
          </w:tcPr>
          <w:p w14:paraId="40E858AA" w14:textId="77777777" w:rsidR="00305B69" w:rsidRPr="00422CA2" w:rsidRDefault="00305B69"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5</w:t>
            </w:r>
          </w:p>
        </w:tc>
      </w:tr>
      <w:tr w:rsidR="00422CA2" w:rsidRPr="00422CA2" w14:paraId="40E858AF" w14:textId="77777777" w:rsidTr="00E7277A">
        <w:trPr>
          <w:trHeight w:val="300"/>
          <w:jc w:val="center"/>
        </w:trPr>
        <w:tc>
          <w:tcPr>
            <w:tcW w:w="0" w:type="auto"/>
            <w:vMerge/>
            <w:vAlign w:val="center"/>
            <w:hideMark/>
          </w:tcPr>
          <w:p w14:paraId="40E858AC" w14:textId="33F82189" w:rsidR="00305B69" w:rsidRPr="00422CA2" w:rsidRDefault="00305B69" w:rsidP="005248DC">
            <w:pPr>
              <w:spacing w:before="60" w:after="60" w:line="276" w:lineRule="auto"/>
              <w:rPr>
                <w:rFonts w:ascii="ITC Avant Garde" w:eastAsiaTheme="minorHAnsi" w:hAnsi="ITC Avant Garde"/>
                <w:sz w:val="20"/>
                <w:szCs w:val="20"/>
              </w:rPr>
            </w:pPr>
          </w:p>
        </w:tc>
        <w:tc>
          <w:tcPr>
            <w:tcW w:w="4840" w:type="dxa"/>
            <w:shd w:val="clear" w:color="auto" w:fill="FFFFFF"/>
            <w:noWrap/>
            <w:tcMar>
              <w:top w:w="0" w:type="dxa"/>
              <w:left w:w="70" w:type="dxa"/>
              <w:bottom w:w="0" w:type="dxa"/>
              <w:right w:w="70" w:type="dxa"/>
            </w:tcMar>
            <w:vAlign w:val="bottom"/>
            <w:hideMark/>
          </w:tcPr>
          <w:p w14:paraId="40E858AD" w14:textId="77777777" w:rsidR="00305B69" w:rsidRPr="00422CA2" w:rsidRDefault="00305B69"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Conectes</w:t>
            </w:r>
          </w:p>
        </w:tc>
        <w:tc>
          <w:tcPr>
            <w:tcW w:w="1520" w:type="dxa"/>
            <w:shd w:val="clear" w:color="auto" w:fill="FFFFFF"/>
            <w:noWrap/>
            <w:tcMar>
              <w:top w:w="0" w:type="dxa"/>
              <w:left w:w="70" w:type="dxa"/>
              <w:bottom w:w="0" w:type="dxa"/>
              <w:right w:w="70" w:type="dxa"/>
            </w:tcMar>
            <w:vAlign w:val="bottom"/>
            <w:hideMark/>
          </w:tcPr>
          <w:p w14:paraId="40E858AE" w14:textId="77777777" w:rsidR="00305B69" w:rsidRPr="00422CA2" w:rsidRDefault="00305B69"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10</w:t>
            </w:r>
          </w:p>
        </w:tc>
      </w:tr>
      <w:tr w:rsidR="00422CA2" w:rsidRPr="00422CA2" w14:paraId="40E858B3" w14:textId="77777777" w:rsidTr="00E7277A">
        <w:trPr>
          <w:trHeight w:val="300"/>
          <w:jc w:val="center"/>
        </w:trPr>
        <w:tc>
          <w:tcPr>
            <w:tcW w:w="0" w:type="auto"/>
            <w:vMerge/>
            <w:vAlign w:val="center"/>
            <w:hideMark/>
          </w:tcPr>
          <w:p w14:paraId="40E858B0" w14:textId="57D9E763" w:rsidR="00305B69" w:rsidRPr="00422CA2" w:rsidRDefault="00305B69" w:rsidP="005248DC">
            <w:pPr>
              <w:spacing w:before="60" w:after="60" w:line="276" w:lineRule="auto"/>
              <w:rPr>
                <w:rFonts w:ascii="ITC Avant Garde" w:eastAsiaTheme="minorHAnsi" w:hAnsi="ITC Avant Garde"/>
                <w:sz w:val="20"/>
                <w:szCs w:val="20"/>
              </w:rPr>
            </w:pPr>
          </w:p>
        </w:tc>
        <w:tc>
          <w:tcPr>
            <w:tcW w:w="4840" w:type="dxa"/>
            <w:shd w:val="clear" w:color="auto" w:fill="FFFFFF"/>
            <w:noWrap/>
            <w:tcMar>
              <w:top w:w="0" w:type="dxa"/>
              <w:left w:w="70" w:type="dxa"/>
              <w:bottom w:w="0" w:type="dxa"/>
              <w:right w:w="70" w:type="dxa"/>
            </w:tcMar>
            <w:vAlign w:val="bottom"/>
            <w:hideMark/>
          </w:tcPr>
          <w:p w14:paraId="40E858B1" w14:textId="77777777" w:rsidR="00305B69" w:rsidRPr="00422CA2" w:rsidRDefault="00305B69"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Acerques</w:t>
            </w:r>
          </w:p>
        </w:tc>
        <w:tc>
          <w:tcPr>
            <w:tcW w:w="1520" w:type="dxa"/>
            <w:shd w:val="clear" w:color="auto" w:fill="FFFFFF"/>
            <w:noWrap/>
            <w:tcMar>
              <w:top w:w="0" w:type="dxa"/>
              <w:left w:w="70" w:type="dxa"/>
              <w:bottom w:w="0" w:type="dxa"/>
              <w:right w:w="70" w:type="dxa"/>
            </w:tcMar>
            <w:vAlign w:val="bottom"/>
            <w:hideMark/>
          </w:tcPr>
          <w:p w14:paraId="40E858B2" w14:textId="77777777" w:rsidR="00305B69" w:rsidRPr="00422CA2" w:rsidRDefault="00305B69"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20</w:t>
            </w:r>
          </w:p>
        </w:tc>
      </w:tr>
      <w:tr w:rsidR="00422CA2" w:rsidRPr="00422CA2" w14:paraId="40E858B7" w14:textId="77777777" w:rsidTr="00E7277A">
        <w:trPr>
          <w:trHeight w:val="300"/>
          <w:jc w:val="center"/>
        </w:trPr>
        <w:tc>
          <w:tcPr>
            <w:tcW w:w="0" w:type="auto"/>
            <w:vMerge/>
            <w:vAlign w:val="center"/>
            <w:hideMark/>
          </w:tcPr>
          <w:p w14:paraId="40E858B4" w14:textId="2B9DA052" w:rsidR="00305B69" w:rsidRPr="00422CA2" w:rsidRDefault="00305B69" w:rsidP="005248DC">
            <w:pPr>
              <w:spacing w:before="60" w:after="60" w:line="276" w:lineRule="auto"/>
              <w:rPr>
                <w:rFonts w:ascii="ITC Avant Garde" w:eastAsiaTheme="minorHAnsi" w:hAnsi="ITC Avant Garde"/>
                <w:sz w:val="20"/>
                <w:szCs w:val="20"/>
              </w:rPr>
            </w:pPr>
          </w:p>
        </w:tc>
        <w:tc>
          <w:tcPr>
            <w:tcW w:w="4840" w:type="dxa"/>
            <w:shd w:val="clear" w:color="auto" w:fill="FFFFFF"/>
            <w:noWrap/>
            <w:tcMar>
              <w:top w:w="0" w:type="dxa"/>
              <w:left w:w="70" w:type="dxa"/>
              <w:bottom w:w="0" w:type="dxa"/>
              <w:right w:w="70" w:type="dxa"/>
            </w:tcMar>
            <w:vAlign w:val="bottom"/>
            <w:hideMark/>
          </w:tcPr>
          <w:p w14:paraId="40E858B5" w14:textId="77777777" w:rsidR="00305B69" w:rsidRPr="00422CA2" w:rsidRDefault="00305B69"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Todo México Sin Límites</w:t>
            </w:r>
          </w:p>
        </w:tc>
        <w:tc>
          <w:tcPr>
            <w:tcW w:w="1520" w:type="dxa"/>
            <w:shd w:val="clear" w:color="auto" w:fill="FFFFFF"/>
            <w:noWrap/>
            <w:tcMar>
              <w:top w:w="0" w:type="dxa"/>
              <w:left w:w="70" w:type="dxa"/>
              <w:bottom w:w="0" w:type="dxa"/>
              <w:right w:w="70" w:type="dxa"/>
            </w:tcMar>
            <w:vAlign w:val="bottom"/>
            <w:hideMark/>
          </w:tcPr>
          <w:p w14:paraId="40E858B6" w14:textId="77777777" w:rsidR="00305B69" w:rsidRPr="00422CA2" w:rsidRDefault="00305B69"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40</w:t>
            </w:r>
          </w:p>
        </w:tc>
      </w:tr>
      <w:tr w:rsidR="00422CA2" w:rsidRPr="00422CA2" w14:paraId="5864E270" w14:textId="77777777" w:rsidTr="00E7277A">
        <w:trPr>
          <w:trHeight w:val="300"/>
          <w:jc w:val="center"/>
        </w:trPr>
        <w:tc>
          <w:tcPr>
            <w:tcW w:w="1900" w:type="dxa"/>
            <w:vMerge/>
            <w:shd w:val="clear" w:color="auto" w:fill="FFFFFF"/>
            <w:tcMar>
              <w:top w:w="0" w:type="dxa"/>
              <w:left w:w="70" w:type="dxa"/>
              <w:bottom w:w="0" w:type="dxa"/>
              <w:right w:w="70" w:type="dxa"/>
            </w:tcMar>
            <w:vAlign w:val="center"/>
          </w:tcPr>
          <w:p w14:paraId="3F3E85B0" w14:textId="6BD09D01" w:rsidR="00305B69" w:rsidRPr="00422CA2" w:rsidRDefault="00305B69" w:rsidP="005248DC">
            <w:pPr>
              <w:spacing w:before="60" w:after="60" w:line="276" w:lineRule="auto"/>
              <w:rPr>
                <w:rFonts w:ascii="ITC Avant Garde" w:hAnsi="ITC Avant Garde"/>
                <w:sz w:val="20"/>
                <w:szCs w:val="20"/>
              </w:rPr>
            </w:pPr>
          </w:p>
        </w:tc>
        <w:tc>
          <w:tcPr>
            <w:tcW w:w="4840" w:type="dxa"/>
            <w:shd w:val="clear" w:color="auto" w:fill="FFFFFF"/>
            <w:tcMar>
              <w:top w:w="0" w:type="dxa"/>
              <w:left w:w="70" w:type="dxa"/>
              <w:bottom w:w="0" w:type="dxa"/>
              <w:right w:w="70" w:type="dxa"/>
            </w:tcMar>
            <w:vAlign w:val="bottom"/>
          </w:tcPr>
          <w:p w14:paraId="5C9B9843" w14:textId="5EABD228" w:rsidR="00305B69" w:rsidRPr="00422CA2" w:rsidRDefault="00305B69" w:rsidP="005248DC">
            <w:pPr>
              <w:spacing w:before="60" w:after="60" w:line="276" w:lineRule="auto"/>
              <w:rPr>
                <w:rFonts w:ascii="ITC Avant Garde" w:hAnsi="ITC Avant Garde"/>
                <w:sz w:val="20"/>
                <w:szCs w:val="20"/>
              </w:rPr>
            </w:pPr>
            <w:r w:rsidRPr="00422CA2">
              <w:rPr>
                <w:rFonts w:ascii="ITC Avant Garde" w:hAnsi="ITC Avant Garde"/>
                <w:sz w:val="20"/>
                <w:szCs w:val="20"/>
              </w:rPr>
              <w:t>Paquete Conectes Frontera</w:t>
            </w:r>
          </w:p>
        </w:tc>
        <w:tc>
          <w:tcPr>
            <w:tcW w:w="1520" w:type="dxa"/>
            <w:shd w:val="clear" w:color="auto" w:fill="FFFFFF"/>
            <w:tcMar>
              <w:top w:w="0" w:type="dxa"/>
              <w:left w:w="70" w:type="dxa"/>
              <w:bottom w:w="0" w:type="dxa"/>
              <w:right w:w="70" w:type="dxa"/>
            </w:tcMar>
            <w:vAlign w:val="bottom"/>
          </w:tcPr>
          <w:p w14:paraId="582D2EAF" w14:textId="00AA321C" w:rsidR="00305B69" w:rsidRPr="00422CA2" w:rsidRDefault="00305B69" w:rsidP="005248DC">
            <w:pPr>
              <w:spacing w:before="60" w:after="60" w:line="276" w:lineRule="auto"/>
              <w:jc w:val="center"/>
              <w:rPr>
                <w:rFonts w:ascii="ITC Avant Garde" w:hAnsi="ITC Avant Garde"/>
                <w:sz w:val="20"/>
                <w:szCs w:val="20"/>
              </w:rPr>
            </w:pPr>
            <w:r w:rsidRPr="00422CA2">
              <w:rPr>
                <w:rFonts w:ascii="ITC Avant Garde" w:hAnsi="ITC Avant Garde"/>
                <w:sz w:val="20"/>
                <w:szCs w:val="20"/>
              </w:rPr>
              <w:t>10</w:t>
            </w:r>
          </w:p>
        </w:tc>
      </w:tr>
      <w:tr w:rsidR="00422CA2" w:rsidRPr="00422CA2" w14:paraId="40E858BB" w14:textId="77777777" w:rsidTr="00E7277A">
        <w:trPr>
          <w:trHeight w:val="300"/>
          <w:jc w:val="center"/>
        </w:trPr>
        <w:tc>
          <w:tcPr>
            <w:tcW w:w="1900" w:type="dxa"/>
            <w:vMerge w:val="restart"/>
            <w:shd w:val="clear" w:color="auto" w:fill="FFFFFF"/>
            <w:tcMar>
              <w:top w:w="0" w:type="dxa"/>
              <w:left w:w="70" w:type="dxa"/>
              <w:bottom w:w="0" w:type="dxa"/>
              <w:right w:w="70" w:type="dxa"/>
            </w:tcMar>
            <w:vAlign w:val="center"/>
            <w:hideMark/>
          </w:tcPr>
          <w:p w14:paraId="40E858B8" w14:textId="77777777" w:rsidR="00DE207B" w:rsidRPr="00422CA2" w:rsidRDefault="00DE207B"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Servicio Re</w:t>
            </w:r>
            <w:r w:rsidR="004F375A" w:rsidRPr="00422CA2">
              <w:rPr>
                <w:rFonts w:ascii="ITC Avant Garde" w:hAnsi="ITC Avant Garde"/>
                <w:sz w:val="20"/>
                <w:szCs w:val="20"/>
              </w:rPr>
              <w:t>venta Paquetes Infinitum (Comer</w:t>
            </w:r>
            <w:r w:rsidRPr="00422CA2">
              <w:rPr>
                <w:rFonts w:ascii="ITC Avant Garde" w:hAnsi="ITC Avant Garde"/>
                <w:sz w:val="20"/>
                <w:szCs w:val="20"/>
              </w:rPr>
              <w:t>ciales)</w:t>
            </w:r>
          </w:p>
        </w:tc>
        <w:tc>
          <w:tcPr>
            <w:tcW w:w="4840" w:type="dxa"/>
            <w:shd w:val="clear" w:color="auto" w:fill="FFFFFF"/>
            <w:tcMar>
              <w:top w:w="0" w:type="dxa"/>
              <w:left w:w="70" w:type="dxa"/>
              <w:bottom w:w="0" w:type="dxa"/>
              <w:right w:w="70" w:type="dxa"/>
            </w:tcMar>
            <w:vAlign w:val="bottom"/>
            <w:hideMark/>
          </w:tcPr>
          <w:p w14:paraId="40E858B9" w14:textId="77777777" w:rsidR="00DE207B" w:rsidRPr="00422CA2" w:rsidRDefault="006A4724"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Conectes Negocio</w:t>
            </w:r>
          </w:p>
        </w:tc>
        <w:tc>
          <w:tcPr>
            <w:tcW w:w="1520" w:type="dxa"/>
            <w:shd w:val="clear" w:color="auto" w:fill="FFFFFF"/>
            <w:tcMar>
              <w:top w:w="0" w:type="dxa"/>
              <w:left w:w="70" w:type="dxa"/>
              <w:bottom w:w="0" w:type="dxa"/>
              <w:right w:w="70" w:type="dxa"/>
            </w:tcMar>
            <w:vAlign w:val="bottom"/>
            <w:hideMark/>
          </w:tcPr>
          <w:p w14:paraId="40E858BA"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5</w:t>
            </w:r>
          </w:p>
        </w:tc>
      </w:tr>
      <w:tr w:rsidR="00422CA2" w:rsidRPr="00422CA2" w14:paraId="40E858BF" w14:textId="77777777" w:rsidTr="00E7277A">
        <w:trPr>
          <w:trHeight w:val="300"/>
          <w:jc w:val="center"/>
        </w:trPr>
        <w:tc>
          <w:tcPr>
            <w:tcW w:w="0" w:type="auto"/>
            <w:vMerge/>
            <w:vAlign w:val="center"/>
            <w:hideMark/>
          </w:tcPr>
          <w:p w14:paraId="40E858BC" w14:textId="77777777" w:rsidR="00DE207B" w:rsidRPr="00422CA2" w:rsidRDefault="00DE207B"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bottom"/>
            <w:hideMark/>
          </w:tcPr>
          <w:p w14:paraId="40E858BD" w14:textId="77777777" w:rsidR="00DE207B" w:rsidRPr="00422CA2" w:rsidRDefault="006A4724"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Mi Negocio</w:t>
            </w:r>
          </w:p>
        </w:tc>
        <w:tc>
          <w:tcPr>
            <w:tcW w:w="1520" w:type="dxa"/>
            <w:shd w:val="clear" w:color="auto" w:fill="FFFFFF"/>
            <w:tcMar>
              <w:top w:w="0" w:type="dxa"/>
              <w:left w:w="70" w:type="dxa"/>
              <w:bottom w:w="0" w:type="dxa"/>
              <w:right w:w="70" w:type="dxa"/>
            </w:tcMar>
            <w:vAlign w:val="bottom"/>
            <w:hideMark/>
          </w:tcPr>
          <w:p w14:paraId="40E858BE"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1</w:t>
            </w:r>
            <w:r w:rsidR="00DE207B" w:rsidRPr="00422CA2">
              <w:rPr>
                <w:rFonts w:ascii="ITC Avant Garde" w:hAnsi="ITC Avant Garde"/>
                <w:sz w:val="20"/>
                <w:szCs w:val="20"/>
              </w:rPr>
              <w:t>0</w:t>
            </w:r>
          </w:p>
        </w:tc>
      </w:tr>
      <w:tr w:rsidR="00422CA2" w:rsidRPr="00422CA2" w14:paraId="40E858C3" w14:textId="77777777" w:rsidTr="00E7277A">
        <w:trPr>
          <w:trHeight w:val="300"/>
          <w:jc w:val="center"/>
        </w:trPr>
        <w:tc>
          <w:tcPr>
            <w:tcW w:w="0" w:type="auto"/>
            <w:vMerge/>
            <w:vAlign w:val="center"/>
            <w:hideMark/>
          </w:tcPr>
          <w:p w14:paraId="40E858C0" w14:textId="77777777" w:rsidR="00DE207B" w:rsidRPr="00422CA2" w:rsidRDefault="00DE207B"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bottom"/>
            <w:hideMark/>
          </w:tcPr>
          <w:p w14:paraId="40E858C1" w14:textId="47738057" w:rsidR="00DE207B" w:rsidRPr="00422CA2" w:rsidRDefault="006A4724" w:rsidP="009562CF">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Super</w:t>
            </w:r>
            <w:r w:rsidR="009562CF" w:rsidRPr="00422CA2">
              <w:rPr>
                <w:rFonts w:ascii="ITC Avant Garde" w:hAnsi="ITC Avant Garde"/>
                <w:sz w:val="20"/>
                <w:szCs w:val="20"/>
              </w:rPr>
              <w:t xml:space="preserve"> N</w:t>
            </w:r>
            <w:r w:rsidRPr="00422CA2">
              <w:rPr>
                <w:rFonts w:ascii="ITC Avant Garde" w:hAnsi="ITC Avant Garde"/>
                <w:sz w:val="20"/>
                <w:szCs w:val="20"/>
              </w:rPr>
              <w:t>egocio</w:t>
            </w:r>
          </w:p>
        </w:tc>
        <w:tc>
          <w:tcPr>
            <w:tcW w:w="1520" w:type="dxa"/>
            <w:shd w:val="clear" w:color="auto" w:fill="FFFFFF"/>
            <w:tcMar>
              <w:top w:w="0" w:type="dxa"/>
              <w:left w:w="70" w:type="dxa"/>
              <w:bottom w:w="0" w:type="dxa"/>
              <w:right w:w="70" w:type="dxa"/>
            </w:tcMar>
            <w:vAlign w:val="bottom"/>
            <w:hideMark/>
          </w:tcPr>
          <w:p w14:paraId="40E858C2"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w:t>
            </w:r>
            <w:r w:rsidR="00DE207B" w:rsidRPr="00422CA2">
              <w:rPr>
                <w:rFonts w:ascii="ITC Avant Garde" w:hAnsi="ITC Avant Garde"/>
                <w:sz w:val="20"/>
                <w:szCs w:val="20"/>
              </w:rPr>
              <w:t>0</w:t>
            </w:r>
          </w:p>
        </w:tc>
      </w:tr>
      <w:tr w:rsidR="00422CA2" w:rsidRPr="00422CA2" w14:paraId="40E858C7" w14:textId="77777777" w:rsidTr="00E7277A">
        <w:trPr>
          <w:trHeight w:val="300"/>
          <w:jc w:val="center"/>
        </w:trPr>
        <w:tc>
          <w:tcPr>
            <w:tcW w:w="0" w:type="auto"/>
            <w:vMerge/>
            <w:vAlign w:val="center"/>
            <w:hideMark/>
          </w:tcPr>
          <w:p w14:paraId="40E858C4" w14:textId="77777777" w:rsidR="00DE207B" w:rsidRPr="00422CA2" w:rsidRDefault="00DE207B"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bottom"/>
            <w:hideMark/>
          </w:tcPr>
          <w:p w14:paraId="40E858C5" w14:textId="77777777" w:rsidR="00DE207B" w:rsidRPr="00422CA2" w:rsidRDefault="006A4724"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Telmex Negocio Sin Limites 1</w:t>
            </w:r>
          </w:p>
        </w:tc>
        <w:tc>
          <w:tcPr>
            <w:tcW w:w="1520" w:type="dxa"/>
            <w:shd w:val="clear" w:color="auto" w:fill="FFFFFF"/>
            <w:tcMar>
              <w:top w:w="0" w:type="dxa"/>
              <w:left w:w="70" w:type="dxa"/>
              <w:bottom w:w="0" w:type="dxa"/>
              <w:right w:w="70" w:type="dxa"/>
            </w:tcMar>
            <w:vAlign w:val="bottom"/>
            <w:hideMark/>
          </w:tcPr>
          <w:p w14:paraId="40E858C6"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w:t>
            </w:r>
            <w:r w:rsidR="00DE207B" w:rsidRPr="00422CA2">
              <w:rPr>
                <w:rFonts w:ascii="ITC Avant Garde" w:hAnsi="ITC Avant Garde"/>
                <w:sz w:val="20"/>
                <w:szCs w:val="20"/>
              </w:rPr>
              <w:t>0</w:t>
            </w:r>
          </w:p>
        </w:tc>
      </w:tr>
      <w:tr w:rsidR="00422CA2" w:rsidRPr="00422CA2" w14:paraId="40E858CB" w14:textId="77777777" w:rsidTr="00E7277A">
        <w:trPr>
          <w:trHeight w:val="300"/>
          <w:jc w:val="center"/>
        </w:trPr>
        <w:tc>
          <w:tcPr>
            <w:tcW w:w="0" w:type="auto"/>
            <w:vMerge/>
            <w:vAlign w:val="center"/>
            <w:hideMark/>
          </w:tcPr>
          <w:p w14:paraId="40E858C8" w14:textId="77777777" w:rsidR="00DE207B" w:rsidRPr="00422CA2" w:rsidRDefault="00DE207B"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bottom"/>
            <w:hideMark/>
          </w:tcPr>
          <w:p w14:paraId="40E858C9" w14:textId="77777777" w:rsidR="00DE207B" w:rsidRPr="00422CA2" w:rsidRDefault="006A4724"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Telmex Negocio Sin Limites 2</w:t>
            </w:r>
          </w:p>
        </w:tc>
        <w:tc>
          <w:tcPr>
            <w:tcW w:w="1520" w:type="dxa"/>
            <w:shd w:val="clear" w:color="auto" w:fill="FFFFFF"/>
            <w:tcMar>
              <w:top w:w="0" w:type="dxa"/>
              <w:left w:w="70" w:type="dxa"/>
              <w:bottom w:w="0" w:type="dxa"/>
              <w:right w:w="70" w:type="dxa"/>
            </w:tcMar>
            <w:vAlign w:val="bottom"/>
            <w:hideMark/>
          </w:tcPr>
          <w:p w14:paraId="40E858CA"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w:t>
            </w:r>
            <w:r w:rsidR="00DE207B" w:rsidRPr="00422CA2">
              <w:rPr>
                <w:rFonts w:ascii="ITC Avant Garde" w:hAnsi="ITC Avant Garde"/>
                <w:sz w:val="20"/>
                <w:szCs w:val="20"/>
              </w:rPr>
              <w:t>0</w:t>
            </w:r>
          </w:p>
        </w:tc>
      </w:tr>
      <w:tr w:rsidR="00422CA2" w:rsidRPr="00422CA2" w14:paraId="40E858CF" w14:textId="77777777" w:rsidTr="00E7277A">
        <w:trPr>
          <w:trHeight w:val="300"/>
          <w:jc w:val="center"/>
        </w:trPr>
        <w:tc>
          <w:tcPr>
            <w:tcW w:w="0" w:type="auto"/>
            <w:vMerge/>
            <w:vAlign w:val="center"/>
            <w:hideMark/>
          </w:tcPr>
          <w:p w14:paraId="40E858CC" w14:textId="77777777" w:rsidR="00DE207B" w:rsidRPr="00422CA2" w:rsidRDefault="00DE207B" w:rsidP="005248DC">
            <w:pPr>
              <w:spacing w:before="60" w:after="60" w:line="276" w:lineRule="auto"/>
              <w:rPr>
                <w:rFonts w:ascii="ITC Avant Garde" w:eastAsiaTheme="minorHAnsi" w:hAnsi="ITC Avant Garde"/>
                <w:sz w:val="20"/>
                <w:szCs w:val="20"/>
              </w:rPr>
            </w:pPr>
          </w:p>
        </w:tc>
        <w:tc>
          <w:tcPr>
            <w:tcW w:w="4840" w:type="dxa"/>
            <w:shd w:val="clear" w:color="auto" w:fill="FFFFFF"/>
            <w:tcMar>
              <w:top w:w="0" w:type="dxa"/>
              <w:left w:w="70" w:type="dxa"/>
              <w:bottom w:w="0" w:type="dxa"/>
              <w:right w:w="70" w:type="dxa"/>
            </w:tcMar>
            <w:vAlign w:val="bottom"/>
            <w:hideMark/>
          </w:tcPr>
          <w:p w14:paraId="40E858CD" w14:textId="77777777" w:rsidR="00DE207B" w:rsidRPr="00422CA2" w:rsidRDefault="006A4724" w:rsidP="005248DC">
            <w:pPr>
              <w:spacing w:before="60" w:after="60" w:line="276" w:lineRule="auto"/>
              <w:rPr>
                <w:rFonts w:ascii="ITC Avant Garde" w:eastAsiaTheme="minorHAnsi" w:hAnsi="ITC Avant Garde"/>
                <w:sz w:val="20"/>
                <w:szCs w:val="20"/>
              </w:rPr>
            </w:pPr>
            <w:r w:rsidRPr="00422CA2">
              <w:rPr>
                <w:rFonts w:ascii="ITC Avant Garde" w:hAnsi="ITC Avant Garde"/>
                <w:sz w:val="20"/>
                <w:szCs w:val="20"/>
              </w:rPr>
              <w:t>Paquete Telmex Negocio Sin Limites 3</w:t>
            </w:r>
          </w:p>
        </w:tc>
        <w:tc>
          <w:tcPr>
            <w:tcW w:w="1520" w:type="dxa"/>
            <w:shd w:val="clear" w:color="auto" w:fill="FFFFFF"/>
            <w:tcMar>
              <w:top w:w="0" w:type="dxa"/>
              <w:left w:w="70" w:type="dxa"/>
              <w:bottom w:w="0" w:type="dxa"/>
              <w:right w:w="70" w:type="dxa"/>
            </w:tcMar>
            <w:vAlign w:val="bottom"/>
            <w:hideMark/>
          </w:tcPr>
          <w:p w14:paraId="40E858CE" w14:textId="77777777" w:rsidR="00DE207B" w:rsidRPr="00422CA2" w:rsidRDefault="00B57C06" w:rsidP="005248DC">
            <w:pPr>
              <w:spacing w:before="60" w:after="60" w:line="276" w:lineRule="auto"/>
              <w:jc w:val="center"/>
              <w:rPr>
                <w:rFonts w:ascii="ITC Avant Garde" w:eastAsiaTheme="minorHAnsi" w:hAnsi="ITC Avant Garde"/>
                <w:sz w:val="20"/>
                <w:szCs w:val="20"/>
              </w:rPr>
            </w:pPr>
            <w:r w:rsidRPr="00422CA2">
              <w:rPr>
                <w:rFonts w:ascii="ITC Avant Garde" w:hAnsi="ITC Avant Garde"/>
                <w:sz w:val="20"/>
                <w:szCs w:val="20"/>
              </w:rPr>
              <w:t>2</w:t>
            </w:r>
            <w:r w:rsidR="00DE207B" w:rsidRPr="00422CA2">
              <w:rPr>
                <w:rFonts w:ascii="ITC Avant Garde" w:hAnsi="ITC Avant Garde"/>
                <w:sz w:val="20"/>
                <w:szCs w:val="20"/>
              </w:rPr>
              <w:t>0</w:t>
            </w:r>
          </w:p>
        </w:tc>
      </w:tr>
    </w:tbl>
    <w:p w14:paraId="40E858D0" w14:textId="428DBFB7" w:rsidR="00F07FD9" w:rsidRPr="00422CA2" w:rsidRDefault="00C73689" w:rsidP="009562CF">
      <w:pPr>
        <w:spacing w:before="120" w:after="200" w:line="276" w:lineRule="auto"/>
        <w:ind w:left="284"/>
        <w:jc w:val="center"/>
        <w:rPr>
          <w:rFonts w:ascii="ITC Avant Garde" w:hAnsi="ITC Avant Garde"/>
          <w:sz w:val="16"/>
          <w:szCs w:val="18"/>
          <w:lang w:val="es-MX"/>
        </w:rPr>
      </w:pPr>
      <w:r w:rsidRPr="00422CA2">
        <w:rPr>
          <w:rFonts w:ascii="ITC Avant Garde" w:hAnsi="ITC Avant Garde"/>
          <w:sz w:val="16"/>
          <w:szCs w:val="18"/>
          <w:lang w:val="es-MX"/>
        </w:rPr>
        <w:t>Tabla 1</w:t>
      </w:r>
      <w:r w:rsidR="00A31898" w:rsidRPr="00422CA2">
        <w:rPr>
          <w:rFonts w:ascii="ITC Avant Garde" w:hAnsi="ITC Avant Garde"/>
          <w:sz w:val="16"/>
          <w:szCs w:val="18"/>
          <w:lang w:val="es-MX"/>
        </w:rPr>
        <w:t>0</w:t>
      </w:r>
      <w:r w:rsidRPr="00422CA2">
        <w:rPr>
          <w:rFonts w:ascii="ITC Avant Garde" w:hAnsi="ITC Avant Garde"/>
          <w:sz w:val="16"/>
          <w:szCs w:val="18"/>
          <w:lang w:val="es-MX"/>
        </w:rPr>
        <w:t xml:space="preserve"> </w:t>
      </w:r>
      <w:r w:rsidR="00386F86" w:rsidRPr="00422CA2">
        <w:rPr>
          <w:rFonts w:ascii="ITC Avant Garde" w:hAnsi="ITC Avant Garde"/>
          <w:sz w:val="16"/>
          <w:szCs w:val="18"/>
          <w:lang w:val="es-MX"/>
        </w:rPr>
        <w:t>Modalidades de Reventa de Paquetes</w:t>
      </w:r>
    </w:p>
    <w:p w14:paraId="3FC984A5" w14:textId="379FD013" w:rsidR="00C91182" w:rsidRPr="00422CA2" w:rsidRDefault="00011A1B" w:rsidP="005248DC">
      <w:pPr>
        <w:tabs>
          <w:tab w:val="left" w:pos="2051"/>
        </w:tabs>
        <w:spacing w:after="200" w:line="276" w:lineRule="auto"/>
        <w:jc w:val="both"/>
        <w:rPr>
          <w:rFonts w:ascii="ITC Avant Garde" w:hAnsi="ITC Avant Garde" w:cs="Arial"/>
          <w:sz w:val="22"/>
          <w:szCs w:val="22"/>
        </w:rPr>
      </w:pPr>
      <w:r w:rsidRPr="00422CA2">
        <w:rPr>
          <w:rFonts w:ascii="ITC Avant Garde" w:hAnsi="ITC Avant Garde" w:cs="Arial"/>
          <w:sz w:val="22"/>
          <w:szCs w:val="22"/>
        </w:rPr>
        <w:t>El CS deberá expresar la modalidad que desea contratar (residencial/comercial) en el momento de la solicitud</w:t>
      </w:r>
      <w:r w:rsidR="00493B51" w:rsidRPr="00422CA2">
        <w:rPr>
          <w:rStyle w:val="Refdenotaalpie"/>
          <w:rFonts w:ascii="ITC Avant Garde" w:hAnsi="ITC Avant Garde" w:cs="Arial"/>
          <w:sz w:val="22"/>
          <w:szCs w:val="22"/>
        </w:rPr>
        <w:footnoteReference w:id="10"/>
      </w:r>
      <w:r w:rsidRPr="00422CA2">
        <w:rPr>
          <w:rFonts w:ascii="ITC Avant Garde" w:hAnsi="ITC Avant Garde" w:cs="Arial"/>
          <w:sz w:val="22"/>
          <w:szCs w:val="22"/>
        </w:rPr>
        <w:t>, si el domicilio del usuario final para el que se ha solicitado un servicio de reventa de paquetes infinitum residencial, no es persona física la que recibirá el servicio en su hogar o casa habitación, se habilitará el Servicio de Reventa de Paquetes Infinitum en la modalidad comercial más parecida.</w:t>
      </w:r>
    </w:p>
    <w:p w14:paraId="40E858D4" w14:textId="77777777" w:rsidR="002F4328" w:rsidRPr="00422CA2" w:rsidRDefault="00011A1B" w:rsidP="005248DC">
      <w:pPr>
        <w:tabs>
          <w:tab w:val="left" w:pos="2051"/>
        </w:tabs>
        <w:spacing w:after="200" w:line="276" w:lineRule="auto"/>
        <w:jc w:val="both"/>
        <w:rPr>
          <w:rFonts w:ascii="ITC Avant Garde" w:hAnsi="ITC Avant Garde" w:cs="Arial"/>
          <w:b/>
          <w:sz w:val="22"/>
          <w:szCs w:val="22"/>
        </w:rPr>
      </w:pPr>
      <w:r w:rsidRPr="00422CA2">
        <w:rPr>
          <w:rFonts w:ascii="ITC Avant Garde" w:hAnsi="ITC Avant Garde" w:cs="Arial"/>
          <w:b/>
          <w:sz w:val="22"/>
          <w:szCs w:val="22"/>
        </w:rPr>
        <w:t>Alcance del servicio</w:t>
      </w:r>
    </w:p>
    <w:p w14:paraId="40E858D5" w14:textId="77777777" w:rsidR="00F07FD9" w:rsidRPr="00422CA2" w:rsidRDefault="00011A1B" w:rsidP="005248DC">
      <w:pPr>
        <w:spacing w:before="240" w:after="200" w:line="276" w:lineRule="auto"/>
        <w:jc w:val="both"/>
        <w:rPr>
          <w:rFonts w:ascii="ITC Avant Garde" w:hAnsi="ITC Avant Garde"/>
          <w:sz w:val="22"/>
          <w:szCs w:val="22"/>
        </w:rPr>
      </w:pPr>
      <w:r w:rsidRPr="00422CA2">
        <w:rPr>
          <w:rFonts w:ascii="ITC Avant Garde" w:hAnsi="ITC Avant Garde"/>
          <w:sz w:val="22"/>
          <w:szCs w:val="22"/>
        </w:rPr>
        <w:t>El alcance y responsabilidad de Telmex en el Servicio de Reventa de Paquetes Infinitum es el siguiente:</w:t>
      </w:r>
    </w:p>
    <w:p w14:paraId="40E858D6" w14:textId="77777777" w:rsidR="00F07FD9"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Instalación del servicio</w:t>
      </w:r>
    </w:p>
    <w:p w14:paraId="40E858D7" w14:textId="77777777" w:rsidR="003F5389"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Habilitación de los servicios en la red y Sistemas de Gestión Telmex;</w:t>
      </w:r>
    </w:p>
    <w:p w14:paraId="40E858D8" w14:textId="77777777" w:rsidR="00F07FD9"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Servicio de voz y de internet.</w:t>
      </w:r>
    </w:p>
    <w:p w14:paraId="40E858D9" w14:textId="77777777" w:rsidR="00AA03AB" w:rsidRPr="00422CA2" w:rsidRDefault="00011A1B" w:rsidP="005248DC">
      <w:pPr>
        <w:pStyle w:val="Prrafodelista"/>
        <w:numPr>
          <w:ilvl w:val="1"/>
          <w:numId w:val="25"/>
        </w:numPr>
        <w:spacing w:after="200" w:line="276" w:lineRule="auto"/>
        <w:ind w:left="1418"/>
        <w:jc w:val="both"/>
        <w:rPr>
          <w:rFonts w:ascii="ITC Avant Garde" w:hAnsi="ITC Avant Garde" w:cs="Arial"/>
          <w:sz w:val="22"/>
          <w:szCs w:val="22"/>
          <w:lang w:val="es-MX"/>
        </w:rPr>
      </w:pPr>
      <w:r w:rsidRPr="00422CA2">
        <w:rPr>
          <w:rFonts w:ascii="ITC Avant Garde" w:hAnsi="ITC Avant Garde" w:cs="Arial"/>
          <w:sz w:val="22"/>
          <w:szCs w:val="22"/>
          <w:lang w:val="es-MX"/>
        </w:rPr>
        <w:t>Acceso a sitios WiFi Móvil en Infinitum.</w:t>
      </w:r>
    </w:p>
    <w:p w14:paraId="393D36DA" w14:textId="7F84B06C" w:rsidR="000E61DE" w:rsidRPr="00422CA2" w:rsidRDefault="00011A1B" w:rsidP="005248DC">
      <w:pPr>
        <w:spacing w:before="240"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usuario final podrá navegar en internet a través de este servicio bajo las mismas condiciones físicas y técnicas que actualmente ofrece Telmex a sus usuarios finales, los usuarios podrán ingresar a las zonas de cobertura de WiFi Móvil en Infinitum, para </w:t>
      </w:r>
      <w:r w:rsidRPr="00422CA2">
        <w:rPr>
          <w:rFonts w:ascii="ITC Avant Garde" w:hAnsi="ITC Avant Garde" w:cs="Arial"/>
          <w:sz w:val="22"/>
          <w:szCs w:val="22"/>
          <w:lang w:val="es-MX"/>
        </w:rPr>
        <w:lastRenderedPageBreak/>
        <w:t>lo que Telmex otorgará un usuario y contraseña por cada usuario fina</w:t>
      </w:r>
      <w:r w:rsidR="000E61DE" w:rsidRPr="00422CA2">
        <w:rPr>
          <w:rFonts w:ascii="ITC Avant Garde" w:hAnsi="ITC Avant Garde" w:cs="Arial"/>
          <w:sz w:val="22"/>
          <w:szCs w:val="22"/>
          <w:lang w:val="es-MX"/>
        </w:rPr>
        <w:t xml:space="preserve">, así como un acceso neutro para que el usuario pueda acceder a estos puntos de conectividad. </w:t>
      </w:r>
    </w:p>
    <w:p w14:paraId="40E858DC" w14:textId="77777777" w:rsidR="0069311F" w:rsidRPr="00422CA2" w:rsidRDefault="00011A1B" w:rsidP="005248D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CS podrá solicitar en el formato de solicitud de servicios de Reventa, que Telmex provea el cableado interior y/o el módem u ONT según corresponda, los cuales se instalará(n) en el domicilio del usuario cuando se lleve a cabo la instalación del servicio de desagregación, bajo una contraprestación específica.</w:t>
      </w:r>
    </w:p>
    <w:p w14:paraId="40E858DE" w14:textId="77777777" w:rsidR="00F07FD9"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El CS podrá solicitar los siguientes movimientos:</w:t>
      </w:r>
    </w:p>
    <w:p w14:paraId="40E858DF" w14:textId="77777777" w:rsidR="00F07FD9" w:rsidRPr="00422CA2" w:rsidRDefault="00011A1B" w:rsidP="005248DC">
      <w:pPr>
        <w:numPr>
          <w:ilvl w:val="0"/>
          <w:numId w:val="5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Cambio de Paquete.</w:t>
      </w:r>
    </w:p>
    <w:p w14:paraId="40E858E0" w14:textId="77777777" w:rsidR="003F5389" w:rsidRPr="00422CA2" w:rsidRDefault="00011A1B" w:rsidP="005248DC">
      <w:pPr>
        <w:numPr>
          <w:ilvl w:val="0"/>
          <w:numId w:val="5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Cambio de domicilio.</w:t>
      </w:r>
    </w:p>
    <w:p w14:paraId="40E858E2" w14:textId="7A601515" w:rsidR="00170613"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La facturación a los usuarios finales de los servicios será responsabilidad del CS, por lo que Telmex pondrá a disposición de los CS cada mes los tráficos cursados por cada usuario final (CDR</w:t>
      </w:r>
      <w:r w:rsidR="00C73689" w:rsidRPr="00422CA2">
        <w:rPr>
          <w:rFonts w:ascii="ITC Avant Garde" w:hAnsi="ITC Avant Garde"/>
          <w:sz w:val="22"/>
          <w:szCs w:val="22"/>
        </w:rPr>
        <w:t>s</w:t>
      </w:r>
      <w:r w:rsidRPr="00422CA2">
        <w:rPr>
          <w:rFonts w:ascii="ITC Avant Garde" w:hAnsi="ITC Avant Garde"/>
          <w:sz w:val="22"/>
          <w:szCs w:val="22"/>
        </w:rPr>
        <w:t>), a través del sistema SIANA para que sean descargados por cada CS.</w:t>
      </w:r>
    </w:p>
    <w:p w14:paraId="40E858E3" w14:textId="77777777" w:rsidR="00530A32" w:rsidRPr="00422CA2" w:rsidRDefault="00011A1B" w:rsidP="004129D1">
      <w:pPr>
        <w:pStyle w:val="Ttulo1"/>
      </w:pPr>
      <w:bookmarkStart w:id="249" w:name="_Toc436840885"/>
      <w:bookmarkStart w:id="250" w:name="_Toc436846322"/>
      <w:bookmarkStart w:id="251" w:name="_Toc436848272"/>
      <w:bookmarkStart w:id="252" w:name="_Toc436856520"/>
      <w:bookmarkStart w:id="253" w:name="_Toc436862666"/>
      <w:bookmarkStart w:id="254" w:name="_Toc436866316"/>
      <w:bookmarkStart w:id="255" w:name="_Toc436870895"/>
      <w:bookmarkStart w:id="256" w:name="_Toc436875887"/>
      <w:bookmarkStart w:id="257" w:name="_Toc437602075"/>
      <w:r w:rsidRPr="00422CA2">
        <w:t>4.3</w:t>
      </w:r>
      <w:r w:rsidRPr="00422CA2">
        <w:tab/>
        <w:t>Venta de Módem, ONT y teléfonos para Reventa.</w:t>
      </w:r>
      <w:bookmarkEnd w:id="249"/>
      <w:bookmarkEnd w:id="250"/>
      <w:bookmarkEnd w:id="251"/>
      <w:bookmarkEnd w:id="252"/>
      <w:bookmarkEnd w:id="253"/>
      <w:bookmarkEnd w:id="254"/>
      <w:bookmarkEnd w:id="255"/>
      <w:bookmarkEnd w:id="256"/>
      <w:bookmarkEnd w:id="257"/>
    </w:p>
    <w:p w14:paraId="40E858E4" w14:textId="0D9E2243" w:rsidR="007F0256"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rPr>
        <w:t xml:space="preserve">En virtud de que el servicio de Reventa de Infinitum es un servicio integral extremo a extremo, el CS podrá adquirir los Módems y ONTs directamente con Telmex, ya que dichos equipos tienen instalado el software compatible con el servicio de Telmex. Para estos fines Telmex pondrá a disposición de los CS los módems que utiliza para sus usuarios finales, pudiendo ser solicitado por parte de los CS desde la solicitud de los Servicios, que los Módems/ONTs sean </w:t>
      </w:r>
      <w:r w:rsidRPr="00422CA2">
        <w:rPr>
          <w:rFonts w:ascii="ITC Avant Garde" w:hAnsi="ITC Avant Garde"/>
          <w:sz w:val="22"/>
          <w:szCs w:val="22"/>
          <w:lang w:val="es-ES"/>
        </w:rPr>
        <w:t>entregados</w:t>
      </w:r>
      <w:r w:rsidR="001031C1" w:rsidRPr="00422CA2">
        <w:rPr>
          <w:rFonts w:ascii="ITC Avant Garde" w:hAnsi="ITC Avant Garde"/>
          <w:sz w:val="22"/>
          <w:szCs w:val="22"/>
          <w:lang w:val="es-ES"/>
        </w:rPr>
        <w:t xml:space="preserve">, </w:t>
      </w:r>
      <w:r w:rsidRPr="00422CA2">
        <w:rPr>
          <w:rFonts w:ascii="ITC Avant Garde" w:hAnsi="ITC Avant Garde"/>
          <w:sz w:val="22"/>
          <w:szCs w:val="22"/>
          <w:lang w:val="es-ES"/>
        </w:rPr>
        <w:t>instalados</w:t>
      </w:r>
      <w:r w:rsidR="001031C1" w:rsidRPr="00422CA2">
        <w:rPr>
          <w:rFonts w:ascii="ITC Avant Garde" w:hAnsi="ITC Avant Garde"/>
          <w:sz w:val="22"/>
          <w:szCs w:val="22"/>
          <w:lang w:val="es-ES"/>
        </w:rPr>
        <w:t>, configurados y activados</w:t>
      </w:r>
      <w:r w:rsidRPr="00422CA2">
        <w:rPr>
          <w:rFonts w:ascii="ITC Avant Garde" w:hAnsi="ITC Avant Garde"/>
          <w:sz w:val="22"/>
          <w:szCs w:val="22"/>
          <w:lang w:val="es-ES"/>
        </w:rPr>
        <w:t xml:space="preserve"> en el domicilio del cliente, lo cual se llevará a cabo bajo las mismas condiciones que se hace para las propias operaciones</w:t>
      </w:r>
      <w:r w:rsidR="00EE686C" w:rsidRPr="00422CA2">
        <w:rPr>
          <w:rFonts w:ascii="ITC Avant Garde" w:hAnsi="ITC Avant Garde"/>
          <w:sz w:val="22"/>
          <w:szCs w:val="22"/>
          <w:lang w:val="es-ES"/>
        </w:rPr>
        <w:t>. E</w:t>
      </w:r>
      <w:r w:rsidRPr="00422CA2">
        <w:rPr>
          <w:rFonts w:ascii="ITC Avant Garde" w:hAnsi="ITC Avant Garde"/>
          <w:sz w:val="22"/>
          <w:szCs w:val="22"/>
          <w:lang w:val="es-ES"/>
        </w:rPr>
        <w:t>l CS podrá elegir en el caso de Módem si la entrega será vía mensajería</w:t>
      </w:r>
      <w:r w:rsidR="006A4724" w:rsidRPr="00422CA2">
        <w:rPr>
          <w:rFonts w:ascii="ITC Avant Garde" w:hAnsi="ITC Avant Garde"/>
          <w:sz w:val="22"/>
          <w:szCs w:val="22"/>
          <w:lang w:val="es-ES"/>
        </w:rPr>
        <w:t xml:space="preserve"> en cuyo caso aplica una contraprestación,</w:t>
      </w:r>
      <w:r w:rsidRPr="00422CA2">
        <w:rPr>
          <w:rFonts w:ascii="ITC Avant Garde" w:hAnsi="ITC Avant Garde"/>
          <w:sz w:val="22"/>
          <w:szCs w:val="22"/>
          <w:lang w:val="es-ES"/>
        </w:rPr>
        <w:t xml:space="preserve"> o tienda comercial de Telmex</w:t>
      </w:r>
      <w:r w:rsidRPr="00422CA2">
        <w:rPr>
          <w:rStyle w:val="Refdenotaalpie"/>
          <w:rFonts w:ascii="ITC Avant Garde" w:hAnsi="ITC Avant Garde"/>
          <w:sz w:val="22"/>
          <w:szCs w:val="22"/>
          <w:lang w:val="es-ES"/>
        </w:rPr>
        <w:footnoteReference w:id="11"/>
      </w:r>
      <w:r w:rsidRPr="00422CA2">
        <w:rPr>
          <w:rFonts w:ascii="ITC Avant Garde" w:hAnsi="ITC Avant Garde"/>
          <w:sz w:val="22"/>
          <w:szCs w:val="22"/>
          <w:lang w:val="es-ES"/>
        </w:rPr>
        <w:t xml:space="preserve">. </w:t>
      </w:r>
      <w:r w:rsidR="003D159A" w:rsidRPr="00422CA2">
        <w:rPr>
          <w:rFonts w:ascii="ITC Avant Garde" w:hAnsi="ITC Avant Garde"/>
          <w:sz w:val="22"/>
          <w:szCs w:val="22"/>
          <w:lang w:val="es-MX"/>
        </w:rPr>
        <w:t xml:space="preserve">La lista de las Ciudades en que se podrá realizar la entrega de módems por Tienda Telmex será </w:t>
      </w:r>
      <w:r w:rsidR="008F55ED" w:rsidRPr="00422CA2">
        <w:rPr>
          <w:rFonts w:ascii="ITC Avant Garde" w:hAnsi="ITC Avant Garde"/>
          <w:sz w:val="22"/>
          <w:szCs w:val="22"/>
          <w:lang w:val="es-MX"/>
        </w:rPr>
        <w:t xml:space="preserve">al menos </w:t>
      </w:r>
      <w:r w:rsidR="003D159A" w:rsidRPr="00422CA2">
        <w:rPr>
          <w:rFonts w:ascii="ITC Avant Garde" w:hAnsi="ITC Avant Garde"/>
          <w:sz w:val="22"/>
          <w:szCs w:val="22"/>
          <w:lang w:val="es-MX"/>
        </w:rPr>
        <w:t xml:space="preserve">en aquellas ciudades en las que se habiliten los servicios de desagregación, y se actualizará el listado conforme </w:t>
      </w:r>
      <w:r w:rsidR="008F55ED" w:rsidRPr="00422CA2">
        <w:rPr>
          <w:rFonts w:ascii="ITC Avant Garde" w:hAnsi="ITC Avant Garde"/>
          <w:sz w:val="22"/>
          <w:szCs w:val="22"/>
          <w:lang w:val="es-MX"/>
        </w:rPr>
        <w:t>a las solicitudes de los CS</w:t>
      </w:r>
      <w:r w:rsidR="005248DC" w:rsidRPr="00422CA2">
        <w:rPr>
          <w:rFonts w:ascii="ITC Avant Garde" w:hAnsi="ITC Avant Garde"/>
          <w:sz w:val="22"/>
          <w:szCs w:val="22"/>
          <w:lang w:val="es-ES"/>
        </w:rPr>
        <w:t>.</w:t>
      </w:r>
      <w:r w:rsidR="00266DE7" w:rsidRPr="00422CA2">
        <w:rPr>
          <w:rFonts w:ascii="ITC Avant Garde" w:hAnsi="ITC Avant Garde"/>
          <w:sz w:val="22"/>
          <w:szCs w:val="22"/>
          <w:lang w:val="es-ES"/>
        </w:rPr>
        <w:t xml:space="preserve"> </w:t>
      </w:r>
    </w:p>
    <w:p w14:paraId="40E858E9" w14:textId="62ABC3FC" w:rsidR="003C6305" w:rsidRPr="00422CA2" w:rsidRDefault="00011A1B" w:rsidP="005248D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Para el caso de ONTs es indispensable que sean instaladas por Telmex, por lo cual en este caso se entregará directamente en el domicilio de los usuarios </w:t>
      </w:r>
      <w:r w:rsidR="001031C1" w:rsidRPr="00422CA2">
        <w:rPr>
          <w:rFonts w:ascii="ITC Avant Garde" w:hAnsi="ITC Avant Garde"/>
          <w:sz w:val="22"/>
          <w:szCs w:val="22"/>
          <w:lang w:val="es-ES"/>
        </w:rPr>
        <w:t>bajo los mismos procedimientos que Telmex sigue para sus propias operaciones</w:t>
      </w:r>
      <w:r w:rsidRPr="00422CA2">
        <w:rPr>
          <w:rFonts w:ascii="ITC Avant Garde" w:hAnsi="ITC Avant Garde"/>
          <w:sz w:val="22"/>
          <w:szCs w:val="22"/>
          <w:lang w:val="es-ES"/>
        </w:rPr>
        <w:t>.</w:t>
      </w:r>
    </w:p>
    <w:p w14:paraId="40E858EB" w14:textId="454C43E1" w:rsidR="00A31E2B"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 xml:space="preserve">Para usuarios existentes </w:t>
      </w:r>
      <w:r w:rsidR="0093017F" w:rsidRPr="00422CA2">
        <w:rPr>
          <w:rFonts w:ascii="ITC Avant Garde" w:hAnsi="ITC Avant Garde"/>
          <w:sz w:val="22"/>
          <w:szCs w:val="22"/>
        </w:rPr>
        <w:t xml:space="preserve">el CS </w:t>
      </w:r>
      <w:r w:rsidRPr="00422CA2">
        <w:rPr>
          <w:rFonts w:ascii="ITC Avant Garde" w:hAnsi="ITC Avant Garde"/>
          <w:sz w:val="22"/>
          <w:szCs w:val="22"/>
        </w:rPr>
        <w:t xml:space="preserve">podrá conservar el módem/ONT de Telmex que estuviera en funcionamiento, o bien </w:t>
      </w:r>
      <w:r w:rsidR="0093017F" w:rsidRPr="00422CA2">
        <w:rPr>
          <w:rFonts w:ascii="ITC Avant Garde" w:hAnsi="ITC Avant Garde"/>
          <w:sz w:val="22"/>
          <w:szCs w:val="22"/>
        </w:rPr>
        <w:t>solicitar a Telmex la entrega de</w:t>
      </w:r>
      <w:r w:rsidRPr="00422CA2">
        <w:rPr>
          <w:rFonts w:ascii="ITC Avant Garde" w:hAnsi="ITC Avant Garde"/>
          <w:sz w:val="22"/>
          <w:szCs w:val="22"/>
        </w:rPr>
        <w:t xml:space="preserve"> un módem/ONT blanco (sin logotipos o identi</w:t>
      </w:r>
      <w:r w:rsidR="006A7C4A" w:rsidRPr="00422CA2">
        <w:rPr>
          <w:rFonts w:ascii="ITC Avant Garde" w:hAnsi="ITC Avant Garde"/>
          <w:sz w:val="22"/>
          <w:szCs w:val="22"/>
        </w:rPr>
        <w:t>ficadores Telmex), adicionando 2 días hábiles</w:t>
      </w:r>
      <w:r w:rsidR="007308D7" w:rsidRPr="00422CA2">
        <w:rPr>
          <w:rFonts w:ascii="ITC Avant Garde" w:hAnsi="ITC Avant Garde"/>
          <w:sz w:val="22"/>
          <w:szCs w:val="22"/>
        </w:rPr>
        <w:t xml:space="preserve"> </w:t>
      </w:r>
      <w:r w:rsidRPr="00422CA2">
        <w:rPr>
          <w:rFonts w:ascii="ITC Avant Garde" w:hAnsi="ITC Avant Garde"/>
          <w:sz w:val="22"/>
          <w:szCs w:val="22"/>
        </w:rPr>
        <w:t>al plazo de habilitación del servicio por las implicaciones logísticas adicionales relativas a la provisión de un módem distinto al que emplea Telmex para sus propias operaciones.</w:t>
      </w:r>
    </w:p>
    <w:p w14:paraId="40E858ED" w14:textId="15506572" w:rsidR="000C6841"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Respecto a los teléfonos, los CS </w:t>
      </w:r>
      <w:r w:rsidR="00965F9E" w:rsidRPr="00422CA2">
        <w:rPr>
          <w:rFonts w:ascii="ITC Avant Garde" w:hAnsi="ITC Avant Garde"/>
          <w:sz w:val="22"/>
          <w:szCs w:val="22"/>
        </w:rPr>
        <w:t xml:space="preserve">o los usuarios finales </w:t>
      </w:r>
      <w:r w:rsidRPr="00422CA2">
        <w:rPr>
          <w:rFonts w:ascii="ITC Avant Garde" w:hAnsi="ITC Avant Garde"/>
          <w:sz w:val="22"/>
          <w:szCs w:val="22"/>
        </w:rPr>
        <w:t>podrán adquirirlos directamente con algún proveedor o comprarlos a Telmex</w:t>
      </w:r>
      <w:r w:rsidR="00965F9E" w:rsidRPr="00422CA2">
        <w:rPr>
          <w:rFonts w:ascii="ITC Avant Garde" w:hAnsi="ITC Avant Garde"/>
          <w:sz w:val="22"/>
          <w:szCs w:val="22"/>
        </w:rPr>
        <w:t>.</w:t>
      </w:r>
      <w:r w:rsidRPr="00422CA2">
        <w:rPr>
          <w:rFonts w:ascii="ITC Avant Garde" w:hAnsi="ITC Avant Garde"/>
          <w:sz w:val="22"/>
          <w:szCs w:val="22"/>
        </w:rPr>
        <w:t xml:space="preserve"> </w:t>
      </w:r>
      <w:r w:rsidR="00965F9E" w:rsidRPr="00422CA2">
        <w:rPr>
          <w:rFonts w:ascii="ITC Avant Garde" w:hAnsi="ITC Avant Garde"/>
          <w:sz w:val="22"/>
          <w:szCs w:val="22"/>
        </w:rPr>
        <w:t>E</w:t>
      </w:r>
      <w:r w:rsidRPr="00422CA2">
        <w:rPr>
          <w:rFonts w:ascii="ITC Avant Garde" w:hAnsi="ITC Avant Garde"/>
          <w:sz w:val="22"/>
          <w:szCs w:val="22"/>
        </w:rPr>
        <w:t xml:space="preserve">n éste último caso el CS también podrá solicitar a Telmex que los teléfonos sean entregados a los usuarios en su domicilio. Los modelos que se entregarán serán acordados con el CS. </w:t>
      </w:r>
    </w:p>
    <w:p w14:paraId="40E858EF" w14:textId="77777777" w:rsidR="00BD4AB8"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caso de los servicios de Reventa el mantenimiento de los módem u ONT formará parte del servicio, en caso de ser necesario el reemplazo del Módem </w:t>
      </w:r>
      <w:r w:rsidRPr="00422CA2">
        <w:rPr>
          <w:rFonts w:ascii="ITC Avant Garde" w:hAnsi="ITC Avant Garde"/>
          <w:sz w:val="22"/>
          <w:szCs w:val="22"/>
          <w:lang w:val="es-ES"/>
        </w:rPr>
        <w:t>el CS podrá elegir si la entrega será vía mensajería o a través de la tienda comercial de Telmex</w:t>
      </w:r>
      <w:r w:rsidRPr="00422CA2">
        <w:rPr>
          <w:rFonts w:ascii="ITC Avant Garde" w:hAnsi="ITC Avant Garde"/>
          <w:sz w:val="22"/>
          <w:szCs w:val="22"/>
        </w:rPr>
        <w:t xml:space="preserve">, en ambos casos el CS </w:t>
      </w:r>
      <w:r w:rsidR="00296C0C" w:rsidRPr="00422CA2">
        <w:rPr>
          <w:rFonts w:ascii="ITC Avant Garde" w:hAnsi="ITC Avant Garde"/>
          <w:sz w:val="22"/>
          <w:szCs w:val="22"/>
        </w:rPr>
        <w:t xml:space="preserve">será responsable de que sea devuelto </w:t>
      </w:r>
      <w:r w:rsidRPr="00422CA2">
        <w:rPr>
          <w:rFonts w:ascii="ITC Avant Garde" w:hAnsi="ITC Avant Garde"/>
          <w:sz w:val="22"/>
          <w:szCs w:val="22"/>
        </w:rPr>
        <w:t>el módem a ser reemplazado.</w:t>
      </w:r>
    </w:p>
    <w:p w14:paraId="40E858F1" w14:textId="7D229B6B" w:rsidR="0074367B"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 xml:space="preserve">Asimismo, el CS </w:t>
      </w:r>
      <w:r w:rsidR="00965F9E" w:rsidRPr="00422CA2">
        <w:rPr>
          <w:rFonts w:ascii="ITC Avant Garde" w:hAnsi="ITC Avant Garde"/>
          <w:sz w:val="22"/>
          <w:szCs w:val="22"/>
        </w:rPr>
        <w:t>o en su caso un grupo de éstos</w:t>
      </w:r>
      <w:r w:rsidRPr="00422CA2">
        <w:rPr>
          <w:rFonts w:ascii="ITC Avant Garde" w:hAnsi="ITC Avant Garde"/>
          <w:sz w:val="22"/>
          <w:szCs w:val="22"/>
        </w:rPr>
        <w:t xml:space="preserve"> podrá comprar los Módems y las ONTs a Telmex, </w:t>
      </w:r>
      <w:r w:rsidRPr="00422CA2">
        <w:rPr>
          <w:rFonts w:ascii="ITC Avant Garde" w:hAnsi="ITC Avant Garde"/>
          <w:sz w:val="22"/>
          <w:szCs w:val="22"/>
          <w:lang w:val="es-ES"/>
        </w:rPr>
        <w:t xml:space="preserve">por lotes mínimos de </w:t>
      </w:r>
      <w:r w:rsidR="00EF50DD" w:rsidRPr="00422CA2">
        <w:rPr>
          <w:rFonts w:ascii="ITC Avant Garde" w:hAnsi="ITC Avant Garde"/>
          <w:sz w:val="22"/>
          <w:szCs w:val="22"/>
          <w:lang w:val="es-ES"/>
        </w:rPr>
        <w:t>1</w:t>
      </w:r>
      <w:r w:rsidRPr="00422CA2">
        <w:rPr>
          <w:rFonts w:ascii="ITC Avant Garde" w:hAnsi="ITC Avant Garde"/>
          <w:sz w:val="22"/>
          <w:szCs w:val="22"/>
          <w:lang w:val="es-ES"/>
        </w:rPr>
        <w:t>5,000 piezas</w:t>
      </w:r>
      <w:r w:rsidR="00965F9E" w:rsidRPr="00422CA2">
        <w:rPr>
          <w:rStyle w:val="Refdenotaalpie"/>
          <w:rFonts w:ascii="ITC Avant Garde" w:hAnsi="ITC Avant Garde"/>
          <w:sz w:val="22"/>
          <w:szCs w:val="22"/>
          <w:lang w:val="es-ES"/>
        </w:rPr>
        <w:footnoteReference w:id="12"/>
      </w:r>
      <w:r w:rsidRPr="00422CA2">
        <w:rPr>
          <w:rFonts w:ascii="ITC Avant Garde" w:hAnsi="ITC Avant Garde"/>
          <w:sz w:val="22"/>
          <w:szCs w:val="22"/>
        </w:rPr>
        <w:t xml:space="preserve">. El CS deberá considerar que los Módem y las ONTs serán provistos en un plazo mínimo de </w:t>
      </w:r>
      <w:r w:rsidR="00965F9E" w:rsidRPr="00422CA2">
        <w:rPr>
          <w:rFonts w:ascii="ITC Avant Garde" w:hAnsi="ITC Avant Garde"/>
          <w:sz w:val="22"/>
          <w:szCs w:val="22"/>
        </w:rPr>
        <w:t>cuatro</w:t>
      </w:r>
      <w:r w:rsidRPr="00422CA2">
        <w:rPr>
          <w:rFonts w:ascii="ITC Avant Garde" w:hAnsi="ITC Avant Garde"/>
          <w:sz w:val="22"/>
          <w:szCs w:val="22"/>
        </w:rPr>
        <w:t xml:space="preserve"> meses posterior a la solicitud de compra</w:t>
      </w:r>
      <w:r w:rsidRPr="00422CA2">
        <w:rPr>
          <w:rStyle w:val="Refdenotaalpie"/>
          <w:rFonts w:ascii="ITC Avant Garde" w:hAnsi="ITC Avant Garde"/>
          <w:sz w:val="22"/>
          <w:szCs w:val="22"/>
        </w:rPr>
        <w:footnoteReference w:id="13"/>
      </w:r>
      <w:r w:rsidRPr="00422CA2">
        <w:rPr>
          <w:rFonts w:ascii="ITC Avant Garde" w:hAnsi="ITC Avant Garde"/>
          <w:sz w:val="22"/>
          <w:szCs w:val="22"/>
        </w:rPr>
        <w:t>. El CS deberá indicar en la solicitud los puntos de distribución donde recogerá o recibirá los Módem y las ONTs, para que el CS defina su propia logística de mensajería o entrega a sus usuarios. Los Módems y las ONTs que Telmex venderá al CS en esta modalidad no llevarán logotipos</w:t>
      </w:r>
      <w:r w:rsidR="00254414" w:rsidRPr="00422CA2">
        <w:rPr>
          <w:rFonts w:ascii="ITC Avant Garde" w:hAnsi="ITC Avant Garde"/>
          <w:sz w:val="22"/>
          <w:szCs w:val="22"/>
        </w:rPr>
        <w:t xml:space="preserve"> de Telmex</w:t>
      </w:r>
      <w:r w:rsidRPr="00422CA2">
        <w:rPr>
          <w:rFonts w:ascii="ITC Avant Garde" w:hAnsi="ITC Avant Garde"/>
          <w:sz w:val="22"/>
          <w:szCs w:val="22"/>
        </w:rPr>
        <w:t xml:space="preserve">. </w:t>
      </w:r>
      <w:r w:rsidR="007308D7" w:rsidRPr="00422CA2">
        <w:rPr>
          <w:rFonts w:ascii="ITC Avant Garde" w:hAnsi="ITC Avant Garde"/>
          <w:sz w:val="22"/>
          <w:szCs w:val="22"/>
        </w:rPr>
        <w:t>Para este tipo de entrega se acordará con el CS el intercambio de módems correspondientes a la garantía.</w:t>
      </w:r>
    </w:p>
    <w:p w14:paraId="40E858F3" w14:textId="77777777" w:rsidR="00530A32" w:rsidRPr="00422CA2" w:rsidRDefault="00011A1B" w:rsidP="004129D1">
      <w:pPr>
        <w:pStyle w:val="Ttulo1"/>
      </w:pPr>
      <w:bookmarkStart w:id="258" w:name="_Toc436840886"/>
      <w:bookmarkStart w:id="259" w:name="_Toc436846323"/>
      <w:bookmarkStart w:id="260" w:name="_Toc436848273"/>
      <w:bookmarkStart w:id="261" w:name="_Toc436856521"/>
      <w:bookmarkStart w:id="262" w:name="_Toc436862667"/>
      <w:bookmarkStart w:id="263" w:name="_Toc436866317"/>
      <w:bookmarkStart w:id="264" w:name="_Toc436870896"/>
      <w:bookmarkStart w:id="265" w:name="_Toc436875888"/>
      <w:bookmarkStart w:id="266" w:name="_Toc437602076"/>
      <w:r w:rsidRPr="00422CA2">
        <w:t>4.4</w:t>
      </w:r>
      <w:r w:rsidRPr="00422CA2">
        <w:tab/>
        <w:t>Instalación de Cableado Interior de usuario final.</w:t>
      </w:r>
      <w:bookmarkEnd w:id="258"/>
      <w:bookmarkEnd w:id="259"/>
      <w:bookmarkEnd w:id="260"/>
      <w:bookmarkEnd w:id="261"/>
      <w:bookmarkEnd w:id="262"/>
      <w:bookmarkEnd w:id="263"/>
      <w:bookmarkEnd w:id="264"/>
      <w:bookmarkEnd w:id="265"/>
      <w:bookmarkEnd w:id="266"/>
    </w:p>
    <w:p w14:paraId="40E858F4" w14:textId="33B1541A" w:rsidR="002B432E" w:rsidRPr="00422CA2" w:rsidRDefault="00011A1B" w:rsidP="005248D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w:t>
      </w:r>
      <w:r w:rsidR="00416DEC" w:rsidRPr="00422CA2">
        <w:rPr>
          <w:rFonts w:ascii="ITC Avant Garde" w:hAnsi="ITC Avant Garde"/>
          <w:sz w:val="22"/>
          <w:szCs w:val="22"/>
          <w:lang w:val="es-MX"/>
        </w:rPr>
        <w:t>CS</w:t>
      </w:r>
      <w:r w:rsidRPr="00422CA2">
        <w:rPr>
          <w:rFonts w:ascii="ITC Avant Garde" w:hAnsi="ITC Avant Garde"/>
          <w:sz w:val="22"/>
          <w:szCs w:val="22"/>
          <w:lang w:val="es-MX"/>
        </w:rPr>
        <w:t xml:space="preserve"> podrá instalar el Cableado Interior tomando en consideración la recomendación de Telmex establecida en</w:t>
      </w:r>
      <w:r w:rsidR="00433184" w:rsidRPr="00422CA2">
        <w:rPr>
          <w:rFonts w:ascii="ITC Avant Garde" w:hAnsi="ITC Avant Garde"/>
          <w:sz w:val="22"/>
          <w:szCs w:val="22"/>
          <w:lang w:val="es-MX"/>
        </w:rPr>
        <w:t xml:space="preserve"> el</w:t>
      </w:r>
      <w:r w:rsidRPr="00422CA2">
        <w:rPr>
          <w:rFonts w:ascii="ITC Avant Garde" w:hAnsi="ITC Avant Garde"/>
          <w:sz w:val="22"/>
          <w:szCs w:val="22"/>
          <w:lang w:val="es-MX"/>
        </w:rPr>
        <w:t xml:space="preserve"> Anexo </w:t>
      </w:r>
      <w:r w:rsidR="00615DF4" w:rsidRPr="00422CA2">
        <w:rPr>
          <w:rFonts w:ascii="ITC Avant Garde" w:hAnsi="ITC Avant Garde"/>
          <w:sz w:val="22"/>
          <w:szCs w:val="22"/>
          <w:lang w:val="es-MX"/>
        </w:rPr>
        <w:t>E</w:t>
      </w:r>
      <w:r w:rsidRPr="00422CA2">
        <w:rPr>
          <w:rStyle w:val="Refdenotaalpie"/>
          <w:rFonts w:ascii="ITC Avant Garde" w:hAnsi="ITC Avant Garde"/>
          <w:sz w:val="22"/>
          <w:szCs w:val="22"/>
          <w:lang w:val="es-MX"/>
        </w:rPr>
        <w:footnoteReference w:id="14"/>
      </w:r>
      <w:r w:rsidR="00B92638" w:rsidRPr="00422CA2">
        <w:rPr>
          <w:rFonts w:ascii="ITC Avant Garde" w:hAnsi="ITC Avant Garde"/>
          <w:sz w:val="22"/>
          <w:szCs w:val="22"/>
          <w:lang w:val="es-MX"/>
        </w:rPr>
        <w:t xml:space="preserve">: Normativa Técnica para </w:t>
      </w:r>
      <w:r w:rsidR="00B92638" w:rsidRPr="00422CA2">
        <w:rPr>
          <w:rFonts w:ascii="ITC Avant Garde" w:hAnsi="ITC Avant Garde"/>
          <w:sz w:val="22"/>
          <w:szCs w:val="22"/>
          <w:lang w:val="es-MX"/>
        </w:rPr>
        <w:lastRenderedPageBreak/>
        <w:t>los servicios de desagregación</w:t>
      </w:r>
      <w:r w:rsidRPr="00422CA2">
        <w:rPr>
          <w:rFonts w:ascii="ITC Avant Garde" w:hAnsi="ITC Avant Garde"/>
          <w:sz w:val="22"/>
          <w:szCs w:val="22"/>
          <w:lang w:val="es-MX"/>
        </w:rPr>
        <w:t>, o bien podrá solicitar que Telmex instale el Cableado Interior en el domicilio del usuario</w:t>
      </w:r>
      <w:r w:rsidRPr="00422CA2">
        <w:rPr>
          <w:rStyle w:val="Refdenotaalpie"/>
          <w:rFonts w:ascii="ITC Avant Garde" w:hAnsi="ITC Avant Garde"/>
          <w:sz w:val="22"/>
          <w:szCs w:val="22"/>
          <w:lang w:val="es-MX"/>
        </w:rPr>
        <w:footnoteReference w:id="15"/>
      </w:r>
      <w:r w:rsidRPr="00422CA2">
        <w:rPr>
          <w:rFonts w:ascii="ITC Avant Garde" w:hAnsi="ITC Avant Garde"/>
          <w:sz w:val="22"/>
          <w:szCs w:val="22"/>
          <w:lang w:val="es-MX"/>
        </w:rPr>
        <w:t>.</w:t>
      </w:r>
    </w:p>
    <w:p w14:paraId="40E858F6" w14:textId="77777777" w:rsidR="00D0294F" w:rsidRPr="00422CA2" w:rsidRDefault="00011A1B" w:rsidP="005248D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alcance de este servicio al CS es el mismo que se ofrece a los usuarios de Telmex, el cual comprende la instalación de cableado entre el PCT hasta la roseta para la conexión de uno o dos dispositivos terminales</w:t>
      </w:r>
      <w:r w:rsidRPr="00422CA2">
        <w:rPr>
          <w:rFonts w:ascii="ITC Avant Garde" w:hAnsi="ITC Avant Garde"/>
          <w:sz w:val="22"/>
          <w:szCs w:val="22"/>
          <w:vertAlign w:val="superscript"/>
          <w:lang w:val="es-MX"/>
        </w:rPr>
        <w:footnoteReference w:id="16"/>
      </w:r>
      <w:r w:rsidRPr="00422CA2">
        <w:rPr>
          <w:rFonts w:ascii="ITC Avant Garde" w:hAnsi="ITC Avant Garde"/>
          <w:sz w:val="22"/>
          <w:szCs w:val="22"/>
          <w:lang w:val="es-MX"/>
        </w:rPr>
        <w:t>.</w:t>
      </w:r>
    </w:p>
    <w:p w14:paraId="40E858F8" w14:textId="77777777" w:rsidR="00704179" w:rsidRPr="00422CA2" w:rsidRDefault="00011A1B" w:rsidP="005248D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Durante la instalación del cableado interior, Telmex realizará el siguiente procedimiento:</w:t>
      </w:r>
    </w:p>
    <w:p w14:paraId="40E858F9" w14:textId="77777777" w:rsidR="00704179" w:rsidRPr="00422CA2" w:rsidRDefault="00011A1B" w:rsidP="0034739A">
      <w:pPr>
        <w:spacing w:after="200" w:line="276" w:lineRule="auto"/>
        <w:ind w:left="993" w:hanging="426"/>
        <w:jc w:val="both"/>
        <w:rPr>
          <w:rFonts w:ascii="ITC Avant Garde" w:hAnsi="ITC Avant Garde"/>
          <w:sz w:val="22"/>
          <w:szCs w:val="22"/>
          <w:lang w:val="es-MX"/>
        </w:rPr>
      </w:pPr>
      <w:r w:rsidRPr="00422CA2">
        <w:rPr>
          <w:rFonts w:ascii="ITC Avant Garde" w:hAnsi="ITC Avant Garde"/>
          <w:sz w:val="22"/>
          <w:szCs w:val="22"/>
          <w:lang w:val="es-MX"/>
        </w:rPr>
        <w:t>1)</w:t>
      </w:r>
      <w:r w:rsidRPr="00422CA2">
        <w:rPr>
          <w:rFonts w:ascii="ITC Avant Garde" w:hAnsi="ITC Avant Garde"/>
          <w:sz w:val="22"/>
          <w:szCs w:val="22"/>
          <w:lang w:val="es-MX"/>
        </w:rPr>
        <w:tab/>
        <w:t>Se valida en la solicitud el número de extensiones requeridas por el CS.</w:t>
      </w:r>
    </w:p>
    <w:p w14:paraId="40E858FA" w14:textId="77777777" w:rsidR="00704179" w:rsidRPr="00422CA2" w:rsidRDefault="00011A1B" w:rsidP="0034739A">
      <w:pPr>
        <w:spacing w:after="200" w:line="276" w:lineRule="auto"/>
        <w:ind w:left="993" w:hanging="426"/>
        <w:jc w:val="both"/>
        <w:rPr>
          <w:rFonts w:ascii="ITC Avant Garde" w:hAnsi="ITC Avant Garde"/>
          <w:sz w:val="22"/>
          <w:szCs w:val="22"/>
          <w:lang w:val="es-MX"/>
        </w:rPr>
      </w:pPr>
      <w:r w:rsidRPr="00422CA2">
        <w:rPr>
          <w:rFonts w:ascii="ITC Avant Garde" w:hAnsi="ITC Avant Garde"/>
          <w:sz w:val="22"/>
          <w:szCs w:val="22"/>
          <w:lang w:val="es-MX"/>
        </w:rPr>
        <w:t>2)</w:t>
      </w:r>
      <w:r w:rsidRPr="00422CA2">
        <w:rPr>
          <w:rFonts w:ascii="ITC Avant Garde" w:hAnsi="ITC Avant Garde"/>
          <w:sz w:val="22"/>
          <w:szCs w:val="22"/>
          <w:lang w:val="es-MX"/>
        </w:rPr>
        <w:tab/>
        <w:t>Posteriormente se planea la trayectoria de la instalación en conjunto con el usuario final iniciando desde el PCT.</w:t>
      </w:r>
    </w:p>
    <w:p w14:paraId="40E858FB" w14:textId="1089D7AE" w:rsidR="00704179" w:rsidRPr="00422CA2" w:rsidRDefault="00011A1B" w:rsidP="0034739A">
      <w:pPr>
        <w:spacing w:after="200" w:line="276" w:lineRule="auto"/>
        <w:ind w:left="993" w:hanging="426"/>
        <w:jc w:val="both"/>
        <w:rPr>
          <w:rFonts w:ascii="ITC Avant Garde" w:hAnsi="ITC Avant Garde"/>
          <w:sz w:val="22"/>
          <w:szCs w:val="22"/>
          <w:lang w:val="es-MX"/>
        </w:rPr>
      </w:pPr>
      <w:r w:rsidRPr="00422CA2">
        <w:rPr>
          <w:rFonts w:ascii="ITC Avant Garde" w:hAnsi="ITC Avant Garde"/>
          <w:sz w:val="22"/>
          <w:szCs w:val="22"/>
          <w:lang w:val="es-MX"/>
        </w:rPr>
        <w:t>3)</w:t>
      </w:r>
      <w:r w:rsidRPr="00422CA2">
        <w:rPr>
          <w:rFonts w:ascii="ITC Avant Garde" w:hAnsi="ITC Avant Garde"/>
          <w:sz w:val="22"/>
          <w:szCs w:val="22"/>
          <w:lang w:val="es-MX"/>
        </w:rPr>
        <w:tab/>
        <w:t xml:space="preserve">Se conecta con cordón marfil interior/exterior en el PCT a las rosetas donde se conecta el equipo terminal del usuario final conforme se indica en la </w:t>
      </w:r>
      <w:r w:rsidR="00B92638" w:rsidRPr="00422CA2">
        <w:rPr>
          <w:rFonts w:ascii="ITC Avant Garde" w:hAnsi="ITC Avant Garde"/>
          <w:sz w:val="22"/>
          <w:szCs w:val="22"/>
          <w:lang w:val="es-MX"/>
        </w:rPr>
        <w:t>normativa</w:t>
      </w:r>
      <w:r w:rsidRPr="00422CA2">
        <w:rPr>
          <w:rFonts w:ascii="ITC Avant Garde" w:hAnsi="ITC Avant Garde"/>
          <w:sz w:val="22"/>
          <w:szCs w:val="22"/>
          <w:lang w:val="es-MX"/>
        </w:rPr>
        <w:t xml:space="preserve"> técnica </w:t>
      </w:r>
      <w:r w:rsidR="00B92638" w:rsidRPr="00422CA2">
        <w:rPr>
          <w:rFonts w:ascii="ITC Avant Garde" w:hAnsi="ITC Avant Garde"/>
          <w:sz w:val="22"/>
          <w:szCs w:val="22"/>
          <w:lang w:val="es-MX"/>
        </w:rPr>
        <w:t xml:space="preserve">correspondiente </w:t>
      </w:r>
      <w:r w:rsidRPr="00422CA2">
        <w:rPr>
          <w:rFonts w:ascii="ITC Avant Garde" w:hAnsi="ITC Avant Garde"/>
          <w:sz w:val="22"/>
          <w:szCs w:val="22"/>
          <w:lang w:val="es-MX"/>
        </w:rPr>
        <w:t xml:space="preserve">del Anexo </w:t>
      </w:r>
      <w:r w:rsidR="00615DF4" w:rsidRPr="00422CA2">
        <w:rPr>
          <w:rFonts w:ascii="ITC Avant Garde" w:hAnsi="ITC Avant Garde"/>
          <w:sz w:val="22"/>
          <w:szCs w:val="22"/>
          <w:lang w:val="es-MX"/>
        </w:rPr>
        <w:t>E</w:t>
      </w:r>
      <w:r w:rsidRPr="00422CA2">
        <w:rPr>
          <w:rFonts w:ascii="ITC Avant Garde" w:hAnsi="ITC Avant Garde"/>
          <w:sz w:val="22"/>
          <w:szCs w:val="22"/>
          <w:lang w:val="es-MX"/>
        </w:rPr>
        <w:t xml:space="preserve"> de la presente </w:t>
      </w:r>
      <w:r w:rsidR="005D7076" w:rsidRPr="00422CA2">
        <w:rPr>
          <w:rFonts w:ascii="ITC Avant Garde" w:hAnsi="ITC Avant Garde"/>
          <w:sz w:val="22"/>
          <w:szCs w:val="22"/>
          <w:lang w:val="es-MX"/>
        </w:rPr>
        <w:t>OREDA</w:t>
      </w:r>
      <w:r w:rsidRPr="00422CA2">
        <w:rPr>
          <w:rFonts w:ascii="ITC Avant Garde" w:hAnsi="ITC Avant Garde"/>
          <w:sz w:val="22"/>
          <w:szCs w:val="22"/>
          <w:lang w:val="es-MX"/>
        </w:rPr>
        <w:t>.</w:t>
      </w:r>
    </w:p>
    <w:p w14:paraId="40E858FC" w14:textId="77777777" w:rsidR="00704179" w:rsidRPr="00422CA2" w:rsidRDefault="00011A1B" w:rsidP="0034739A">
      <w:pPr>
        <w:spacing w:after="200" w:line="276" w:lineRule="auto"/>
        <w:ind w:left="993" w:hanging="426"/>
        <w:jc w:val="both"/>
        <w:rPr>
          <w:rFonts w:ascii="ITC Avant Garde" w:hAnsi="ITC Avant Garde"/>
          <w:sz w:val="22"/>
          <w:szCs w:val="22"/>
          <w:lang w:val="es-MX"/>
        </w:rPr>
      </w:pPr>
      <w:r w:rsidRPr="00422CA2">
        <w:rPr>
          <w:rFonts w:ascii="ITC Avant Garde" w:hAnsi="ITC Avant Garde"/>
          <w:sz w:val="22"/>
          <w:szCs w:val="22"/>
          <w:lang w:val="es-MX"/>
        </w:rPr>
        <w:t>4)</w:t>
      </w:r>
      <w:r w:rsidRPr="00422CA2">
        <w:rPr>
          <w:rFonts w:ascii="ITC Avant Garde" w:hAnsi="ITC Avant Garde"/>
          <w:sz w:val="22"/>
          <w:szCs w:val="22"/>
          <w:lang w:val="es-MX"/>
        </w:rPr>
        <w:tab/>
        <w:t xml:space="preserve">Se realiza prueba de continuidad del cableado y se liquida el servicio. </w:t>
      </w:r>
    </w:p>
    <w:p w14:paraId="21DD37C9" w14:textId="77777777" w:rsidR="00646708" w:rsidRPr="00422CA2" w:rsidRDefault="00646708" w:rsidP="00646708">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40E858FE" w14:textId="77777777" w:rsidR="002A7FAF" w:rsidRPr="00422CA2" w:rsidRDefault="00011A1B" w:rsidP="005248D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la contratación del servicio, el CS deberá llenar el siguiente formato:</w:t>
      </w:r>
    </w:p>
    <w:p w14:paraId="40E858FF" w14:textId="67DE1B72" w:rsidR="002A7FAF" w:rsidRPr="00422CA2" w:rsidRDefault="00E566FA" w:rsidP="00D4756A">
      <w:pPr>
        <w:spacing w:line="360" w:lineRule="auto"/>
        <w:contextualSpacing/>
        <w:jc w:val="center"/>
        <w:rPr>
          <w:rFonts w:ascii="ITC Avant Garde" w:hAnsi="ITC Avant Garde"/>
          <w:noProof/>
          <w:szCs w:val="22"/>
          <w:lang w:val="es-MX" w:eastAsia="es-MX"/>
        </w:rPr>
      </w:pPr>
      <w:r w:rsidRPr="00422CA2">
        <w:rPr>
          <w:rFonts w:ascii="ITC Avant Garde" w:hAnsi="ITC Avant Garde"/>
          <w:noProof/>
          <w:lang w:val="es-MX" w:eastAsia="es-MX"/>
        </w:rPr>
        <w:lastRenderedPageBreak/>
        <w:drawing>
          <wp:inline distT="0" distB="0" distL="0" distR="0" wp14:anchorId="7AF6771F" wp14:editId="1CAED9B6">
            <wp:extent cx="5613400" cy="5921367"/>
            <wp:effectExtent l="19050" t="19050" r="635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3400" cy="5921367"/>
                    </a:xfrm>
                    <a:prstGeom prst="rect">
                      <a:avLst/>
                    </a:prstGeom>
                    <a:noFill/>
                    <a:ln>
                      <a:solidFill>
                        <a:schemeClr val="tx1"/>
                      </a:solidFill>
                    </a:ln>
                  </pic:spPr>
                </pic:pic>
              </a:graphicData>
            </a:graphic>
          </wp:inline>
        </w:drawing>
      </w:r>
    </w:p>
    <w:p w14:paraId="40E85901" w14:textId="77777777" w:rsidR="002A7FAF" w:rsidRPr="00422CA2" w:rsidRDefault="00011A1B" w:rsidP="005248DC">
      <w:pPr>
        <w:spacing w:after="200" w:line="276" w:lineRule="auto"/>
        <w:jc w:val="both"/>
        <w:rPr>
          <w:rFonts w:ascii="ITC Avant Garde" w:hAnsi="ITC Avant Garde"/>
          <w:b/>
          <w:sz w:val="22"/>
          <w:szCs w:val="22"/>
        </w:rPr>
      </w:pPr>
      <w:r w:rsidRPr="00422CA2">
        <w:rPr>
          <w:rFonts w:ascii="ITC Avant Garde" w:hAnsi="ITC Avant Garde"/>
          <w:b/>
          <w:sz w:val="22"/>
          <w:szCs w:val="22"/>
        </w:rPr>
        <w:t>Garantía del servicio</w:t>
      </w:r>
    </w:p>
    <w:p w14:paraId="40E85902" w14:textId="77777777" w:rsidR="006F17A3"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Las fallas originadas en el cableado interior serán atendidas por Telmex, siempre que ocurran durante los 60 días posteriores a la instalación del cableado y queden excluidos los siguientes escenarios que no son atribuibles al servicio brindado por Telmex:</w:t>
      </w:r>
    </w:p>
    <w:p w14:paraId="40E85903"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t>Corte intencional del cable</w:t>
      </w:r>
    </w:p>
    <w:p w14:paraId="40E85904"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t>Causas fortuitas o de fuerza mayor</w:t>
      </w:r>
    </w:p>
    <w:p w14:paraId="40E85905"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Deterioro por uso inadecuado del cableado</w:t>
      </w:r>
    </w:p>
    <w:p w14:paraId="40E85906"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t>Daños por obras, remodelaciones o reparaciones al interior del inmueble</w:t>
      </w:r>
    </w:p>
    <w:p w14:paraId="40E85907"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t>Desconexiones</w:t>
      </w:r>
    </w:p>
    <w:p w14:paraId="40E85908" w14:textId="77777777" w:rsidR="00530A32" w:rsidRPr="00422CA2" w:rsidRDefault="00011A1B" w:rsidP="005248DC">
      <w:pPr>
        <w:pStyle w:val="Prrafodelista"/>
        <w:numPr>
          <w:ilvl w:val="0"/>
          <w:numId w:val="100"/>
        </w:numPr>
        <w:spacing w:after="200" w:line="276" w:lineRule="auto"/>
        <w:jc w:val="both"/>
        <w:rPr>
          <w:rFonts w:ascii="ITC Avant Garde" w:hAnsi="ITC Avant Garde"/>
          <w:sz w:val="22"/>
          <w:szCs w:val="22"/>
        </w:rPr>
      </w:pPr>
      <w:r w:rsidRPr="00422CA2">
        <w:rPr>
          <w:rFonts w:ascii="ITC Avant Garde" w:hAnsi="ITC Avant Garde"/>
          <w:sz w:val="22"/>
          <w:szCs w:val="22"/>
        </w:rPr>
        <w:t>Robo, vandalismo, siniestros, daños por roedores, etc.</w:t>
      </w:r>
    </w:p>
    <w:p w14:paraId="40E8590A" w14:textId="1323F7B8" w:rsidR="00530A32" w:rsidRPr="00422CA2" w:rsidRDefault="00011A1B" w:rsidP="004129D1">
      <w:pPr>
        <w:pStyle w:val="Ttulo1"/>
      </w:pPr>
      <w:bookmarkStart w:id="267" w:name="_Toc436840887"/>
      <w:bookmarkStart w:id="268" w:name="_Toc436846324"/>
      <w:bookmarkStart w:id="269" w:name="_Toc436848274"/>
      <w:bookmarkStart w:id="270" w:name="_Toc436856522"/>
      <w:bookmarkStart w:id="271" w:name="_Toc436862668"/>
      <w:bookmarkStart w:id="272" w:name="_Toc436866318"/>
      <w:bookmarkStart w:id="273" w:name="_Toc436870897"/>
      <w:bookmarkStart w:id="274" w:name="_Toc436875889"/>
      <w:bookmarkStart w:id="275" w:name="_Toc437602077"/>
      <w:r w:rsidRPr="00422CA2">
        <w:t>4.5</w:t>
      </w:r>
      <w:r w:rsidRPr="00422CA2">
        <w:tab/>
        <w:t>Registro de llamadas (CDR)</w:t>
      </w:r>
      <w:bookmarkEnd w:id="267"/>
      <w:bookmarkEnd w:id="268"/>
      <w:bookmarkEnd w:id="269"/>
      <w:bookmarkEnd w:id="270"/>
      <w:bookmarkEnd w:id="271"/>
      <w:bookmarkEnd w:id="272"/>
      <w:bookmarkEnd w:id="273"/>
      <w:bookmarkEnd w:id="274"/>
      <w:bookmarkEnd w:id="275"/>
    </w:p>
    <w:p w14:paraId="40E8590B" w14:textId="51CD4BEA" w:rsidR="00A167DA" w:rsidRPr="00422CA2" w:rsidRDefault="00011A1B" w:rsidP="005248DC">
      <w:pPr>
        <w:spacing w:after="200" w:line="276" w:lineRule="auto"/>
        <w:jc w:val="both"/>
        <w:rPr>
          <w:rFonts w:ascii="ITC Avant Garde" w:hAnsi="ITC Avant Garde"/>
          <w:sz w:val="22"/>
          <w:szCs w:val="22"/>
        </w:rPr>
      </w:pPr>
      <w:r w:rsidRPr="00422CA2">
        <w:rPr>
          <w:rFonts w:ascii="ITC Avant Garde" w:hAnsi="ITC Avant Garde"/>
          <w:sz w:val="22"/>
          <w:szCs w:val="22"/>
        </w:rPr>
        <w:t>La facturación a los usuarios finales de los servicios será responsabilidad del CS, por lo que Telmex entregará junto con la factura el desglose detallado del tráfico por cada usuario final (CDR</w:t>
      </w:r>
      <w:r w:rsidR="007F69A0" w:rsidRPr="00422CA2">
        <w:rPr>
          <w:rFonts w:ascii="ITC Avant Garde" w:hAnsi="ITC Avant Garde"/>
          <w:sz w:val="22"/>
          <w:szCs w:val="22"/>
        </w:rPr>
        <w:t>s</w:t>
      </w:r>
      <w:r w:rsidRPr="00422CA2">
        <w:rPr>
          <w:rFonts w:ascii="ITC Avant Garde" w:hAnsi="ITC Avant Garde"/>
          <w:sz w:val="22"/>
          <w:szCs w:val="22"/>
        </w:rPr>
        <w:t xml:space="preserve">), para ello, </w:t>
      </w:r>
      <w:r w:rsidR="004F0D15" w:rsidRPr="00422CA2">
        <w:rPr>
          <w:rFonts w:ascii="ITC Avant Garde" w:hAnsi="ITC Avant Garde"/>
          <w:sz w:val="22"/>
          <w:szCs w:val="22"/>
          <w:lang w:val="es-MX"/>
        </w:rPr>
        <w:t xml:space="preserve">en un </w:t>
      </w:r>
      <w:r w:rsidR="00EF75EC" w:rsidRPr="00422CA2">
        <w:rPr>
          <w:rFonts w:ascii="ITC Avant Garde" w:hAnsi="ITC Avant Garde"/>
          <w:sz w:val="22"/>
          <w:szCs w:val="22"/>
          <w:lang w:val="es-MX"/>
        </w:rPr>
        <w:t xml:space="preserve">plazo </w:t>
      </w:r>
      <w:r w:rsidR="004F0D15" w:rsidRPr="00422CA2">
        <w:rPr>
          <w:rFonts w:ascii="ITC Avant Garde" w:hAnsi="ITC Avant Garde"/>
          <w:sz w:val="22"/>
          <w:szCs w:val="22"/>
          <w:lang w:val="es-MX"/>
        </w:rPr>
        <w:t>máximo de</w:t>
      </w:r>
      <w:r w:rsidR="00EF75EC" w:rsidRPr="00422CA2">
        <w:rPr>
          <w:rFonts w:ascii="ITC Avant Garde" w:hAnsi="ITC Avant Garde"/>
          <w:sz w:val="22"/>
          <w:szCs w:val="22"/>
          <w:lang w:val="es-MX"/>
        </w:rPr>
        <w:t xml:space="preserve"> los primeros</w:t>
      </w:r>
      <w:r w:rsidR="004F0D15" w:rsidRPr="00422CA2">
        <w:rPr>
          <w:rFonts w:ascii="ITC Avant Garde" w:hAnsi="ITC Avant Garde"/>
          <w:sz w:val="22"/>
          <w:szCs w:val="22"/>
          <w:lang w:val="es-MX"/>
        </w:rPr>
        <w:t xml:space="preserve"> seis días hábiles de cada mes</w:t>
      </w:r>
      <w:r w:rsidR="00EA4106" w:rsidRPr="00422CA2">
        <w:rPr>
          <w:rFonts w:ascii="ITC Avant Garde" w:hAnsi="ITC Avant Garde"/>
          <w:sz w:val="22"/>
          <w:szCs w:val="22"/>
        </w:rPr>
        <w:t xml:space="preserve">, </w:t>
      </w:r>
      <w:r w:rsidRPr="00422CA2">
        <w:rPr>
          <w:rFonts w:ascii="ITC Avant Garde" w:hAnsi="ITC Avant Garde"/>
          <w:sz w:val="22"/>
          <w:szCs w:val="22"/>
        </w:rPr>
        <w:t>el CS encontrará disponible a través del sistema SIANA los CDR que se describen en el formato de la sección a continuación, a fin de que sean descargados por cada CS.</w:t>
      </w:r>
    </w:p>
    <w:p w14:paraId="40E8590D" w14:textId="77777777" w:rsidR="00530A32" w:rsidRPr="00422CA2" w:rsidRDefault="00011A1B" w:rsidP="004129D1">
      <w:pPr>
        <w:pStyle w:val="Ttulo1"/>
      </w:pPr>
      <w:bookmarkStart w:id="276" w:name="_Toc436840888"/>
      <w:bookmarkStart w:id="277" w:name="_Toc436846325"/>
      <w:bookmarkStart w:id="278" w:name="_Toc436848275"/>
      <w:bookmarkStart w:id="279" w:name="_Toc436856523"/>
      <w:bookmarkStart w:id="280" w:name="_Toc436862669"/>
      <w:bookmarkStart w:id="281" w:name="_Toc436866319"/>
      <w:bookmarkStart w:id="282" w:name="_Toc436870898"/>
      <w:bookmarkStart w:id="283" w:name="_Toc436875890"/>
      <w:bookmarkStart w:id="284" w:name="_Toc437602078"/>
      <w:r w:rsidRPr="00422CA2">
        <w:t>4.5.1</w:t>
      </w:r>
      <w:r w:rsidRPr="00422CA2">
        <w:tab/>
      </w:r>
      <w:r w:rsidRPr="00422CA2">
        <w:rPr>
          <w:i/>
        </w:rPr>
        <w:t>Layout</w:t>
      </w:r>
      <w:r w:rsidRPr="00422CA2">
        <w:t xml:space="preserve"> para la entrega de los registros de consumo del Servicio de Reventa de Línea</w:t>
      </w:r>
      <w:bookmarkEnd w:id="276"/>
      <w:bookmarkEnd w:id="277"/>
      <w:bookmarkEnd w:id="278"/>
      <w:bookmarkEnd w:id="279"/>
      <w:bookmarkEnd w:id="280"/>
      <w:bookmarkEnd w:id="281"/>
      <w:bookmarkEnd w:id="282"/>
      <w:bookmarkEnd w:id="283"/>
      <w:bookmarkEnd w:id="284"/>
    </w:p>
    <w:tbl>
      <w:tblPr>
        <w:tblW w:w="9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14"/>
        <w:gridCol w:w="1516"/>
        <w:gridCol w:w="514"/>
        <w:gridCol w:w="905"/>
        <w:gridCol w:w="1034"/>
        <w:gridCol w:w="4778"/>
      </w:tblGrid>
      <w:tr w:rsidR="00422CA2" w:rsidRPr="00422CA2" w14:paraId="40E85914" w14:textId="77777777" w:rsidTr="00724106">
        <w:trPr>
          <w:trHeight w:val="262"/>
        </w:trPr>
        <w:tc>
          <w:tcPr>
            <w:tcW w:w="314" w:type="dxa"/>
            <w:shd w:val="clear" w:color="auto" w:fill="0070C0"/>
            <w:vAlign w:val="center"/>
          </w:tcPr>
          <w:p w14:paraId="40E8590E"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No</w:t>
            </w:r>
          </w:p>
        </w:tc>
        <w:tc>
          <w:tcPr>
            <w:tcW w:w="1516" w:type="dxa"/>
            <w:shd w:val="clear" w:color="auto" w:fill="0070C0"/>
            <w:vAlign w:val="center"/>
          </w:tcPr>
          <w:p w14:paraId="40E8590F"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NOMBRE</w:t>
            </w:r>
          </w:p>
        </w:tc>
        <w:tc>
          <w:tcPr>
            <w:tcW w:w="514" w:type="dxa"/>
            <w:shd w:val="clear" w:color="auto" w:fill="0070C0"/>
            <w:vAlign w:val="center"/>
          </w:tcPr>
          <w:p w14:paraId="40E85910"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TIPO</w:t>
            </w:r>
          </w:p>
        </w:tc>
        <w:tc>
          <w:tcPr>
            <w:tcW w:w="905" w:type="dxa"/>
            <w:shd w:val="clear" w:color="auto" w:fill="0070C0"/>
            <w:vAlign w:val="center"/>
          </w:tcPr>
          <w:p w14:paraId="40E85911"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FORMATO</w:t>
            </w:r>
          </w:p>
        </w:tc>
        <w:tc>
          <w:tcPr>
            <w:tcW w:w="1034" w:type="dxa"/>
            <w:shd w:val="clear" w:color="auto" w:fill="0070C0"/>
            <w:vAlign w:val="center"/>
          </w:tcPr>
          <w:p w14:paraId="40E85912"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LONGITUD</w:t>
            </w:r>
          </w:p>
        </w:tc>
        <w:tc>
          <w:tcPr>
            <w:tcW w:w="4778" w:type="dxa"/>
            <w:shd w:val="clear" w:color="auto" w:fill="0070C0"/>
            <w:vAlign w:val="center"/>
          </w:tcPr>
          <w:p w14:paraId="40E85913" w14:textId="77777777" w:rsidR="006C2115" w:rsidRPr="00422CA2" w:rsidRDefault="00011A1B" w:rsidP="00724106">
            <w:pPr>
              <w:spacing w:before="60" w:after="60" w:line="276" w:lineRule="auto"/>
              <w:jc w:val="center"/>
              <w:rPr>
                <w:rFonts w:ascii="ITC Avant Garde" w:hAnsi="ITC Avant Garde"/>
                <w:b/>
                <w:sz w:val="16"/>
              </w:rPr>
            </w:pPr>
            <w:r w:rsidRPr="00422CA2">
              <w:rPr>
                <w:rFonts w:ascii="ITC Avant Garde" w:hAnsi="ITC Avant Garde"/>
                <w:b/>
                <w:sz w:val="16"/>
              </w:rPr>
              <w:t>DESCRIPCION</w:t>
            </w:r>
          </w:p>
        </w:tc>
      </w:tr>
      <w:tr w:rsidR="00422CA2" w:rsidRPr="00422CA2" w14:paraId="40E8591B" w14:textId="77777777" w:rsidTr="00724106">
        <w:trPr>
          <w:trHeight w:val="250"/>
        </w:trPr>
        <w:tc>
          <w:tcPr>
            <w:tcW w:w="314" w:type="dxa"/>
            <w:vAlign w:val="center"/>
          </w:tcPr>
          <w:p w14:paraId="40E85915" w14:textId="77777777" w:rsidR="00530A32" w:rsidRPr="00422CA2" w:rsidRDefault="00530A32" w:rsidP="00724106">
            <w:pPr>
              <w:spacing w:before="60" w:after="60" w:line="276" w:lineRule="auto"/>
              <w:jc w:val="center"/>
              <w:rPr>
                <w:rFonts w:ascii="ITC Avant Garde" w:hAnsi="ITC Avant Garde"/>
                <w:sz w:val="16"/>
              </w:rPr>
            </w:pPr>
          </w:p>
        </w:tc>
        <w:tc>
          <w:tcPr>
            <w:tcW w:w="1516" w:type="dxa"/>
            <w:vAlign w:val="center"/>
          </w:tcPr>
          <w:p w14:paraId="40E85916" w14:textId="77777777" w:rsidR="00530A32" w:rsidRPr="00422CA2" w:rsidRDefault="00011A1B" w:rsidP="0034739A">
            <w:pPr>
              <w:spacing w:before="60" w:after="60" w:line="276" w:lineRule="auto"/>
              <w:jc w:val="center"/>
              <w:rPr>
                <w:rFonts w:ascii="ITC Avant Garde" w:hAnsi="ITC Avant Garde"/>
                <w:b/>
                <w:sz w:val="16"/>
              </w:rPr>
            </w:pPr>
            <w:r w:rsidRPr="00422CA2">
              <w:rPr>
                <w:rFonts w:ascii="ITC Avant Garde" w:hAnsi="ITC Avant Garde"/>
                <w:b/>
                <w:sz w:val="16"/>
              </w:rPr>
              <w:t>REGISTRO HEADER</w:t>
            </w:r>
          </w:p>
        </w:tc>
        <w:tc>
          <w:tcPr>
            <w:tcW w:w="514" w:type="dxa"/>
            <w:vAlign w:val="center"/>
          </w:tcPr>
          <w:p w14:paraId="40E85917" w14:textId="77777777" w:rsidR="00530A32" w:rsidRPr="00422CA2" w:rsidRDefault="00530A32" w:rsidP="00724106">
            <w:pPr>
              <w:spacing w:before="60" w:after="60" w:line="276" w:lineRule="auto"/>
              <w:jc w:val="center"/>
              <w:rPr>
                <w:rFonts w:ascii="ITC Avant Garde" w:hAnsi="ITC Avant Garde"/>
                <w:sz w:val="16"/>
              </w:rPr>
            </w:pPr>
          </w:p>
        </w:tc>
        <w:tc>
          <w:tcPr>
            <w:tcW w:w="905" w:type="dxa"/>
            <w:vAlign w:val="center"/>
          </w:tcPr>
          <w:p w14:paraId="40E85918" w14:textId="77777777" w:rsidR="00530A32" w:rsidRPr="00422CA2" w:rsidRDefault="00530A32" w:rsidP="00724106">
            <w:pPr>
              <w:spacing w:before="60" w:after="60" w:line="276" w:lineRule="auto"/>
              <w:jc w:val="center"/>
              <w:rPr>
                <w:rFonts w:ascii="ITC Avant Garde" w:hAnsi="ITC Avant Garde"/>
                <w:sz w:val="16"/>
              </w:rPr>
            </w:pPr>
          </w:p>
        </w:tc>
        <w:tc>
          <w:tcPr>
            <w:tcW w:w="1034" w:type="dxa"/>
            <w:vAlign w:val="center"/>
          </w:tcPr>
          <w:p w14:paraId="40E85919"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100</w:t>
            </w:r>
          </w:p>
        </w:tc>
        <w:tc>
          <w:tcPr>
            <w:tcW w:w="4778" w:type="dxa"/>
            <w:vAlign w:val="center"/>
          </w:tcPr>
          <w:p w14:paraId="40E8591A" w14:textId="77777777" w:rsidR="00530A32" w:rsidRPr="00422CA2" w:rsidRDefault="00530A32" w:rsidP="00724106">
            <w:pPr>
              <w:spacing w:before="60" w:after="60" w:line="276" w:lineRule="auto"/>
              <w:rPr>
                <w:rFonts w:ascii="ITC Avant Garde" w:hAnsi="ITC Avant Garde"/>
                <w:sz w:val="16"/>
              </w:rPr>
            </w:pPr>
          </w:p>
        </w:tc>
      </w:tr>
      <w:tr w:rsidR="00422CA2" w:rsidRPr="00422CA2" w14:paraId="40E85922" w14:textId="77777777" w:rsidTr="00724106">
        <w:trPr>
          <w:trHeight w:val="250"/>
        </w:trPr>
        <w:tc>
          <w:tcPr>
            <w:tcW w:w="314" w:type="dxa"/>
            <w:vAlign w:val="center"/>
          </w:tcPr>
          <w:p w14:paraId="40E8591C"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1516" w:type="dxa"/>
            <w:vAlign w:val="center"/>
          </w:tcPr>
          <w:p w14:paraId="40E8591D"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Identificador de reg.</w:t>
            </w:r>
          </w:p>
        </w:tc>
        <w:tc>
          <w:tcPr>
            <w:tcW w:w="514" w:type="dxa"/>
            <w:vAlign w:val="center"/>
          </w:tcPr>
          <w:p w14:paraId="40E8591E"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1F"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9(01)</w:t>
            </w:r>
          </w:p>
        </w:tc>
        <w:tc>
          <w:tcPr>
            <w:tcW w:w="1034" w:type="dxa"/>
            <w:vAlign w:val="center"/>
          </w:tcPr>
          <w:p w14:paraId="40E85920"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4778" w:type="dxa"/>
            <w:vAlign w:val="center"/>
          </w:tcPr>
          <w:p w14:paraId="40E85921" w14:textId="1052189F"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Identifica el tipo de registro que para el caso del “header” el valor debe ser cero.</w:t>
            </w:r>
          </w:p>
        </w:tc>
      </w:tr>
      <w:tr w:rsidR="00422CA2" w:rsidRPr="00422CA2" w14:paraId="40E85929" w14:textId="77777777" w:rsidTr="00724106">
        <w:trPr>
          <w:trHeight w:val="250"/>
        </w:trPr>
        <w:tc>
          <w:tcPr>
            <w:tcW w:w="314" w:type="dxa"/>
            <w:vAlign w:val="center"/>
          </w:tcPr>
          <w:p w14:paraId="40E85923"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2</w:t>
            </w:r>
          </w:p>
        </w:tc>
        <w:tc>
          <w:tcPr>
            <w:tcW w:w="1516" w:type="dxa"/>
            <w:vAlign w:val="center"/>
          </w:tcPr>
          <w:p w14:paraId="40E85924"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Operador Emisor</w:t>
            </w:r>
          </w:p>
        </w:tc>
        <w:tc>
          <w:tcPr>
            <w:tcW w:w="514" w:type="dxa"/>
            <w:vAlign w:val="center"/>
          </w:tcPr>
          <w:p w14:paraId="40E85925"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26"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9(03)</w:t>
            </w:r>
          </w:p>
        </w:tc>
        <w:tc>
          <w:tcPr>
            <w:tcW w:w="1034" w:type="dxa"/>
            <w:vAlign w:val="center"/>
          </w:tcPr>
          <w:p w14:paraId="40E85927"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4778" w:type="dxa"/>
            <w:vAlign w:val="center"/>
          </w:tcPr>
          <w:p w14:paraId="40E85928" w14:textId="4B61B80F"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(CIC) del Operador que presenta los registros.</w:t>
            </w:r>
          </w:p>
        </w:tc>
      </w:tr>
      <w:tr w:rsidR="00422CA2" w:rsidRPr="00422CA2" w14:paraId="40E85930" w14:textId="77777777" w:rsidTr="00724106">
        <w:trPr>
          <w:trHeight w:val="250"/>
        </w:trPr>
        <w:tc>
          <w:tcPr>
            <w:tcW w:w="314" w:type="dxa"/>
            <w:vAlign w:val="center"/>
          </w:tcPr>
          <w:p w14:paraId="40E8592A"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1516" w:type="dxa"/>
            <w:vAlign w:val="center"/>
          </w:tcPr>
          <w:p w14:paraId="40E8592B"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Operador Receptor</w:t>
            </w:r>
          </w:p>
        </w:tc>
        <w:tc>
          <w:tcPr>
            <w:tcW w:w="514" w:type="dxa"/>
            <w:vAlign w:val="center"/>
          </w:tcPr>
          <w:p w14:paraId="40E8592C"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2D"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9(03)</w:t>
            </w:r>
          </w:p>
        </w:tc>
        <w:tc>
          <w:tcPr>
            <w:tcW w:w="1034" w:type="dxa"/>
            <w:vAlign w:val="center"/>
          </w:tcPr>
          <w:p w14:paraId="40E8592E"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4778" w:type="dxa"/>
            <w:vAlign w:val="center"/>
          </w:tcPr>
          <w:p w14:paraId="40E8592F" w14:textId="67BF5D68"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(CIC) del CS que recibe los registros.</w:t>
            </w:r>
          </w:p>
        </w:tc>
      </w:tr>
      <w:tr w:rsidR="00422CA2" w:rsidRPr="00422CA2" w14:paraId="40E85937" w14:textId="77777777" w:rsidTr="00724106">
        <w:trPr>
          <w:trHeight w:val="250"/>
        </w:trPr>
        <w:tc>
          <w:tcPr>
            <w:tcW w:w="314" w:type="dxa"/>
            <w:vAlign w:val="center"/>
          </w:tcPr>
          <w:p w14:paraId="40E85931"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4</w:t>
            </w:r>
          </w:p>
        </w:tc>
        <w:tc>
          <w:tcPr>
            <w:tcW w:w="1516" w:type="dxa"/>
            <w:vAlign w:val="center"/>
          </w:tcPr>
          <w:p w14:paraId="40E85932"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Filler</w:t>
            </w:r>
          </w:p>
        </w:tc>
        <w:tc>
          <w:tcPr>
            <w:tcW w:w="514" w:type="dxa"/>
            <w:vAlign w:val="center"/>
          </w:tcPr>
          <w:p w14:paraId="40E85933"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C</w:t>
            </w:r>
          </w:p>
        </w:tc>
        <w:tc>
          <w:tcPr>
            <w:tcW w:w="905" w:type="dxa"/>
            <w:vAlign w:val="center"/>
          </w:tcPr>
          <w:p w14:paraId="40E85934"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X(93)</w:t>
            </w:r>
          </w:p>
        </w:tc>
        <w:tc>
          <w:tcPr>
            <w:tcW w:w="1034" w:type="dxa"/>
            <w:vAlign w:val="center"/>
          </w:tcPr>
          <w:p w14:paraId="40E85935"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93</w:t>
            </w:r>
          </w:p>
        </w:tc>
        <w:tc>
          <w:tcPr>
            <w:tcW w:w="4778" w:type="dxa"/>
            <w:vAlign w:val="center"/>
          </w:tcPr>
          <w:p w14:paraId="40E85936" w14:textId="7CF9304C"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Caracteres en blanco para completar la longitud del registro a 100 posiciones.</w:t>
            </w:r>
          </w:p>
        </w:tc>
      </w:tr>
      <w:tr w:rsidR="00422CA2" w:rsidRPr="00422CA2" w14:paraId="40E8593E" w14:textId="77777777" w:rsidTr="00724106">
        <w:trPr>
          <w:trHeight w:val="250"/>
        </w:trPr>
        <w:tc>
          <w:tcPr>
            <w:tcW w:w="314" w:type="dxa"/>
            <w:vAlign w:val="center"/>
          </w:tcPr>
          <w:p w14:paraId="40E85938" w14:textId="77777777" w:rsidR="00530A32" w:rsidRPr="00422CA2" w:rsidRDefault="00530A32" w:rsidP="00724106">
            <w:pPr>
              <w:spacing w:before="60" w:after="60" w:line="276" w:lineRule="auto"/>
              <w:jc w:val="center"/>
              <w:rPr>
                <w:rFonts w:ascii="ITC Avant Garde" w:hAnsi="ITC Avant Garde"/>
                <w:sz w:val="16"/>
              </w:rPr>
            </w:pPr>
          </w:p>
        </w:tc>
        <w:tc>
          <w:tcPr>
            <w:tcW w:w="1516" w:type="dxa"/>
            <w:vAlign w:val="center"/>
          </w:tcPr>
          <w:p w14:paraId="40E85939" w14:textId="77777777" w:rsidR="00530A32" w:rsidRPr="00422CA2" w:rsidRDefault="00011A1B" w:rsidP="0034739A">
            <w:pPr>
              <w:spacing w:before="60" w:after="60" w:line="276" w:lineRule="auto"/>
              <w:jc w:val="center"/>
              <w:rPr>
                <w:rFonts w:ascii="ITC Avant Garde" w:hAnsi="ITC Avant Garde"/>
                <w:b/>
                <w:sz w:val="16"/>
              </w:rPr>
            </w:pPr>
            <w:r w:rsidRPr="00422CA2">
              <w:rPr>
                <w:rFonts w:ascii="ITC Avant Garde" w:hAnsi="ITC Avant Garde"/>
                <w:b/>
                <w:sz w:val="16"/>
              </w:rPr>
              <w:t>REGISTRO DETALLE</w:t>
            </w:r>
          </w:p>
        </w:tc>
        <w:tc>
          <w:tcPr>
            <w:tcW w:w="514" w:type="dxa"/>
            <w:vAlign w:val="center"/>
          </w:tcPr>
          <w:p w14:paraId="40E8593A" w14:textId="77777777" w:rsidR="00530A32" w:rsidRPr="00422CA2" w:rsidRDefault="00530A32" w:rsidP="00724106">
            <w:pPr>
              <w:spacing w:before="60" w:after="60" w:line="276" w:lineRule="auto"/>
              <w:jc w:val="center"/>
              <w:rPr>
                <w:rFonts w:ascii="ITC Avant Garde" w:hAnsi="ITC Avant Garde"/>
                <w:sz w:val="16"/>
              </w:rPr>
            </w:pPr>
          </w:p>
        </w:tc>
        <w:tc>
          <w:tcPr>
            <w:tcW w:w="905" w:type="dxa"/>
            <w:vAlign w:val="center"/>
          </w:tcPr>
          <w:p w14:paraId="40E8593B" w14:textId="77777777" w:rsidR="00530A32" w:rsidRPr="00422CA2" w:rsidRDefault="00530A32" w:rsidP="00724106">
            <w:pPr>
              <w:spacing w:before="60" w:after="60" w:line="276" w:lineRule="auto"/>
              <w:jc w:val="center"/>
              <w:rPr>
                <w:rFonts w:ascii="ITC Avant Garde" w:hAnsi="ITC Avant Garde"/>
                <w:sz w:val="16"/>
              </w:rPr>
            </w:pPr>
          </w:p>
        </w:tc>
        <w:tc>
          <w:tcPr>
            <w:tcW w:w="1034" w:type="dxa"/>
            <w:vAlign w:val="center"/>
          </w:tcPr>
          <w:p w14:paraId="40E8593C"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100</w:t>
            </w:r>
          </w:p>
        </w:tc>
        <w:tc>
          <w:tcPr>
            <w:tcW w:w="4778" w:type="dxa"/>
            <w:vAlign w:val="center"/>
          </w:tcPr>
          <w:p w14:paraId="40E8593D" w14:textId="77777777" w:rsidR="00530A32" w:rsidRPr="00422CA2" w:rsidRDefault="00530A32" w:rsidP="00724106">
            <w:pPr>
              <w:spacing w:before="60" w:after="60" w:line="276" w:lineRule="auto"/>
              <w:rPr>
                <w:rFonts w:ascii="ITC Avant Garde" w:hAnsi="ITC Avant Garde"/>
                <w:sz w:val="16"/>
              </w:rPr>
            </w:pPr>
          </w:p>
        </w:tc>
      </w:tr>
      <w:tr w:rsidR="00422CA2" w:rsidRPr="00422CA2" w14:paraId="40E85945" w14:textId="77777777" w:rsidTr="00724106">
        <w:trPr>
          <w:trHeight w:val="359"/>
        </w:trPr>
        <w:tc>
          <w:tcPr>
            <w:tcW w:w="314" w:type="dxa"/>
            <w:vAlign w:val="center"/>
          </w:tcPr>
          <w:p w14:paraId="40E8593F"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1516" w:type="dxa"/>
            <w:vAlign w:val="center"/>
          </w:tcPr>
          <w:p w14:paraId="40E85940" w14:textId="7DD93A55"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Identificador de reg.</w:t>
            </w:r>
          </w:p>
        </w:tc>
        <w:tc>
          <w:tcPr>
            <w:tcW w:w="514" w:type="dxa"/>
            <w:vAlign w:val="center"/>
          </w:tcPr>
          <w:p w14:paraId="40E85941"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42"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9(01)</w:t>
            </w:r>
          </w:p>
        </w:tc>
        <w:tc>
          <w:tcPr>
            <w:tcW w:w="1034" w:type="dxa"/>
            <w:vAlign w:val="center"/>
          </w:tcPr>
          <w:p w14:paraId="40E85943"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4778" w:type="dxa"/>
            <w:vAlign w:val="center"/>
          </w:tcPr>
          <w:p w14:paraId="40E85944" w14:textId="7DE097F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Identificador de registro que para el caso del “detalle” el valor debe ser uno.</w:t>
            </w:r>
          </w:p>
        </w:tc>
      </w:tr>
      <w:tr w:rsidR="00422CA2" w:rsidRPr="00422CA2" w14:paraId="40E8594C" w14:textId="77777777" w:rsidTr="00724106">
        <w:trPr>
          <w:trHeight w:val="250"/>
        </w:trPr>
        <w:tc>
          <w:tcPr>
            <w:tcW w:w="314" w:type="dxa"/>
            <w:vAlign w:val="center"/>
          </w:tcPr>
          <w:p w14:paraId="40E85946"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2</w:t>
            </w:r>
          </w:p>
        </w:tc>
        <w:tc>
          <w:tcPr>
            <w:tcW w:w="1516" w:type="dxa"/>
            <w:vAlign w:val="center"/>
          </w:tcPr>
          <w:p w14:paraId="40E85947"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Numero de A</w:t>
            </w:r>
          </w:p>
        </w:tc>
        <w:tc>
          <w:tcPr>
            <w:tcW w:w="514" w:type="dxa"/>
            <w:vAlign w:val="center"/>
          </w:tcPr>
          <w:p w14:paraId="40E85948"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49"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9(15)</w:t>
            </w:r>
          </w:p>
        </w:tc>
        <w:tc>
          <w:tcPr>
            <w:tcW w:w="1034" w:type="dxa"/>
            <w:vAlign w:val="center"/>
          </w:tcPr>
          <w:p w14:paraId="40E8594A"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15</w:t>
            </w:r>
          </w:p>
        </w:tc>
        <w:tc>
          <w:tcPr>
            <w:tcW w:w="4778" w:type="dxa"/>
            <w:vAlign w:val="center"/>
          </w:tcPr>
          <w:p w14:paraId="40E8594B" w14:textId="09A4FE50"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Número de origen (justificado a la derecha, es decir el número recorrido a la derecha de la columna) rellenando las posiciones disponibles con ceros.</w:t>
            </w:r>
          </w:p>
        </w:tc>
      </w:tr>
      <w:tr w:rsidR="00422CA2" w:rsidRPr="00422CA2" w14:paraId="40E85953" w14:textId="77777777" w:rsidTr="00724106">
        <w:trPr>
          <w:trHeight w:val="250"/>
        </w:trPr>
        <w:tc>
          <w:tcPr>
            <w:tcW w:w="314" w:type="dxa"/>
            <w:vAlign w:val="center"/>
          </w:tcPr>
          <w:p w14:paraId="40E8594D"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1516" w:type="dxa"/>
            <w:vAlign w:val="center"/>
          </w:tcPr>
          <w:p w14:paraId="40E8594E"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Numero de B</w:t>
            </w:r>
          </w:p>
        </w:tc>
        <w:tc>
          <w:tcPr>
            <w:tcW w:w="514" w:type="dxa"/>
            <w:vAlign w:val="center"/>
          </w:tcPr>
          <w:p w14:paraId="40E8594F"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50"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9(15)</w:t>
            </w:r>
          </w:p>
        </w:tc>
        <w:tc>
          <w:tcPr>
            <w:tcW w:w="1034" w:type="dxa"/>
            <w:vAlign w:val="center"/>
          </w:tcPr>
          <w:p w14:paraId="40E85951"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15</w:t>
            </w:r>
          </w:p>
        </w:tc>
        <w:tc>
          <w:tcPr>
            <w:tcW w:w="4778" w:type="dxa"/>
            <w:vAlign w:val="center"/>
          </w:tcPr>
          <w:p w14:paraId="40E85952" w14:textId="675EC4B9"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Número de destino (justificado a la derecha, es decir el número recorrido a la derecha de la columna) rellenando las posiciones disponibles con ceros.</w:t>
            </w:r>
          </w:p>
        </w:tc>
      </w:tr>
      <w:tr w:rsidR="00422CA2" w:rsidRPr="00422CA2" w14:paraId="40E8595A" w14:textId="77777777" w:rsidTr="00724106">
        <w:trPr>
          <w:trHeight w:val="250"/>
        </w:trPr>
        <w:tc>
          <w:tcPr>
            <w:tcW w:w="314" w:type="dxa"/>
            <w:vAlign w:val="center"/>
          </w:tcPr>
          <w:p w14:paraId="40E85954"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4</w:t>
            </w:r>
          </w:p>
        </w:tc>
        <w:tc>
          <w:tcPr>
            <w:tcW w:w="1516" w:type="dxa"/>
            <w:vAlign w:val="center"/>
          </w:tcPr>
          <w:p w14:paraId="40E85955"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Fecha de inicio</w:t>
            </w:r>
          </w:p>
        </w:tc>
        <w:tc>
          <w:tcPr>
            <w:tcW w:w="514" w:type="dxa"/>
            <w:vAlign w:val="center"/>
          </w:tcPr>
          <w:p w14:paraId="40E85956"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57"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X(08)</w:t>
            </w:r>
          </w:p>
        </w:tc>
        <w:tc>
          <w:tcPr>
            <w:tcW w:w="1034" w:type="dxa"/>
            <w:vAlign w:val="center"/>
          </w:tcPr>
          <w:p w14:paraId="40E85958"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8</w:t>
            </w:r>
          </w:p>
        </w:tc>
        <w:tc>
          <w:tcPr>
            <w:tcW w:w="4778" w:type="dxa"/>
            <w:vAlign w:val="center"/>
          </w:tcPr>
          <w:p w14:paraId="40E85959" w14:textId="0714F9F9"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Fecha en que inicio la llamada (AAAAMMDD).</w:t>
            </w:r>
          </w:p>
        </w:tc>
      </w:tr>
      <w:tr w:rsidR="00422CA2" w:rsidRPr="00422CA2" w14:paraId="40E85961" w14:textId="77777777" w:rsidTr="00724106">
        <w:trPr>
          <w:trHeight w:val="250"/>
        </w:trPr>
        <w:tc>
          <w:tcPr>
            <w:tcW w:w="314" w:type="dxa"/>
            <w:vAlign w:val="center"/>
          </w:tcPr>
          <w:p w14:paraId="40E8595B"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5</w:t>
            </w:r>
          </w:p>
        </w:tc>
        <w:tc>
          <w:tcPr>
            <w:tcW w:w="1516" w:type="dxa"/>
            <w:vAlign w:val="center"/>
          </w:tcPr>
          <w:p w14:paraId="40E8595C"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 xml:space="preserve">Duración </w:t>
            </w:r>
          </w:p>
        </w:tc>
        <w:tc>
          <w:tcPr>
            <w:tcW w:w="514" w:type="dxa"/>
            <w:vAlign w:val="center"/>
          </w:tcPr>
          <w:p w14:paraId="40E8595D"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5E"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9(06)</w:t>
            </w:r>
          </w:p>
        </w:tc>
        <w:tc>
          <w:tcPr>
            <w:tcW w:w="1034" w:type="dxa"/>
            <w:vAlign w:val="center"/>
          </w:tcPr>
          <w:p w14:paraId="40E8595F"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6</w:t>
            </w:r>
          </w:p>
        </w:tc>
        <w:tc>
          <w:tcPr>
            <w:tcW w:w="4778" w:type="dxa"/>
            <w:vAlign w:val="center"/>
          </w:tcPr>
          <w:p w14:paraId="40E85960" w14:textId="64643F23"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La duración será minutos (las primeras 4 posiciones) y segundos (las últimas 2 posiciones). En todos los casos justificado a la derecha.</w:t>
            </w:r>
          </w:p>
        </w:tc>
      </w:tr>
      <w:tr w:rsidR="00422CA2" w:rsidRPr="00422CA2" w14:paraId="40E85968" w14:textId="77777777" w:rsidTr="00724106">
        <w:trPr>
          <w:trHeight w:val="350"/>
        </w:trPr>
        <w:tc>
          <w:tcPr>
            <w:tcW w:w="314" w:type="dxa"/>
            <w:vAlign w:val="center"/>
          </w:tcPr>
          <w:p w14:paraId="40E85962"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6</w:t>
            </w:r>
          </w:p>
        </w:tc>
        <w:tc>
          <w:tcPr>
            <w:tcW w:w="1516" w:type="dxa"/>
            <w:vAlign w:val="center"/>
          </w:tcPr>
          <w:p w14:paraId="40E85963"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Hora inicio</w:t>
            </w:r>
          </w:p>
        </w:tc>
        <w:tc>
          <w:tcPr>
            <w:tcW w:w="514" w:type="dxa"/>
            <w:vAlign w:val="center"/>
          </w:tcPr>
          <w:p w14:paraId="40E85964"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65"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9(06)</w:t>
            </w:r>
          </w:p>
        </w:tc>
        <w:tc>
          <w:tcPr>
            <w:tcW w:w="1034" w:type="dxa"/>
            <w:vAlign w:val="center"/>
          </w:tcPr>
          <w:p w14:paraId="40E85966"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6</w:t>
            </w:r>
          </w:p>
        </w:tc>
        <w:tc>
          <w:tcPr>
            <w:tcW w:w="4778" w:type="dxa"/>
            <w:vAlign w:val="center"/>
          </w:tcPr>
          <w:p w14:paraId="40E85967" w14:textId="174E4288"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Hora en la cual inició de la llamada (HHMMSS).</w:t>
            </w:r>
          </w:p>
        </w:tc>
      </w:tr>
      <w:tr w:rsidR="00422CA2" w:rsidRPr="00422CA2" w14:paraId="40E8596F" w14:textId="77777777" w:rsidTr="00724106">
        <w:trPr>
          <w:trHeight w:val="250"/>
        </w:trPr>
        <w:tc>
          <w:tcPr>
            <w:tcW w:w="314" w:type="dxa"/>
            <w:vAlign w:val="center"/>
          </w:tcPr>
          <w:p w14:paraId="40E85969"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lastRenderedPageBreak/>
              <w:t>7</w:t>
            </w:r>
          </w:p>
        </w:tc>
        <w:tc>
          <w:tcPr>
            <w:tcW w:w="1516" w:type="dxa"/>
            <w:vAlign w:val="center"/>
          </w:tcPr>
          <w:p w14:paraId="40E8596A"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de Servicio</w:t>
            </w:r>
          </w:p>
        </w:tc>
        <w:tc>
          <w:tcPr>
            <w:tcW w:w="514" w:type="dxa"/>
            <w:vAlign w:val="center"/>
          </w:tcPr>
          <w:p w14:paraId="40E8596B"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C</w:t>
            </w:r>
          </w:p>
        </w:tc>
        <w:tc>
          <w:tcPr>
            <w:tcW w:w="905" w:type="dxa"/>
            <w:vAlign w:val="center"/>
          </w:tcPr>
          <w:p w14:paraId="40E8596C"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X(03)</w:t>
            </w:r>
          </w:p>
        </w:tc>
        <w:tc>
          <w:tcPr>
            <w:tcW w:w="1034" w:type="dxa"/>
            <w:vAlign w:val="center"/>
          </w:tcPr>
          <w:p w14:paraId="40E8596D"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4778" w:type="dxa"/>
            <w:vAlign w:val="center"/>
          </w:tcPr>
          <w:p w14:paraId="40E8596E"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Indica el tipo de tráfico: Detalle de Llamadas Entrantes, Local, LD, QLLP 044, QLLP 045,  800s, Operadora, Servicios Especiales (Emergencia), etc.</w:t>
            </w:r>
          </w:p>
        </w:tc>
      </w:tr>
      <w:tr w:rsidR="00422CA2" w:rsidRPr="00422CA2" w14:paraId="40E85976" w14:textId="77777777" w:rsidTr="00724106">
        <w:trPr>
          <w:trHeight w:val="250"/>
        </w:trPr>
        <w:tc>
          <w:tcPr>
            <w:tcW w:w="314" w:type="dxa"/>
            <w:shd w:val="clear" w:color="000000" w:fill="FFFFFF"/>
            <w:vAlign w:val="center"/>
          </w:tcPr>
          <w:p w14:paraId="40E85970"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8</w:t>
            </w:r>
          </w:p>
        </w:tc>
        <w:tc>
          <w:tcPr>
            <w:tcW w:w="1516" w:type="dxa"/>
            <w:shd w:val="clear" w:color="000000" w:fill="FFFFFF"/>
            <w:vAlign w:val="center"/>
          </w:tcPr>
          <w:p w14:paraId="40E85971"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NIM</w:t>
            </w:r>
          </w:p>
        </w:tc>
        <w:tc>
          <w:tcPr>
            <w:tcW w:w="514" w:type="dxa"/>
            <w:shd w:val="clear" w:color="000000" w:fill="FFFFFF"/>
            <w:vAlign w:val="center"/>
          </w:tcPr>
          <w:p w14:paraId="40E85972"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shd w:val="clear" w:color="000000" w:fill="FFFFFF"/>
            <w:vAlign w:val="center"/>
          </w:tcPr>
          <w:p w14:paraId="40E85973"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9(01)</w:t>
            </w:r>
          </w:p>
        </w:tc>
        <w:tc>
          <w:tcPr>
            <w:tcW w:w="1034" w:type="dxa"/>
            <w:shd w:val="clear" w:color="000000" w:fill="FFFFFF"/>
            <w:vAlign w:val="center"/>
          </w:tcPr>
          <w:p w14:paraId="40E85974"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4778" w:type="dxa"/>
            <w:shd w:val="clear" w:color="000000" w:fill="FFFFFF"/>
            <w:vAlign w:val="center"/>
          </w:tcPr>
          <w:p w14:paraId="40E85975" w14:textId="6655CBD2"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0:Nacional, 1:Internacional, 2:Mundial, 9: Local. En caso de no usarse se llenará con ceros.</w:t>
            </w:r>
          </w:p>
        </w:tc>
      </w:tr>
      <w:tr w:rsidR="00422CA2" w:rsidRPr="00422CA2" w14:paraId="40E8597D" w14:textId="77777777" w:rsidTr="00724106">
        <w:trPr>
          <w:trHeight w:val="250"/>
        </w:trPr>
        <w:tc>
          <w:tcPr>
            <w:tcW w:w="314" w:type="dxa"/>
            <w:shd w:val="clear" w:color="000000" w:fill="FFFFFF"/>
            <w:vAlign w:val="center"/>
          </w:tcPr>
          <w:p w14:paraId="40E85977"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w:t>
            </w:r>
          </w:p>
        </w:tc>
        <w:tc>
          <w:tcPr>
            <w:tcW w:w="1516" w:type="dxa"/>
            <w:shd w:val="clear" w:color="000000" w:fill="FFFFFF"/>
            <w:vAlign w:val="center"/>
          </w:tcPr>
          <w:p w14:paraId="40E85978"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x Cobrar</w:t>
            </w:r>
          </w:p>
        </w:tc>
        <w:tc>
          <w:tcPr>
            <w:tcW w:w="514" w:type="dxa"/>
            <w:shd w:val="clear" w:color="000000" w:fill="FFFFFF"/>
            <w:vAlign w:val="center"/>
          </w:tcPr>
          <w:p w14:paraId="40E85979"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shd w:val="clear" w:color="000000" w:fill="FFFFFF"/>
            <w:vAlign w:val="center"/>
          </w:tcPr>
          <w:p w14:paraId="40E8597A"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9(01)</w:t>
            </w:r>
          </w:p>
        </w:tc>
        <w:tc>
          <w:tcPr>
            <w:tcW w:w="1034" w:type="dxa"/>
            <w:shd w:val="clear" w:color="000000" w:fill="FFFFFF"/>
            <w:vAlign w:val="center"/>
          </w:tcPr>
          <w:p w14:paraId="40E8597B"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4778" w:type="dxa"/>
            <w:shd w:val="clear" w:color="000000" w:fill="FFFFFF"/>
            <w:vAlign w:val="center"/>
          </w:tcPr>
          <w:p w14:paraId="40E8597C" w14:textId="268BCB40"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2: Por Cobrar (Cobro en el destino), 4: Normal (Cobro en el origen)</w:t>
            </w:r>
          </w:p>
        </w:tc>
      </w:tr>
      <w:tr w:rsidR="00422CA2" w:rsidRPr="00422CA2" w14:paraId="40E85984" w14:textId="77777777" w:rsidTr="00724106">
        <w:trPr>
          <w:trHeight w:val="250"/>
        </w:trPr>
        <w:tc>
          <w:tcPr>
            <w:tcW w:w="314" w:type="dxa"/>
            <w:vAlign w:val="center"/>
          </w:tcPr>
          <w:p w14:paraId="40E8597E"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10</w:t>
            </w:r>
          </w:p>
        </w:tc>
        <w:tc>
          <w:tcPr>
            <w:tcW w:w="1516" w:type="dxa"/>
            <w:vAlign w:val="center"/>
          </w:tcPr>
          <w:p w14:paraId="40E8597F"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Filler</w:t>
            </w:r>
          </w:p>
        </w:tc>
        <w:tc>
          <w:tcPr>
            <w:tcW w:w="514" w:type="dxa"/>
            <w:vAlign w:val="center"/>
          </w:tcPr>
          <w:p w14:paraId="40E85980"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C</w:t>
            </w:r>
          </w:p>
        </w:tc>
        <w:tc>
          <w:tcPr>
            <w:tcW w:w="905" w:type="dxa"/>
            <w:vAlign w:val="center"/>
          </w:tcPr>
          <w:p w14:paraId="40E85981"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X(44)</w:t>
            </w:r>
          </w:p>
        </w:tc>
        <w:tc>
          <w:tcPr>
            <w:tcW w:w="1034" w:type="dxa"/>
            <w:vAlign w:val="center"/>
          </w:tcPr>
          <w:p w14:paraId="40E85982"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44</w:t>
            </w:r>
          </w:p>
        </w:tc>
        <w:tc>
          <w:tcPr>
            <w:tcW w:w="4778" w:type="dxa"/>
            <w:vAlign w:val="center"/>
          </w:tcPr>
          <w:p w14:paraId="40E85983" w14:textId="5945FD26"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Caracteres en blanco para completar la longitud del registro a 100 posiciones.</w:t>
            </w:r>
          </w:p>
        </w:tc>
      </w:tr>
      <w:tr w:rsidR="00422CA2" w:rsidRPr="00422CA2" w14:paraId="40E8598B" w14:textId="77777777" w:rsidTr="00724106">
        <w:trPr>
          <w:trHeight w:val="250"/>
        </w:trPr>
        <w:tc>
          <w:tcPr>
            <w:tcW w:w="314" w:type="dxa"/>
            <w:vAlign w:val="center"/>
          </w:tcPr>
          <w:p w14:paraId="40E85985" w14:textId="77777777" w:rsidR="00530A32" w:rsidRPr="00422CA2" w:rsidRDefault="00530A32" w:rsidP="00724106">
            <w:pPr>
              <w:spacing w:before="60" w:after="60" w:line="276" w:lineRule="auto"/>
              <w:jc w:val="center"/>
              <w:rPr>
                <w:rFonts w:ascii="ITC Avant Garde" w:hAnsi="ITC Avant Garde"/>
                <w:sz w:val="16"/>
              </w:rPr>
            </w:pPr>
          </w:p>
        </w:tc>
        <w:tc>
          <w:tcPr>
            <w:tcW w:w="1516" w:type="dxa"/>
            <w:vAlign w:val="center"/>
          </w:tcPr>
          <w:p w14:paraId="40E85986" w14:textId="77777777" w:rsidR="00530A32" w:rsidRPr="00422CA2" w:rsidRDefault="00011A1B" w:rsidP="0034739A">
            <w:pPr>
              <w:spacing w:before="60" w:after="60" w:line="276" w:lineRule="auto"/>
              <w:jc w:val="center"/>
              <w:rPr>
                <w:rFonts w:ascii="ITC Avant Garde" w:hAnsi="ITC Avant Garde"/>
                <w:b/>
                <w:sz w:val="16"/>
              </w:rPr>
            </w:pPr>
            <w:r w:rsidRPr="00422CA2">
              <w:rPr>
                <w:rFonts w:ascii="ITC Avant Garde" w:hAnsi="ITC Avant Garde"/>
                <w:b/>
                <w:sz w:val="16"/>
              </w:rPr>
              <w:t>REGISTRO TRAILER</w:t>
            </w:r>
          </w:p>
        </w:tc>
        <w:tc>
          <w:tcPr>
            <w:tcW w:w="514" w:type="dxa"/>
            <w:vAlign w:val="center"/>
          </w:tcPr>
          <w:p w14:paraId="40E85987" w14:textId="77777777" w:rsidR="00530A32" w:rsidRPr="00422CA2" w:rsidRDefault="00530A32" w:rsidP="00724106">
            <w:pPr>
              <w:spacing w:before="60" w:after="60" w:line="276" w:lineRule="auto"/>
              <w:jc w:val="center"/>
              <w:rPr>
                <w:rFonts w:ascii="ITC Avant Garde" w:hAnsi="ITC Avant Garde"/>
                <w:sz w:val="16"/>
              </w:rPr>
            </w:pPr>
          </w:p>
        </w:tc>
        <w:tc>
          <w:tcPr>
            <w:tcW w:w="905" w:type="dxa"/>
            <w:vAlign w:val="center"/>
          </w:tcPr>
          <w:p w14:paraId="40E85988" w14:textId="77777777" w:rsidR="00530A32" w:rsidRPr="00422CA2" w:rsidRDefault="00530A32" w:rsidP="00724106">
            <w:pPr>
              <w:spacing w:before="60" w:after="60" w:line="276" w:lineRule="auto"/>
              <w:jc w:val="center"/>
              <w:rPr>
                <w:rFonts w:ascii="ITC Avant Garde" w:hAnsi="ITC Avant Garde"/>
                <w:sz w:val="16"/>
              </w:rPr>
            </w:pPr>
          </w:p>
        </w:tc>
        <w:tc>
          <w:tcPr>
            <w:tcW w:w="1034" w:type="dxa"/>
            <w:vAlign w:val="center"/>
          </w:tcPr>
          <w:p w14:paraId="40E85989"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100</w:t>
            </w:r>
          </w:p>
        </w:tc>
        <w:tc>
          <w:tcPr>
            <w:tcW w:w="4778" w:type="dxa"/>
            <w:vAlign w:val="center"/>
          </w:tcPr>
          <w:p w14:paraId="40E8598A" w14:textId="77777777" w:rsidR="00530A32" w:rsidRPr="00422CA2" w:rsidRDefault="00530A32" w:rsidP="00724106">
            <w:pPr>
              <w:spacing w:before="60" w:after="60" w:line="276" w:lineRule="auto"/>
              <w:rPr>
                <w:rFonts w:ascii="ITC Avant Garde" w:hAnsi="ITC Avant Garde"/>
                <w:sz w:val="16"/>
              </w:rPr>
            </w:pPr>
          </w:p>
        </w:tc>
      </w:tr>
      <w:tr w:rsidR="00422CA2" w:rsidRPr="00422CA2" w14:paraId="40E85992" w14:textId="77777777" w:rsidTr="00724106">
        <w:trPr>
          <w:trHeight w:val="250"/>
        </w:trPr>
        <w:tc>
          <w:tcPr>
            <w:tcW w:w="314" w:type="dxa"/>
            <w:vAlign w:val="center"/>
          </w:tcPr>
          <w:p w14:paraId="40E8598C"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1516" w:type="dxa"/>
            <w:vAlign w:val="center"/>
          </w:tcPr>
          <w:p w14:paraId="40E8598D" w14:textId="0A7F6685"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Identificador de reg.</w:t>
            </w:r>
          </w:p>
        </w:tc>
        <w:tc>
          <w:tcPr>
            <w:tcW w:w="514" w:type="dxa"/>
            <w:vAlign w:val="center"/>
          </w:tcPr>
          <w:p w14:paraId="40E8598E"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8F"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9(01)</w:t>
            </w:r>
          </w:p>
        </w:tc>
        <w:tc>
          <w:tcPr>
            <w:tcW w:w="1034" w:type="dxa"/>
            <w:vAlign w:val="center"/>
          </w:tcPr>
          <w:p w14:paraId="40E85990"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w:t>
            </w:r>
          </w:p>
        </w:tc>
        <w:tc>
          <w:tcPr>
            <w:tcW w:w="4778" w:type="dxa"/>
            <w:vAlign w:val="center"/>
          </w:tcPr>
          <w:p w14:paraId="40E85991" w14:textId="0C2A06D6"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 xml:space="preserve"> </w:t>
            </w:r>
            <w:r w:rsidR="0034739A" w:rsidRPr="00422CA2">
              <w:rPr>
                <w:rFonts w:ascii="ITC Avant Garde" w:hAnsi="ITC Avant Garde"/>
                <w:sz w:val="16"/>
              </w:rPr>
              <w:t>Identifica</w:t>
            </w:r>
            <w:r w:rsidRPr="00422CA2">
              <w:rPr>
                <w:rFonts w:ascii="ITC Avant Garde" w:hAnsi="ITC Avant Garde"/>
                <w:sz w:val="16"/>
              </w:rPr>
              <w:t xml:space="preserve"> el tipo de registro que para el “trailer” el valor debe ser 9.</w:t>
            </w:r>
          </w:p>
        </w:tc>
      </w:tr>
      <w:tr w:rsidR="00422CA2" w:rsidRPr="00422CA2" w14:paraId="40E85999" w14:textId="77777777" w:rsidTr="00724106">
        <w:trPr>
          <w:trHeight w:val="250"/>
        </w:trPr>
        <w:tc>
          <w:tcPr>
            <w:tcW w:w="314" w:type="dxa"/>
            <w:vAlign w:val="center"/>
          </w:tcPr>
          <w:p w14:paraId="40E85993"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2</w:t>
            </w:r>
          </w:p>
        </w:tc>
        <w:tc>
          <w:tcPr>
            <w:tcW w:w="1516" w:type="dxa"/>
            <w:vAlign w:val="center"/>
          </w:tcPr>
          <w:p w14:paraId="40E85994"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Operador Emisor</w:t>
            </w:r>
          </w:p>
        </w:tc>
        <w:tc>
          <w:tcPr>
            <w:tcW w:w="514" w:type="dxa"/>
            <w:vAlign w:val="center"/>
          </w:tcPr>
          <w:p w14:paraId="40E85995"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96"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9(03)</w:t>
            </w:r>
          </w:p>
        </w:tc>
        <w:tc>
          <w:tcPr>
            <w:tcW w:w="1034" w:type="dxa"/>
            <w:vAlign w:val="center"/>
          </w:tcPr>
          <w:p w14:paraId="40E85997"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4778" w:type="dxa"/>
            <w:vAlign w:val="center"/>
          </w:tcPr>
          <w:p w14:paraId="40E85998" w14:textId="587397E6"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(CIC) del Operador que presenta los registros.</w:t>
            </w:r>
          </w:p>
        </w:tc>
      </w:tr>
      <w:tr w:rsidR="00422CA2" w:rsidRPr="00422CA2" w14:paraId="40E859A0" w14:textId="77777777" w:rsidTr="00724106">
        <w:trPr>
          <w:trHeight w:val="250"/>
        </w:trPr>
        <w:tc>
          <w:tcPr>
            <w:tcW w:w="314" w:type="dxa"/>
            <w:vAlign w:val="center"/>
          </w:tcPr>
          <w:p w14:paraId="40E8599A"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1516" w:type="dxa"/>
            <w:vAlign w:val="center"/>
          </w:tcPr>
          <w:p w14:paraId="40E8599B"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Operador Receptor</w:t>
            </w:r>
          </w:p>
        </w:tc>
        <w:tc>
          <w:tcPr>
            <w:tcW w:w="514" w:type="dxa"/>
            <w:vAlign w:val="center"/>
          </w:tcPr>
          <w:p w14:paraId="40E8599C"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9D"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9(03)</w:t>
            </w:r>
          </w:p>
        </w:tc>
        <w:tc>
          <w:tcPr>
            <w:tcW w:w="1034" w:type="dxa"/>
            <w:vAlign w:val="center"/>
          </w:tcPr>
          <w:p w14:paraId="40E8599E"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3</w:t>
            </w:r>
          </w:p>
        </w:tc>
        <w:tc>
          <w:tcPr>
            <w:tcW w:w="4778" w:type="dxa"/>
            <w:vAlign w:val="center"/>
          </w:tcPr>
          <w:p w14:paraId="40E8599F" w14:textId="3A077F01"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Clave (CIC) del CS que recibe los registros.</w:t>
            </w:r>
          </w:p>
        </w:tc>
      </w:tr>
      <w:tr w:rsidR="00422CA2" w:rsidRPr="00422CA2" w14:paraId="40E859A7" w14:textId="77777777" w:rsidTr="00724106">
        <w:trPr>
          <w:trHeight w:val="250"/>
        </w:trPr>
        <w:tc>
          <w:tcPr>
            <w:tcW w:w="314" w:type="dxa"/>
            <w:vAlign w:val="center"/>
          </w:tcPr>
          <w:p w14:paraId="40E859A1"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4</w:t>
            </w:r>
          </w:p>
        </w:tc>
        <w:tc>
          <w:tcPr>
            <w:tcW w:w="1516" w:type="dxa"/>
            <w:vAlign w:val="center"/>
          </w:tcPr>
          <w:p w14:paraId="40E859A2"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 xml:space="preserve"> Fecha proceso</w:t>
            </w:r>
          </w:p>
        </w:tc>
        <w:tc>
          <w:tcPr>
            <w:tcW w:w="514" w:type="dxa"/>
            <w:vAlign w:val="center"/>
          </w:tcPr>
          <w:p w14:paraId="40E859A3"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A4"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X(08)</w:t>
            </w:r>
          </w:p>
        </w:tc>
        <w:tc>
          <w:tcPr>
            <w:tcW w:w="1034" w:type="dxa"/>
            <w:vAlign w:val="center"/>
          </w:tcPr>
          <w:p w14:paraId="40E859A5"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8</w:t>
            </w:r>
          </w:p>
        </w:tc>
        <w:tc>
          <w:tcPr>
            <w:tcW w:w="4778" w:type="dxa"/>
            <w:vAlign w:val="center"/>
          </w:tcPr>
          <w:p w14:paraId="40E859A6" w14:textId="3721E891"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Fecha de proceso del archivo (AAAAMMDD).</w:t>
            </w:r>
          </w:p>
        </w:tc>
      </w:tr>
      <w:tr w:rsidR="00422CA2" w:rsidRPr="00422CA2" w14:paraId="40E859AE" w14:textId="77777777" w:rsidTr="00724106">
        <w:trPr>
          <w:trHeight w:val="250"/>
        </w:trPr>
        <w:tc>
          <w:tcPr>
            <w:tcW w:w="314" w:type="dxa"/>
            <w:vAlign w:val="center"/>
          </w:tcPr>
          <w:p w14:paraId="40E859A8"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5</w:t>
            </w:r>
          </w:p>
        </w:tc>
        <w:tc>
          <w:tcPr>
            <w:tcW w:w="1516" w:type="dxa"/>
            <w:vAlign w:val="center"/>
          </w:tcPr>
          <w:p w14:paraId="40E859A9"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 xml:space="preserve"> Total de llamadas</w:t>
            </w:r>
          </w:p>
        </w:tc>
        <w:tc>
          <w:tcPr>
            <w:tcW w:w="514" w:type="dxa"/>
            <w:vAlign w:val="center"/>
          </w:tcPr>
          <w:p w14:paraId="40E859AA"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N</w:t>
            </w:r>
          </w:p>
        </w:tc>
        <w:tc>
          <w:tcPr>
            <w:tcW w:w="905" w:type="dxa"/>
            <w:vAlign w:val="center"/>
          </w:tcPr>
          <w:p w14:paraId="40E859AB"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9(15)</w:t>
            </w:r>
          </w:p>
        </w:tc>
        <w:tc>
          <w:tcPr>
            <w:tcW w:w="1034" w:type="dxa"/>
            <w:vAlign w:val="center"/>
          </w:tcPr>
          <w:p w14:paraId="40E859AC"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15</w:t>
            </w:r>
          </w:p>
        </w:tc>
        <w:tc>
          <w:tcPr>
            <w:tcW w:w="4778" w:type="dxa"/>
            <w:vAlign w:val="center"/>
          </w:tcPr>
          <w:p w14:paraId="40E859AD"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Total de registros que contiene el archivo.</w:t>
            </w:r>
          </w:p>
        </w:tc>
      </w:tr>
      <w:tr w:rsidR="00422CA2" w:rsidRPr="00422CA2" w14:paraId="40E859B5" w14:textId="77777777" w:rsidTr="00724106">
        <w:trPr>
          <w:trHeight w:val="276"/>
        </w:trPr>
        <w:tc>
          <w:tcPr>
            <w:tcW w:w="314" w:type="dxa"/>
            <w:vAlign w:val="center"/>
          </w:tcPr>
          <w:p w14:paraId="40E859AF"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6</w:t>
            </w:r>
          </w:p>
        </w:tc>
        <w:tc>
          <w:tcPr>
            <w:tcW w:w="1516" w:type="dxa"/>
            <w:vAlign w:val="center"/>
          </w:tcPr>
          <w:p w14:paraId="40E859B0" w14:textId="77777777"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 xml:space="preserve"> Filler</w:t>
            </w:r>
          </w:p>
        </w:tc>
        <w:tc>
          <w:tcPr>
            <w:tcW w:w="514" w:type="dxa"/>
            <w:vAlign w:val="center"/>
          </w:tcPr>
          <w:p w14:paraId="40E859B1"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C</w:t>
            </w:r>
          </w:p>
        </w:tc>
        <w:tc>
          <w:tcPr>
            <w:tcW w:w="905" w:type="dxa"/>
            <w:vAlign w:val="center"/>
          </w:tcPr>
          <w:p w14:paraId="40E859B2" w14:textId="77777777" w:rsidR="00530A32"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X(70)</w:t>
            </w:r>
          </w:p>
        </w:tc>
        <w:tc>
          <w:tcPr>
            <w:tcW w:w="1034" w:type="dxa"/>
            <w:vAlign w:val="center"/>
          </w:tcPr>
          <w:p w14:paraId="40E859B3" w14:textId="77777777" w:rsidR="006C2115" w:rsidRPr="00422CA2" w:rsidRDefault="00011A1B" w:rsidP="00724106">
            <w:pPr>
              <w:spacing w:before="60" w:after="60" w:line="276" w:lineRule="auto"/>
              <w:jc w:val="center"/>
              <w:rPr>
                <w:rFonts w:ascii="ITC Avant Garde" w:hAnsi="ITC Avant Garde"/>
                <w:sz w:val="16"/>
              </w:rPr>
            </w:pPr>
            <w:r w:rsidRPr="00422CA2">
              <w:rPr>
                <w:rFonts w:ascii="ITC Avant Garde" w:hAnsi="ITC Avant Garde"/>
                <w:sz w:val="16"/>
              </w:rPr>
              <w:t>70</w:t>
            </w:r>
          </w:p>
        </w:tc>
        <w:tc>
          <w:tcPr>
            <w:tcW w:w="4778" w:type="dxa"/>
            <w:vAlign w:val="center"/>
          </w:tcPr>
          <w:p w14:paraId="40E859B4" w14:textId="45C902D5" w:rsidR="006C2115" w:rsidRPr="00422CA2" w:rsidRDefault="00011A1B" w:rsidP="00724106">
            <w:pPr>
              <w:spacing w:before="60" w:after="60" w:line="276" w:lineRule="auto"/>
              <w:rPr>
                <w:rFonts w:ascii="ITC Avant Garde" w:hAnsi="ITC Avant Garde"/>
                <w:sz w:val="16"/>
              </w:rPr>
            </w:pPr>
            <w:r w:rsidRPr="00422CA2">
              <w:rPr>
                <w:rFonts w:ascii="ITC Avant Garde" w:hAnsi="ITC Avant Garde"/>
                <w:sz w:val="16"/>
              </w:rPr>
              <w:t>Caracteres en blanco para completar la longitud del registro a 100 posiciones.</w:t>
            </w:r>
          </w:p>
        </w:tc>
      </w:tr>
    </w:tbl>
    <w:p w14:paraId="40E859B6" w14:textId="13DC3FC3" w:rsidR="00707393" w:rsidRPr="00422CA2" w:rsidRDefault="007F69A0">
      <w:pPr>
        <w:pStyle w:val="Textoindependiente"/>
        <w:spacing w:before="120" w:after="200" w:line="276" w:lineRule="auto"/>
        <w:rPr>
          <w:rFonts w:ascii="ITC Avant Garde" w:hAnsi="ITC Avant Garde"/>
          <w:b w:val="0"/>
          <w:sz w:val="18"/>
          <w:szCs w:val="18"/>
        </w:rPr>
      </w:pPr>
      <w:r w:rsidRPr="00422CA2">
        <w:rPr>
          <w:rFonts w:ascii="ITC Avant Garde" w:hAnsi="ITC Avant Garde"/>
          <w:b w:val="0"/>
          <w:sz w:val="18"/>
          <w:szCs w:val="18"/>
        </w:rPr>
        <w:t>Tabla 1</w:t>
      </w:r>
      <w:r w:rsidR="00A31898" w:rsidRPr="00422CA2">
        <w:rPr>
          <w:rFonts w:ascii="ITC Avant Garde" w:hAnsi="ITC Avant Garde"/>
          <w:b w:val="0"/>
          <w:sz w:val="18"/>
          <w:szCs w:val="18"/>
        </w:rPr>
        <w:t>1</w:t>
      </w:r>
      <w:r w:rsidRPr="00422CA2">
        <w:rPr>
          <w:rFonts w:ascii="ITC Avant Garde" w:hAnsi="ITC Avant Garde"/>
          <w:b w:val="0"/>
          <w:sz w:val="18"/>
          <w:szCs w:val="18"/>
        </w:rPr>
        <w:t xml:space="preserve"> </w:t>
      </w:r>
      <w:r w:rsidR="00707393" w:rsidRPr="00422CA2">
        <w:rPr>
          <w:rFonts w:ascii="ITC Avant Garde" w:hAnsi="ITC Avant Garde"/>
          <w:b w:val="0"/>
          <w:sz w:val="18"/>
          <w:szCs w:val="18"/>
        </w:rPr>
        <w:t>Registro de consumos</w:t>
      </w:r>
    </w:p>
    <w:p w14:paraId="40E859B8" w14:textId="77777777" w:rsidR="006C2115" w:rsidRPr="00422CA2" w:rsidRDefault="00011A1B" w:rsidP="00724106">
      <w:pPr>
        <w:pStyle w:val="Textoindependiente"/>
        <w:spacing w:after="200" w:line="276" w:lineRule="auto"/>
        <w:jc w:val="left"/>
        <w:rPr>
          <w:rFonts w:ascii="ITC Avant Garde" w:hAnsi="ITC Avant Garde"/>
          <w:b w:val="0"/>
          <w:sz w:val="22"/>
          <w:szCs w:val="22"/>
        </w:rPr>
      </w:pPr>
      <w:r w:rsidRPr="00422CA2">
        <w:rPr>
          <w:rFonts w:ascii="ITC Avant Garde" w:hAnsi="ITC Avant Garde"/>
          <w:b w:val="0"/>
          <w:sz w:val="22"/>
          <w:szCs w:val="22"/>
        </w:rPr>
        <w:t>Notas:</w:t>
      </w:r>
    </w:p>
    <w:p w14:paraId="40E859B9" w14:textId="77777777" w:rsidR="006C2115" w:rsidRPr="00422CA2" w:rsidRDefault="00011A1B" w:rsidP="00724106">
      <w:pPr>
        <w:pStyle w:val="Textoindependiente"/>
        <w:numPr>
          <w:ilvl w:val="0"/>
          <w:numId w:val="84"/>
        </w:numPr>
        <w:spacing w:after="200" w:line="276" w:lineRule="auto"/>
        <w:jc w:val="left"/>
        <w:rPr>
          <w:rFonts w:ascii="ITC Avant Garde" w:hAnsi="ITC Avant Garde"/>
          <w:b w:val="0"/>
          <w:sz w:val="22"/>
          <w:szCs w:val="22"/>
        </w:rPr>
      </w:pPr>
      <w:r w:rsidRPr="00422CA2">
        <w:rPr>
          <w:rFonts w:ascii="ITC Avant Garde" w:hAnsi="ITC Avant Garde"/>
          <w:b w:val="0"/>
          <w:sz w:val="22"/>
          <w:szCs w:val="22"/>
        </w:rPr>
        <w:t>En todos los campos excepto el filler, los espacios que no se utilicen se llenaran con ceros.</w:t>
      </w:r>
    </w:p>
    <w:p w14:paraId="40E859BA" w14:textId="77777777" w:rsidR="006C2115" w:rsidRPr="00422CA2" w:rsidRDefault="00011A1B" w:rsidP="00724106">
      <w:pPr>
        <w:pStyle w:val="Textoindependiente"/>
        <w:numPr>
          <w:ilvl w:val="0"/>
          <w:numId w:val="84"/>
        </w:numPr>
        <w:spacing w:after="200" w:line="276" w:lineRule="auto"/>
        <w:jc w:val="left"/>
        <w:rPr>
          <w:rFonts w:ascii="ITC Avant Garde" w:hAnsi="ITC Avant Garde"/>
          <w:b w:val="0"/>
          <w:sz w:val="22"/>
          <w:szCs w:val="22"/>
        </w:rPr>
      </w:pPr>
      <w:r w:rsidRPr="00422CA2">
        <w:rPr>
          <w:rFonts w:ascii="ITC Avant Garde" w:hAnsi="ITC Avant Garde"/>
          <w:b w:val="0"/>
          <w:sz w:val="22"/>
          <w:szCs w:val="22"/>
        </w:rPr>
        <w:t xml:space="preserve">La información estará disponible para su descarga en archivo electrónico comprimido en el sistema SIANA en </w:t>
      </w:r>
      <w:r w:rsidR="00B438B5" w:rsidRPr="00422CA2">
        <w:rPr>
          <w:rFonts w:ascii="ITC Avant Garde" w:hAnsi="ITC Avant Garde"/>
          <w:b w:val="0"/>
          <w:sz w:val="22"/>
          <w:szCs w:val="22"/>
        </w:rPr>
        <w:t>línea</w:t>
      </w:r>
      <w:r w:rsidRPr="00422CA2">
        <w:rPr>
          <w:rFonts w:ascii="ITC Avant Garde" w:hAnsi="ITC Avant Garde"/>
          <w:b w:val="0"/>
          <w:sz w:val="22"/>
          <w:szCs w:val="22"/>
        </w:rPr>
        <w:t>.</w:t>
      </w:r>
    </w:p>
    <w:p w14:paraId="1B7E4337" w14:textId="77777777" w:rsidR="00671CA3" w:rsidRPr="00422CA2" w:rsidRDefault="00011A1B" w:rsidP="00724106">
      <w:pPr>
        <w:pStyle w:val="Textoindependiente"/>
        <w:numPr>
          <w:ilvl w:val="0"/>
          <w:numId w:val="84"/>
        </w:numPr>
        <w:spacing w:after="200" w:line="276" w:lineRule="auto"/>
        <w:jc w:val="left"/>
        <w:rPr>
          <w:rFonts w:ascii="ITC Avant Garde" w:hAnsi="ITC Avant Garde"/>
          <w:b w:val="0"/>
          <w:sz w:val="22"/>
          <w:szCs w:val="22"/>
        </w:rPr>
      </w:pPr>
      <w:r w:rsidRPr="00422CA2">
        <w:rPr>
          <w:rFonts w:ascii="ITC Avant Garde" w:hAnsi="ITC Avant Garde"/>
          <w:b w:val="0"/>
          <w:sz w:val="22"/>
          <w:szCs w:val="22"/>
        </w:rPr>
        <w:t>El detalle de llamadas entrantes sólo aplica para usuarios finales que tengan contratado el servicio.</w:t>
      </w:r>
      <w:r w:rsidR="00671CA3" w:rsidRPr="00422CA2">
        <w:rPr>
          <w:rFonts w:ascii="ITC Avant Garde" w:hAnsi="ITC Avant Garde"/>
          <w:b w:val="0"/>
          <w:sz w:val="22"/>
          <w:szCs w:val="22"/>
        </w:rPr>
        <w:t xml:space="preserve">  </w:t>
      </w:r>
    </w:p>
    <w:p w14:paraId="40E859BD" w14:textId="77777777" w:rsidR="00530A32" w:rsidRPr="00422CA2" w:rsidRDefault="00011A1B" w:rsidP="004129D1">
      <w:pPr>
        <w:pStyle w:val="Ttulo1"/>
      </w:pPr>
      <w:bookmarkStart w:id="285" w:name="_Toc396337591"/>
      <w:bookmarkStart w:id="286" w:name="_Toc436840889"/>
      <w:bookmarkStart w:id="287" w:name="_Toc436846326"/>
      <w:bookmarkStart w:id="288" w:name="_Toc436848276"/>
      <w:bookmarkStart w:id="289" w:name="_Toc436856524"/>
      <w:bookmarkStart w:id="290" w:name="_Toc436862670"/>
      <w:bookmarkStart w:id="291" w:name="_Toc436866320"/>
      <w:bookmarkStart w:id="292" w:name="_Toc436870899"/>
      <w:bookmarkStart w:id="293" w:name="_Toc436875891"/>
      <w:bookmarkStart w:id="294" w:name="_Toc437602079"/>
      <w:r w:rsidRPr="00422CA2">
        <w:t>4.6</w:t>
      </w:r>
      <w:r w:rsidRPr="00422CA2">
        <w:tab/>
        <w:t>Procedimientos de contratación, modificación y baja de los servicio</w:t>
      </w:r>
      <w:bookmarkEnd w:id="285"/>
      <w:r w:rsidRPr="00422CA2">
        <w:t>s de Reventa</w:t>
      </w:r>
      <w:bookmarkEnd w:id="286"/>
      <w:bookmarkEnd w:id="287"/>
      <w:bookmarkEnd w:id="288"/>
      <w:bookmarkEnd w:id="289"/>
      <w:bookmarkEnd w:id="290"/>
      <w:bookmarkEnd w:id="291"/>
      <w:bookmarkEnd w:id="292"/>
      <w:bookmarkEnd w:id="293"/>
      <w:bookmarkEnd w:id="294"/>
    </w:p>
    <w:p w14:paraId="40E859BE" w14:textId="77777777" w:rsidR="00C50881" w:rsidRPr="00422CA2" w:rsidRDefault="00011A1B" w:rsidP="00724106">
      <w:pPr>
        <w:spacing w:after="200" w:line="276" w:lineRule="auto"/>
        <w:ind w:left="1" w:hanging="1"/>
        <w:jc w:val="both"/>
        <w:rPr>
          <w:rFonts w:ascii="ITC Avant Garde" w:hAnsi="ITC Avant Garde"/>
          <w:sz w:val="22"/>
          <w:szCs w:val="22"/>
          <w:lang w:val="es-MX"/>
        </w:rPr>
      </w:pPr>
      <w:r w:rsidRPr="00422CA2">
        <w:rPr>
          <w:rFonts w:ascii="ITC Avant Garde" w:hAnsi="ITC Avant Garde"/>
          <w:sz w:val="22"/>
          <w:szCs w:val="22"/>
          <w:lang w:val="es-MX"/>
        </w:rPr>
        <w:t xml:space="preserve">Queda establecido que mediante el envío de la solicitud, el CS consiente efectuar el pago por las actividades a realizar así como por los elementos de cobro que conforman el (los) servicio(s), en el momento que se indique en el procedimiento. Asimismo, si el CS rechaza el servicio o decide no continuar con el procedimiento, deberá liquidar el monto generado por las actividades realizadas hasta el momento que decidió terminar el procedimiento. </w:t>
      </w:r>
    </w:p>
    <w:p w14:paraId="40E859C0" w14:textId="795262B6" w:rsidR="00722202" w:rsidRPr="00422CA2" w:rsidRDefault="00011A1B" w:rsidP="00724106">
      <w:pPr>
        <w:spacing w:after="200" w:line="276" w:lineRule="auto"/>
        <w:jc w:val="both"/>
        <w:rPr>
          <w:rFonts w:ascii="ITC Avant Garde" w:hAnsi="ITC Avant Garde" w:cs="Arial"/>
          <w:b/>
          <w:sz w:val="22"/>
          <w:szCs w:val="22"/>
          <w:u w:val="single"/>
          <w:lang w:val="es-ES" w:eastAsia="es-MX"/>
        </w:rPr>
      </w:pPr>
      <w:r w:rsidRPr="00422CA2">
        <w:rPr>
          <w:rFonts w:ascii="ITC Avant Garde" w:hAnsi="ITC Avant Garde" w:cs="Arial"/>
          <w:b/>
          <w:sz w:val="22"/>
          <w:szCs w:val="22"/>
          <w:u w:val="single"/>
          <w:lang w:val="es-ES" w:eastAsia="es-MX"/>
        </w:rPr>
        <w:lastRenderedPageBreak/>
        <w:t>Procedimiento de contratación y entrega SRLT (usuarios existentes)</w:t>
      </w:r>
    </w:p>
    <w:p w14:paraId="40E859C1" w14:textId="7651655B" w:rsidR="00733222"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contratación y entrega de los servicios de Reventa de Línea y Paquetes Infinitum para el caso de usuarios existentes</w:t>
      </w:r>
      <w:r w:rsidR="00254414" w:rsidRPr="00422CA2">
        <w:rPr>
          <w:rFonts w:ascii="ITC Avant Garde" w:hAnsi="ITC Avant Garde" w:cs="Arial"/>
          <w:sz w:val="22"/>
          <w:szCs w:val="22"/>
          <w:lang w:val="es-ES" w:eastAsia="es-MX"/>
        </w:rPr>
        <w:t>. Las</w:t>
      </w:r>
      <w:r w:rsidRPr="00422CA2">
        <w:rPr>
          <w:rFonts w:ascii="ITC Avant Garde" w:hAnsi="ITC Avant Garde" w:cs="Arial"/>
          <w:sz w:val="22"/>
          <w:szCs w:val="22"/>
          <w:lang w:val="es-ES" w:eastAsia="es-MX"/>
        </w:rPr>
        <w:t xml:space="preserve">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w:t>
      </w:r>
      <w:r w:rsidRPr="00422CA2">
        <w:rPr>
          <w:rFonts w:ascii="ITC Avant Garde" w:hAnsi="ITC Avant Garde" w:cs="Arial"/>
          <w:sz w:val="22"/>
          <w:szCs w:val="22"/>
        </w:rPr>
        <w:t>; y (ii) Habilitación y aprovisionamiento del servicio solicitado, que detonará los procesos de pruebas de entrega y facturación.</w:t>
      </w:r>
    </w:p>
    <w:p w14:paraId="40E859C3" w14:textId="2DA31D1A" w:rsidR="00722202" w:rsidRPr="00422CA2" w:rsidRDefault="00011A1B" w:rsidP="00724106">
      <w:pPr>
        <w:pStyle w:val="Prrafodelista"/>
        <w:numPr>
          <w:ilvl w:val="0"/>
          <w:numId w:val="3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 xml:space="preserve">o del SEG una vez que entre en operación, indicando si para el servicio se </w:t>
      </w:r>
      <w:r w:rsidR="00DA2E9B" w:rsidRPr="00422CA2">
        <w:rPr>
          <w:rFonts w:ascii="ITC Avant Garde" w:hAnsi="ITC Avant Garde" w:cs="Arial"/>
          <w:sz w:val="22"/>
          <w:szCs w:val="22"/>
          <w:lang w:val="es-MX" w:eastAsia="es-MX"/>
        </w:rPr>
        <w:t>adquirirá</w:t>
      </w:r>
      <w:r w:rsidRPr="00422CA2">
        <w:rPr>
          <w:rFonts w:ascii="ITC Avant Garde" w:hAnsi="ITC Avant Garde" w:cs="Arial"/>
          <w:sz w:val="22"/>
          <w:szCs w:val="22"/>
          <w:lang w:val="es-MX" w:eastAsia="es-MX"/>
        </w:rPr>
        <w:t xml:space="preserve"> </w:t>
      </w:r>
      <w:r w:rsidR="00DA2E9B" w:rsidRPr="00422CA2">
        <w:rPr>
          <w:rFonts w:ascii="ITC Avant Garde" w:hAnsi="ITC Avant Garde" w:cs="Arial"/>
          <w:sz w:val="22"/>
          <w:szCs w:val="22"/>
          <w:lang w:val="es-MX" w:eastAsia="es-MX"/>
        </w:rPr>
        <w:t xml:space="preserve">un aparato telefónico con </w:t>
      </w:r>
      <w:r w:rsidRPr="00422CA2">
        <w:rPr>
          <w:rFonts w:ascii="ITC Avant Garde" w:hAnsi="ITC Avant Garde" w:cs="Arial"/>
          <w:sz w:val="22"/>
          <w:szCs w:val="22"/>
          <w:lang w:val="es-MX" w:eastAsia="es-MX"/>
        </w:rPr>
        <w:t>Telmex</w:t>
      </w:r>
      <w:r w:rsidR="00DA2E9B" w:rsidRPr="00422CA2">
        <w:rPr>
          <w:rFonts w:ascii="ITC Avant Garde" w:hAnsi="ITC Avant Garde" w:cs="Arial"/>
          <w:sz w:val="22"/>
          <w:szCs w:val="22"/>
          <w:lang w:val="es-MX" w:eastAsia="es-MX"/>
        </w:rPr>
        <w:t xml:space="preserve"> y solicitando que </w:t>
      </w:r>
      <w:r w:rsidR="00DA2E9B" w:rsidRPr="00422CA2">
        <w:rPr>
          <w:rFonts w:ascii="ITC Avant Garde" w:hAnsi="ITC Avant Garde"/>
          <w:sz w:val="22"/>
          <w:szCs w:val="22"/>
        </w:rPr>
        <w:t>sea entregado al usuario en su domicilio</w:t>
      </w:r>
      <w:r w:rsidR="00DA2E9B" w:rsidRPr="00422CA2" w:rsidDel="00430D3D">
        <w:rPr>
          <w:rFonts w:ascii="ITC Avant Garde" w:hAnsi="ITC Avant Garde" w:cs="Arial"/>
          <w:sz w:val="22"/>
          <w:szCs w:val="22"/>
          <w:lang w:val="es-MX" w:eastAsia="es-MX"/>
        </w:rPr>
        <w:t xml:space="preserve"> </w:t>
      </w:r>
      <w:r w:rsidRPr="00422CA2">
        <w:rPr>
          <w:rStyle w:val="Refdenotaalpie"/>
          <w:rFonts w:ascii="ITC Avant Garde" w:hAnsi="ITC Avant Garde" w:cs="Arial"/>
          <w:sz w:val="22"/>
          <w:szCs w:val="22"/>
          <w:lang w:val="es-MX" w:eastAsia="es-MX"/>
        </w:rPr>
        <w:footnoteReference w:id="17"/>
      </w:r>
      <w:r w:rsidR="00430D3D" w:rsidRPr="00422CA2">
        <w:rPr>
          <w:rFonts w:ascii="ITC Avant Garde" w:hAnsi="ITC Avant Garde"/>
          <w:sz w:val="22"/>
          <w:szCs w:val="22"/>
        </w:rPr>
        <w:t xml:space="preserve"> </w:t>
      </w:r>
      <w:r w:rsidR="00DA2E9B" w:rsidRPr="00422CA2">
        <w:rPr>
          <w:rFonts w:ascii="ITC Avant Garde" w:hAnsi="ITC Avant Garde"/>
          <w:sz w:val="22"/>
          <w:szCs w:val="22"/>
        </w:rPr>
        <w:t xml:space="preserve">por parte de Telmex y de no indicarlo se entenderá que el CS </w:t>
      </w:r>
      <w:r w:rsidR="00FF3866" w:rsidRPr="00422CA2">
        <w:rPr>
          <w:rFonts w:ascii="ITC Avant Garde" w:hAnsi="ITC Avant Garde"/>
          <w:sz w:val="22"/>
          <w:szCs w:val="22"/>
        </w:rPr>
        <w:t>se asegurará de que en el momento de la habilitación del SRLT</w:t>
      </w:r>
      <w:r w:rsidR="00DA2E9B" w:rsidRPr="00422CA2">
        <w:rPr>
          <w:rFonts w:ascii="ITC Avant Garde" w:hAnsi="ITC Avant Garde"/>
          <w:sz w:val="22"/>
          <w:szCs w:val="22"/>
        </w:rPr>
        <w:t xml:space="preserve"> </w:t>
      </w:r>
      <w:r w:rsidR="00FF3866" w:rsidRPr="00422CA2">
        <w:rPr>
          <w:rFonts w:ascii="ITC Avant Garde" w:hAnsi="ITC Avant Garde"/>
          <w:sz w:val="22"/>
          <w:szCs w:val="22"/>
        </w:rPr>
        <w:t>e</w:t>
      </w:r>
      <w:r w:rsidR="00DA2E9B" w:rsidRPr="00422CA2">
        <w:rPr>
          <w:rFonts w:ascii="ITC Avant Garde" w:hAnsi="ITC Avant Garde"/>
          <w:sz w:val="22"/>
          <w:szCs w:val="22"/>
        </w:rPr>
        <w:t>l usuario final</w:t>
      </w:r>
      <w:r w:rsidR="00FF3866" w:rsidRPr="00422CA2">
        <w:rPr>
          <w:rFonts w:ascii="ITC Avant Garde" w:hAnsi="ITC Avant Garde"/>
          <w:sz w:val="22"/>
          <w:szCs w:val="22"/>
        </w:rPr>
        <w:t xml:space="preserve"> contará con aparató telefónico</w:t>
      </w:r>
      <w:r w:rsidR="00430D3D" w:rsidRPr="00422CA2">
        <w:rPr>
          <w:rFonts w:ascii="ITC Avant Garde" w:hAnsi="ITC Avant Garde" w:cs="Arial"/>
          <w:sz w:val="22"/>
          <w:szCs w:val="22"/>
          <w:lang w:val="es-MX" w:eastAsia="es-MX"/>
        </w:rPr>
        <w:t>.</w:t>
      </w:r>
      <w:r w:rsidR="00430D3D" w:rsidRPr="00422CA2">
        <w:rPr>
          <w:rFonts w:ascii="ITC Avant Garde" w:hAnsi="ITC Avant Garde"/>
          <w:sz w:val="22"/>
          <w:szCs w:val="22"/>
        </w:rPr>
        <w:t xml:space="preserve"> </w:t>
      </w:r>
    </w:p>
    <w:p w14:paraId="40E859C4" w14:textId="1CB2C82F" w:rsidR="00DB5914" w:rsidRPr="00422CA2" w:rsidRDefault="00011A1B" w:rsidP="00724106">
      <w:pPr>
        <w:pStyle w:val="Prrafodelista"/>
        <w:numPr>
          <w:ilvl w:val="0"/>
          <w:numId w:val="3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 xml:space="preserve">La solicitud del CS será validada en un plazo máximo de 1 día hábil, se dará seguimiento a la solicitud con un folio hasta que se asigne un Número de Identificación de Solicitud (NIS), si la solicitud no cumple con la información correspondiente, será devuelta al CS </w:t>
      </w:r>
      <w:r w:rsidR="00430D3D" w:rsidRPr="00422CA2">
        <w:rPr>
          <w:rFonts w:ascii="ITC Avant Garde" w:hAnsi="ITC Avant Garde"/>
          <w:sz w:val="22"/>
          <w:szCs w:val="22"/>
          <w:lang w:val="es-ES"/>
        </w:rPr>
        <w:t xml:space="preserve">junto con el motivo por el cual no fue validada la solicitud </w:t>
      </w:r>
      <w:r w:rsidRPr="00422CA2">
        <w:rPr>
          <w:rFonts w:ascii="ITC Avant Garde" w:hAnsi="ITC Avant Garde"/>
          <w:sz w:val="22"/>
          <w:szCs w:val="22"/>
          <w:lang w:val="es-ES"/>
        </w:rPr>
        <w:t>para que sea corregida y reenviada a Telmex a fin de que vuelva a ser validad</w:t>
      </w:r>
      <w:r w:rsidR="00430D3D" w:rsidRPr="00422CA2">
        <w:rPr>
          <w:rFonts w:ascii="ITC Avant Garde" w:hAnsi="ITC Avant Garde"/>
          <w:sz w:val="22"/>
          <w:szCs w:val="22"/>
          <w:lang w:val="es-ES"/>
        </w:rPr>
        <w:t>a.</w:t>
      </w:r>
      <w:r w:rsidRPr="00422CA2">
        <w:rPr>
          <w:rFonts w:ascii="ITC Avant Garde" w:hAnsi="ITC Avant Garde"/>
          <w:sz w:val="22"/>
          <w:szCs w:val="22"/>
          <w:lang w:val="es-ES"/>
        </w:rPr>
        <w:t xml:space="preserve"> </w:t>
      </w:r>
    </w:p>
    <w:p w14:paraId="6CA72A8A" w14:textId="26569D0B" w:rsidR="009F78DD" w:rsidRPr="00422CA2" w:rsidRDefault="00011A1B" w:rsidP="00724106">
      <w:pPr>
        <w:pStyle w:val="Prrafodelista"/>
        <w:numPr>
          <w:ilvl w:val="0"/>
          <w:numId w:val="3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validado la solicitud, se asignará un NIS y el servicio quedará habilitado en un plazo no mayor a 5 días hábiles los cuales </w:t>
      </w:r>
      <w:r w:rsidR="00D67530" w:rsidRPr="00422CA2">
        <w:rPr>
          <w:rFonts w:ascii="ITC Avant Garde" w:hAnsi="ITC Avant Garde" w:cs="Arial"/>
          <w:sz w:val="22"/>
          <w:szCs w:val="22"/>
        </w:rPr>
        <w:t xml:space="preserve">se </w:t>
      </w:r>
      <w:r w:rsidRPr="00422CA2">
        <w:rPr>
          <w:rFonts w:ascii="ITC Avant Garde" w:hAnsi="ITC Avant Garde" w:cs="Arial"/>
          <w:sz w:val="22"/>
          <w:szCs w:val="22"/>
        </w:rPr>
        <w:t>contarán a partir del ingreso de la solicitud.</w:t>
      </w:r>
    </w:p>
    <w:p w14:paraId="40E859C7" w14:textId="77777777" w:rsidR="00F1790D" w:rsidRPr="00422CA2" w:rsidRDefault="00011A1B" w:rsidP="00724106">
      <w:pPr>
        <w:pStyle w:val="Prrafodelista"/>
        <w:numPr>
          <w:ilvl w:val="0"/>
          <w:numId w:val="35"/>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Cuando el servicio esté habilitado los resultados de la prueba realizada en el momento de la habilitación del servicio se capturarán en el Sistema de Captura o en el SEG cuando entre en operación, para que el CS pueda consultarlas; así mismo, se cargarán los gastos de habilitación, y </w:t>
      </w:r>
    </w:p>
    <w:p w14:paraId="40E859C8" w14:textId="05C39B7D" w:rsidR="00722202" w:rsidRPr="00422CA2" w:rsidRDefault="00011A1B" w:rsidP="00724106">
      <w:pPr>
        <w:pStyle w:val="Prrafodelista"/>
        <w:numPr>
          <w:ilvl w:val="0"/>
          <w:numId w:val="35"/>
        </w:numPr>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Al corte del mes se realizará la facturación de la renta correspondiente, contando el CS con la posibilidad de solicitar ajustes o aclaraciones respecto a la cantidad de los servicios incluidos en su factura</w:t>
      </w:r>
      <w:r w:rsidR="009F78DD" w:rsidRPr="00422CA2">
        <w:rPr>
          <w:rFonts w:ascii="ITC Avant Garde" w:hAnsi="ITC Avant Garde" w:cs="Arial"/>
          <w:sz w:val="22"/>
          <w:szCs w:val="22"/>
        </w:rPr>
        <w:t>.</w:t>
      </w:r>
    </w:p>
    <w:p w14:paraId="40E859CA" w14:textId="018807C6" w:rsidR="007C70D0"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y entrega SRI</w:t>
      </w:r>
      <w:r w:rsidR="009F78DD" w:rsidRPr="00422CA2">
        <w:rPr>
          <w:rFonts w:ascii="ITC Avant Garde" w:hAnsi="ITC Avant Garde" w:cs="Arial"/>
          <w:b/>
          <w:sz w:val="22"/>
          <w:szCs w:val="22"/>
          <w:lang w:val="es-ES" w:eastAsia="es-MX"/>
        </w:rPr>
        <w:t xml:space="preserve"> y SRPI</w:t>
      </w:r>
      <w:r w:rsidRPr="00422CA2">
        <w:rPr>
          <w:rFonts w:ascii="ITC Avant Garde" w:hAnsi="ITC Avant Garde" w:cs="Arial"/>
          <w:b/>
          <w:sz w:val="22"/>
          <w:szCs w:val="22"/>
          <w:lang w:val="es-ES" w:eastAsia="es-MX"/>
        </w:rPr>
        <w:t xml:space="preserve"> (usuarios existentes)</w:t>
      </w:r>
    </w:p>
    <w:p w14:paraId="40E859CB" w14:textId="4354FA56" w:rsidR="008E5A88"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contratación y entrega del SRI </w:t>
      </w:r>
      <w:r w:rsidR="009F3168" w:rsidRPr="00422CA2">
        <w:rPr>
          <w:rFonts w:ascii="ITC Avant Garde" w:hAnsi="ITC Avant Garde" w:cs="Arial"/>
          <w:sz w:val="22"/>
          <w:szCs w:val="22"/>
          <w:lang w:val="es-ES" w:eastAsia="es-MX"/>
        </w:rPr>
        <w:t xml:space="preserve">y SRPI </w:t>
      </w:r>
      <w:r w:rsidRPr="00422CA2">
        <w:rPr>
          <w:rFonts w:ascii="ITC Avant Garde" w:hAnsi="ITC Avant Garde" w:cs="Arial"/>
          <w:sz w:val="22"/>
          <w:szCs w:val="22"/>
          <w:lang w:val="es-ES" w:eastAsia="es-MX"/>
        </w:rPr>
        <w:t xml:space="preserve">para el caso de usuarios existentes;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 xml:space="preserve">Análisis de </w:t>
      </w:r>
      <w:r w:rsidR="00751F97" w:rsidRPr="00422CA2">
        <w:rPr>
          <w:rFonts w:ascii="ITC Avant Garde" w:hAnsi="ITC Avant Garde" w:cs="Arial"/>
          <w:sz w:val="22"/>
          <w:szCs w:val="22"/>
        </w:rPr>
        <w:t>f</w:t>
      </w:r>
      <w:r w:rsidRPr="00422CA2">
        <w:rPr>
          <w:rFonts w:ascii="ITC Avant Garde" w:hAnsi="ITC Avant Garde" w:cs="Arial"/>
          <w:sz w:val="22"/>
          <w:szCs w:val="22"/>
        </w:rPr>
        <w:t xml:space="preserve">actibilidad </w:t>
      </w:r>
      <w:r w:rsidR="00751F97" w:rsidRPr="00422CA2">
        <w:rPr>
          <w:rFonts w:ascii="ITC Avant Garde" w:hAnsi="ITC Avant Garde" w:cs="Arial"/>
          <w:sz w:val="22"/>
          <w:szCs w:val="22"/>
        </w:rPr>
        <w:t xml:space="preserve">de perfil solicitado </w:t>
      </w:r>
      <w:r w:rsidR="00F26B64" w:rsidRPr="00422CA2">
        <w:rPr>
          <w:rFonts w:ascii="ITC Avant Garde" w:hAnsi="ITC Avant Garde" w:cs="Arial"/>
          <w:sz w:val="22"/>
          <w:szCs w:val="22"/>
        </w:rPr>
        <w:t>sólo</w:t>
      </w:r>
      <w:r w:rsidR="001C689A" w:rsidRPr="00422CA2">
        <w:rPr>
          <w:rFonts w:ascii="ITC Avant Garde" w:hAnsi="ITC Avant Garde" w:cs="Arial"/>
          <w:sz w:val="22"/>
          <w:szCs w:val="22"/>
        </w:rPr>
        <w:t xml:space="preserve"> en caso de que sea diferente al actualmente proporcionado </w:t>
      </w:r>
      <w:r w:rsidRPr="00422CA2">
        <w:rPr>
          <w:rFonts w:ascii="ITC Avant Garde" w:hAnsi="ITC Avant Garde" w:cs="Arial"/>
          <w:sz w:val="22"/>
          <w:szCs w:val="22"/>
        </w:rPr>
        <w:t>a fin de que Telmex pueda verificar que cuenta con los elementos para brindar el servicio solicitado; y (iii) Habilitación y aprovisionamiento del servicio solicitado, que detonará los procesos de pruebas de entrega y facturación.</w:t>
      </w:r>
    </w:p>
    <w:p w14:paraId="40E859CD" w14:textId="60AAC63C" w:rsidR="00530A32" w:rsidRPr="00422CA2" w:rsidRDefault="00011A1B" w:rsidP="00724106">
      <w:pPr>
        <w:pStyle w:val="Prrafodelista"/>
        <w:numPr>
          <w:ilvl w:val="0"/>
          <w:numId w:val="113"/>
        </w:numPr>
        <w:autoSpaceDE w:val="0"/>
        <w:autoSpaceDN w:val="0"/>
        <w:adjustRightInd w:val="0"/>
        <w:spacing w:after="200" w:line="276" w:lineRule="auto"/>
        <w:ind w:left="708"/>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 xml:space="preserve">o del SEG una vez que entre en operación, indicando si para el servicio se habilitará el módem/ONT </w:t>
      </w:r>
      <w:r w:rsidR="00630BDC" w:rsidRPr="00422CA2">
        <w:rPr>
          <w:rFonts w:ascii="ITC Avant Garde" w:hAnsi="ITC Avant Garde" w:cs="Arial"/>
          <w:sz w:val="22"/>
          <w:szCs w:val="22"/>
          <w:lang w:val="es-MX" w:eastAsia="es-MX"/>
        </w:rPr>
        <w:t xml:space="preserve">y/o aparato telefónico </w:t>
      </w:r>
      <w:r w:rsidRPr="00422CA2">
        <w:rPr>
          <w:rFonts w:ascii="ITC Avant Garde" w:hAnsi="ITC Avant Garde" w:cs="Arial"/>
          <w:sz w:val="22"/>
          <w:szCs w:val="22"/>
          <w:lang w:val="es-MX" w:eastAsia="es-MX"/>
        </w:rPr>
        <w:t>con el que operaba el servicio de Telmex</w:t>
      </w:r>
      <w:r w:rsidR="00AE5AE8" w:rsidRPr="00422CA2">
        <w:rPr>
          <w:rFonts w:ascii="ITC Avant Garde" w:hAnsi="ITC Avant Garde" w:cs="Arial"/>
          <w:sz w:val="22"/>
          <w:szCs w:val="22"/>
          <w:lang w:val="es-MX" w:eastAsia="es-MX"/>
        </w:rPr>
        <w:t xml:space="preserve"> o </w:t>
      </w:r>
      <w:r w:rsidRPr="00422CA2">
        <w:rPr>
          <w:rFonts w:ascii="ITC Avant Garde" w:hAnsi="ITC Avant Garde" w:cs="Arial"/>
          <w:sz w:val="22"/>
          <w:szCs w:val="22"/>
          <w:lang w:val="es-MX" w:eastAsia="es-MX"/>
        </w:rPr>
        <w:t xml:space="preserve">si </w:t>
      </w:r>
      <w:r w:rsidR="00AE5AE8" w:rsidRPr="00422CA2">
        <w:rPr>
          <w:rFonts w:ascii="ITC Avant Garde" w:hAnsi="ITC Avant Garde" w:cs="Arial"/>
          <w:sz w:val="22"/>
          <w:szCs w:val="22"/>
          <w:lang w:val="es-MX" w:eastAsia="es-MX"/>
        </w:rPr>
        <w:t>se</w:t>
      </w:r>
      <w:r w:rsidRPr="00422CA2">
        <w:rPr>
          <w:rFonts w:ascii="ITC Avant Garde" w:hAnsi="ITC Avant Garde" w:cs="Arial"/>
          <w:sz w:val="22"/>
          <w:szCs w:val="22"/>
          <w:lang w:val="es-MX" w:eastAsia="es-MX"/>
        </w:rPr>
        <w:t xml:space="preserve"> solicitará la entrega de módem/ONT blanco</w:t>
      </w:r>
      <w:r w:rsidR="00630BDC" w:rsidRPr="00422CA2">
        <w:rPr>
          <w:rFonts w:ascii="ITC Avant Garde" w:hAnsi="ITC Avant Garde" w:cs="Arial"/>
          <w:sz w:val="22"/>
          <w:szCs w:val="22"/>
          <w:lang w:val="es-MX" w:eastAsia="es-MX"/>
        </w:rPr>
        <w:t xml:space="preserve"> y/o aparato telefónico</w:t>
      </w:r>
      <w:r w:rsidRPr="00422CA2">
        <w:rPr>
          <w:rStyle w:val="Refdenotaalpie"/>
          <w:rFonts w:ascii="ITC Avant Garde" w:hAnsi="ITC Avant Garde" w:cs="Arial"/>
          <w:sz w:val="22"/>
          <w:szCs w:val="22"/>
          <w:lang w:val="es-MX" w:eastAsia="es-MX"/>
        </w:rPr>
        <w:footnoteReference w:id="18"/>
      </w:r>
      <w:r w:rsidR="00AE5AE8" w:rsidRPr="00422CA2">
        <w:rPr>
          <w:rFonts w:ascii="ITC Avant Garde" w:hAnsi="ITC Avant Garde"/>
          <w:sz w:val="22"/>
          <w:szCs w:val="22"/>
        </w:rPr>
        <w:t>.</w:t>
      </w:r>
      <w:r w:rsidR="003F54A5" w:rsidRPr="00422CA2">
        <w:rPr>
          <w:rFonts w:ascii="ITC Avant Garde" w:hAnsi="ITC Avant Garde"/>
          <w:sz w:val="22"/>
          <w:szCs w:val="22"/>
        </w:rPr>
        <w:t xml:space="preserve"> </w:t>
      </w:r>
      <w:r w:rsidR="00AE5AE8" w:rsidRPr="00422CA2">
        <w:rPr>
          <w:rFonts w:ascii="ITC Avant Garde" w:hAnsi="ITC Avant Garde"/>
          <w:sz w:val="22"/>
          <w:szCs w:val="22"/>
        </w:rPr>
        <w:t>D</w:t>
      </w:r>
      <w:r w:rsidR="003F54A5" w:rsidRPr="00422CA2">
        <w:rPr>
          <w:rFonts w:ascii="ITC Avant Garde" w:hAnsi="ITC Avant Garde"/>
          <w:sz w:val="22"/>
          <w:szCs w:val="22"/>
        </w:rPr>
        <w:t>e no indicar</w:t>
      </w:r>
      <w:r w:rsidR="000871CA" w:rsidRPr="00422CA2">
        <w:rPr>
          <w:rFonts w:ascii="ITC Avant Garde" w:hAnsi="ITC Avant Garde"/>
          <w:sz w:val="22"/>
          <w:szCs w:val="22"/>
        </w:rPr>
        <w:t>se lo anterior,</w:t>
      </w:r>
      <w:r w:rsidR="00AE5AE8" w:rsidRPr="00422CA2">
        <w:rPr>
          <w:rFonts w:ascii="ITC Avant Garde" w:hAnsi="ITC Avant Garde"/>
          <w:sz w:val="22"/>
          <w:szCs w:val="22"/>
        </w:rPr>
        <w:t xml:space="preserve"> </w:t>
      </w:r>
      <w:r w:rsidR="003F54A5" w:rsidRPr="00422CA2">
        <w:rPr>
          <w:rFonts w:ascii="ITC Avant Garde" w:hAnsi="ITC Avant Garde"/>
          <w:sz w:val="22"/>
          <w:szCs w:val="22"/>
        </w:rPr>
        <w:t xml:space="preserve">se entenderá que el CS se asegurará de que en el momento de la habilitación del SRI o SRPI el usuario final contará con </w:t>
      </w:r>
      <w:r w:rsidR="003C54CC" w:rsidRPr="00422CA2">
        <w:rPr>
          <w:rFonts w:ascii="ITC Avant Garde" w:hAnsi="ITC Avant Garde" w:cs="Arial"/>
          <w:sz w:val="22"/>
          <w:szCs w:val="22"/>
          <w:lang w:val="es-MX" w:eastAsia="es-MX"/>
        </w:rPr>
        <w:t xml:space="preserve">módem/ONT </w:t>
      </w:r>
      <w:r w:rsidR="003C54CC" w:rsidRPr="00422CA2">
        <w:rPr>
          <w:rFonts w:ascii="ITC Avant Garde" w:hAnsi="ITC Avant Garde"/>
          <w:sz w:val="22"/>
          <w:szCs w:val="22"/>
        </w:rPr>
        <w:t xml:space="preserve">y/o </w:t>
      </w:r>
      <w:r w:rsidR="003F54A5" w:rsidRPr="00422CA2">
        <w:rPr>
          <w:rFonts w:ascii="ITC Avant Garde" w:hAnsi="ITC Avant Garde"/>
          <w:sz w:val="22"/>
          <w:szCs w:val="22"/>
        </w:rPr>
        <w:t>aparat</w:t>
      </w:r>
      <w:r w:rsidR="003C54CC" w:rsidRPr="00422CA2">
        <w:rPr>
          <w:rFonts w:ascii="ITC Avant Garde" w:hAnsi="ITC Avant Garde"/>
          <w:sz w:val="22"/>
          <w:szCs w:val="22"/>
        </w:rPr>
        <w:t>ó telefónico</w:t>
      </w:r>
      <w:r w:rsidR="000871CA" w:rsidRPr="00422CA2">
        <w:rPr>
          <w:rFonts w:ascii="ITC Avant Garde" w:hAnsi="ITC Avant Garde"/>
          <w:sz w:val="22"/>
          <w:szCs w:val="22"/>
        </w:rPr>
        <w:t>.</w:t>
      </w:r>
    </w:p>
    <w:p w14:paraId="40E859CE" w14:textId="1B94BFAB" w:rsidR="00530A32" w:rsidRPr="00422CA2" w:rsidRDefault="00011A1B" w:rsidP="00724106">
      <w:pPr>
        <w:pStyle w:val="Prrafodelista"/>
        <w:numPr>
          <w:ilvl w:val="0"/>
          <w:numId w:val="113"/>
        </w:numPr>
        <w:autoSpaceDE w:val="0"/>
        <w:autoSpaceDN w:val="0"/>
        <w:adjustRightInd w:val="0"/>
        <w:spacing w:after="200" w:line="276" w:lineRule="auto"/>
        <w:ind w:left="708"/>
        <w:jc w:val="both"/>
        <w:rPr>
          <w:rFonts w:ascii="ITC Avant Garde" w:hAnsi="ITC Avant Garde" w:cs="Arial"/>
          <w:sz w:val="22"/>
          <w:szCs w:val="22"/>
        </w:rPr>
      </w:pPr>
      <w:r w:rsidRPr="00422CA2">
        <w:rPr>
          <w:rFonts w:ascii="ITC Avant Garde" w:hAnsi="ITC Avant Garde" w:cs="Arial"/>
          <w:sz w:val="22"/>
          <w:szCs w:val="22"/>
        </w:rPr>
        <w:t xml:space="preserve">La solicitud del CS será validada en un plazo máximo de 1 día hábil, se dará seguimiento a la solicitud con un folio hasta que se asigne un Número de Identificación de Solicitud (NIS), si la solicitud no cumple con la información correspondiente, será devuelta al CS </w:t>
      </w:r>
      <w:r w:rsidR="003C54CC" w:rsidRPr="00422CA2">
        <w:rPr>
          <w:rFonts w:ascii="ITC Avant Garde" w:hAnsi="ITC Avant Garde"/>
          <w:sz w:val="22"/>
          <w:szCs w:val="22"/>
          <w:lang w:val="es-ES"/>
        </w:rPr>
        <w:t>junto con el mo</w:t>
      </w:r>
      <w:r w:rsidR="00290604" w:rsidRPr="00422CA2">
        <w:rPr>
          <w:rFonts w:ascii="ITC Avant Garde" w:hAnsi="ITC Avant Garde"/>
          <w:sz w:val="22"/>
          <w:szCs w:val="22"/>
          <w:lang w:val="es-ES"/>
        </w:rPr>
        <w:t>tivo por el cual no fue valida</w:t>
      </w:r>
      <w:r w:rsidR="003C54CC" w:rsidRPr="00422CA2">
        <w:rPr>
          <w:rFonts w:ascii="ITC Avant Garde" w:hAnsi="ITC Avant Garde"/>
          <w:sz w:val="22"/>
          <w:szCs w:val="22"/>
          <w:lang w:val="es-ES"/>
        </w:rPr>
        <w:t xml:space="preserve"> la solicitud para que sea corregida y reenviada a Telmex a fin de que vuelva a ser validada</w:t>
      </w:r>
      <w:r w:rsidRPr="00422CA2">
        <w:rPr>
          <w:rFonts w:ascii="ITC Avant Garde" w:hAnsi="ITC Avant Garde" w:cs="Arial"/>
          <w:sz w:val="22"/>
          <w:szCs w:val="22"/>
        </w:rPr>
        <w:t>.</w:t>
      </w:r>
    </w:p>
    <w:p w14:paraId="40E859CF" w14:textId="7BFB4D50" w:rsidR="00530A32" w:rsidRPr="00422CA2" w:rsidRDefault="00011A1B" w:rsidP="00724106">
      <w:pPr>
        <w:pStyle w:val="Prrafodelista"/>
        <w:numPr>
          <w:ilvl w:val="0"/>
          <w:numId w:val="11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 xml:space="preserve">Una vez que se haya validado la solicitud, se revisará la factibilidad </w:t>
      </w:r>
      <w:r w:rsidR="00E254F0" w:rsidRPr="00422CA2">
        <w:rPr>
          <w:rFonts w:ascii="ITC Avant Garde" w:hAnsi="ITC Avant Garde" w:cs="Arial"/>
          <w:sz w:val="22"/>
          <w:szCs w:val="22"/>
        </w:rPr>
        <w:t>del perfil solicitado</w:t>
      </w:r>
      <w:r w:rsidR="00FA7B9C" w:rsidRPr="00422CA2">
        <w:rPr>
          <w:rStyle w:val="Refdenotaalpie"/>
          <w:rFonts w:ascii="ITC Avant Garde" w:hAnsi="ITC Avant Garde" w:cs="Arial"/>
          <w:sz w:val="22"/>
          <w:szCs w:val="22"/>
        </w:rPr>
        <w:footnoteReference w:id="19"/>
      </w:r>
      <w:r w:rsidR="00E254F0" w:rsidRPr="00422CA2">
        <w:rPr>
          <w:rFonts w:ascii="ITC Avant Garde" w:hAnsi="ITC Avant Garde" w:cs="Arial"/>
          <w:sz w:val="22"/>
          <w:szCs w:val="22"/>
        </w:rPr>
        <w:t xml:space="preserve"> </w:t>
      </w:r>
      <w:r w:rsidRPr="00422CA2">
        <w:rPr>
          <w:rFonts w:ascii="ITC Avant Garde" w:hAnsi="ITC Avant Garde" w:cs="Arial"/>
          <w:sz w:val="22"/>
          <w:szCs w:val="22"/>
        </w:rPr>
        <w:t xml:space="preserve">en un plazo máximo de 1 día hábil y se responderá al CS conforme a lo siguiente: </w:t>
      </w:r>
    </w:p>
    <w:p w14:paraId="3BBCB7B1" w14:textId="72D1DF09" w:rsidR="00C4610C" w:rsidRPr="00422CA2" w:rsidRDefault="00011A1B" w:rsidP="00724106">
      <w:pPr>
        <w:pStyle w:val="Prrafodelista"/>
        <w:numPr>
          <w:ilvl w:val="1"/>
          <w:numId w:val="132"/>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el perfil solicitado es factible se asignará un NIS y el servicio quedará habilitado </w:t>
      </w:r>
      <w:r w:rsidR="00C4610C" w:rsidRPr="00422CA2">
        <w:rPr>
          <w:rFonts w:ascii="ITC Avant Garde" w:hAnsi="ITC Avant Garde" w:cs="Arial"/>
          <w:sz w:val="22"/>
          <w:szCs w:val="22"/>
        </w:rPr>
        <w:t xml:space="preserve">en un plazo no mayor a 5 días hábiles </w:t>
      </w:r>
      <w:r w:rsidR="00B64B45" w:rsidRPr="00422CA2">
        <w:rPr>
          <w:rFonts w:ascii="ITC Avant Garde" w:hAnsi="ITC Avant Garde" w:cs="Arial"/>
          <w:sz w:val="22"/>
          <w:szCs w:val="22"/>
        </w:rPr>
        <w:t>contados a partir de</w:t>
      </w:r>
      <w:r w:rsidR="003627F1" w:rsidRPr="00422CA2">
        <w:rPr>
          <w:rFonts w:ascii="ITC Avant Garde" w:hAnsi="ITC Avant Garde" w:cs="Arial"/>
          <w:sz w:val="22"/>
          <w:szCs w:val="22"/>
        </w:rPr>
        <w:t>l ingreso de</w:t>
      </w:r>
      <w:r w:rsidR="00B64B45" w:rsidRPr="00422CA2">
        <w:rPr>
          <w:rFonts w:ascii="ITC Avant Garde" w:hAnsi="ITC Avant Garde" w:cs="Arial"/>
          <w:sz w:val="22"/>
          <w:szCs w:val="22"/>
        </w:rPr>
        <w:t xml:space="preserve">  la solicitud </w:t>
      </w:r>
      <w:r w:rsidR="00C4610C" w:rsidRPr="00422CA2">
        <w:rPr>
          <w:rFonts w:ascii="ITC Avant Garde" w:hAnsi="ITC Avant Garde" w:cs="Arial"/>
          <w:sz w:val="22"/>
          <w:szCs w:val="22"/>
        </w:rPr>
        <w:t>en los siguientes casos:</w:t>
      </w:r>
    </w:p>
    <w:p w14:paraId="0FDA6A66" w14:textId="247F7E94" w:rsidR="00C4610C" w:rsidRPr="00422CA2" w:rsidRDefault="00C4610C" w:rsidP="0072410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 xml:space="preserve">i) </w:t>
      </w:r>
      <w:r w:rsidRPr="00422CA2">
        <w:rPr>
          <w:rFonts w:ascii="ITC Avant Garde" w:hAnsi="ITC Avant Garde"/>
          <w:sz w:val="22"/>
          <w:szCs w:val="22"/>
        </w:rPr>
        <w:t xml:space="preserve">Se habilita con </w:t>
      </w:r>
      <w:r w:rsidR="00011A1B" w:rsidRPr="00422CA2">
        <w:rPr>
          <w:rFonts w:ascii="ITC Avant Garde" w:hAnsi="ITC Avant Garde"/>
          <w:sz w:val="22"/>
          <w:szCs w:val="22"/>
        </w:rPr>
        <w:t xml:space="preserve">el módem/ONT de Telmex </w:t>
      </w:r>
      <w:r w:rsidR="00BC2A8C" w:rsidRPr="00422CA2">
        <w:rPr>
          <w:rFonts w:ascii="ITC Avant Garde" w:hAnsi="ITC Avant Garde"/>
          <w:sz w:val="22"/>
          <w:szCs w:val="22"/>
        </w:rPr>
        <w:t xml:space="preserve">para el SRI o con el módem/ONT y aparato </w:t>
      </w:r>
      <w:r w:rsidR="00FB1FDE" w:rsidRPr="00422CA2">
        <w:rPr>
          <w:rFonts w:ascii="ITC Avant Garde" w:hAnsi="ITC Avant Garde"/>
          <w:sz w:val="22"/>
          <w:szCs w:val="22"/>
        </w:rPr>
        <w:t>telefónico de Telmex para</w:t>
      </w:r>
      <w:r w:rsidR="00BC2A8C" w:rsidRPr="00422CA2">
        <w:rPr>
          <w:rFonts w:ascii="ITC Avant Garde" w:hAnsi="ITC Avant Garde"/>
          <w:sz w:val="22"/>
          <w:szCs w:val="22"/>
        </w:rPr>
        <w:t xml:space="preserve"> SRPI </w:t>
      </w:r>
      <w:r w:rsidR="00011A1B" w:rsidRPr="00422CA2">
        <w:rPr>
          <w:rFonts w:ascii="ITC Avant Garde" w:hAnsi="ITC Avant Garde"/>
          <w:sz w:val="22"/>
          <w:szCs w:val="22"/>
        </w:rPr>
        <w:t>que estuviera</w:t>
      </w:r>
      <w:r w:rsidR="00FB1FDE" w:rsidRPr="00422CA2">
        <w:rPr>
          <w:rFonts w:ascii="ITC Avant Garde" w:hAnsi="ITC Avant Garde"/>
          <w:sz w:val="22"/>
          <w:szCs w:val="22"/>
        </w:rPr>
        <w:t>n</w:t>
      </w:r>
      <w:r w:rsidR="00011A1B" w:rsidRPr="00422CA2">
        <w:rPr>
          <w:rFonts w:ascii="ITC Avant Garde" w:hAnsi="ITC Avant Garde"/>
          <w:sz w:val="22"/>
          <w:szCs w:val="22"/>
        </w:rPr>
        <w:t xml:space="preserve"> en funcionamiento</w:t>
      </w:r>
      <w:r w:rsidRPr="00422CA2">
        <w:rPr>
          <w:rFonts w:ascii="ITC Avant Garde" w:hAnsi="ITC Avant Garde"/>
          <w:sz w:val="22"/>
          <w:szCs w:val="22"/>
        </w:rPr>
        <w:t>.</w:t>
      </w:r>
    </w:p>
    <w:p w14:paraId="5E5F21EA" w14:textId="72CE3313" w:rsidR="002D2D90" w:rsidRPr="00422CA2" w:rsidRDefault="00011A1B" w:rsidP="00724106">
      <w:pPr>
        <w:autoSpaceDE w:val="0"/>
        <w:autoSpaceDN w:val="0"/>
        <w:adjustRightInd w:val="0"/>
        <w:spacing w:after="200" w:line="276" w:lineRule="auto"/>
        <w:ind w:left="1434" w:hanging="357"/>
        <w:jc w:val="both"/>
        <w:rPr>
          <w:rFonts w:ascii="ITC Avant Garde" w:hAnsi="ITC Avant Garde"/>
          <w:sz w:val="22"/>
          <w:szCs w:val="22"/>
        </w:rPr>
      </w:pPr>
      <w:r w:rsidRPr="00422CA2">
        <w:rPr>
          <w:rFonts w:ascii="ITC Avant Garde" w:hAnsi="ITC Avant Garde" w:cs="Arial"/>
          <w:sz w:val="22"/>
          <w:szCs w:val="22"/>
        </w:rPr>
        <w:t xml:space="preserve"> </w:t>
      </w:r>
      <w:r w:rsidR="00C4610C" w:rsidRPr="00422CA2">
        <w:rPr>
          <w:rFonts w:ascii="ITC Avant Garde" w:hAnsi="ITC Avant Garde" w:cs="Arial"/>
          <w:sz w:val="22"/>
          <w:szCs w:val="22"/>
        </w:rPr>
        <w:t xml:space="preserve">ii) </w:t>
      </w:r>
      <w:r w:rsidR="00ED3539" w:rsidRPr="00422CA2">
        <w:rPr>
          <w:rFonts w:ascii="ITC Avant Garde" w:hAnsi="ITC Avant Garde"/>
          <w:sz w:val="22"/>
          <w:szCs w:val="22"/>
        </w:rPr>
        <w:t xml:space="preserve">Se habilita con el módem/ONT blanco entregado por el CS para el SRI o con el módem/ONT blanco y aparato telefónico entregados por el CS para el SRPI, </w:t>
      </w:r>
      <w:r w:rsidR="00290604" w:rsidRPr="00422CA2">
        <w:rPr>
          <w:rFonts w:ascii="ITC Avant Garde" w:hAnsi="ITC Avant Garde"/>
          <w:sz w:val="22"/>
          <w:szCs w:val="22"/>
        </w:rPr>
        <w:t>asegurándose</w:t>
      </w:r>
      <w:r w:rsidR="002D2D90" w:rsidRPr="00422CA2">
        <w:rPr>
          <w:rFonts w:ascii="ITC Avant Garde" w:hAnsi="ITC Avant Garde"/>
          <w:sz w:val="22"/>
          <w:szCs w:val="22"/>
        </w:rPr>
        <w:t xml:space="preserve"> el CS que en el momento de la habilitación el usuario final contará con los equipos.</w:t>
      </w:r>
    </w:p>
    <w:p w14:paraId="3F831D3A" w14:textId="4D2D6E6C" w:rsidR="002D2D90" w:rsidRPr="00422CA2" w:rsidRDefault="002D2D90" w:rsidP="00724106">
      <w:pPr>
        <w:pStyle w:val="Prrafodelista"/>
        <w:numPr>
          <w:ilvl w:val="1"/>
          <w:numId w:val="132"/>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el perfil solicitado es factible se asignará un NIS y el servicio quedará habilitado en un plazo no mayor a 7 días hábiles </w:t>
      </w:r>
      <w:r w:rsidR="003627F1" w:rsidRPr="00422CA2">
        <w:rPr>
          <w:rFonts w:ascii="ITC Avant Garde" w:hAnsi="ITC Avant Garde" w:cs="Arial"/>
          <w:sz w:val="22"/>
          <w:szCs w:val="22"/>
        </w:rPr>
        <w:t xml:space="preserve">contados </w:t>
      </w:r>
      <w:r w:rsidR="00B64B45" w:rsidRPr="00422CA2">
        <w:rPr>
          <w:rFonts w:ascii="ITC Avant Garde" w:hAnsi="ITC Avant Garde" w:cs="Arial"/>
          <w:sz w:val="22"/>
          <w:szCs w:val="22"/>
        </w:rPr>
        <w:t>a partir de</w:t>
      </w:r>
      <w:r w:rsidR="003627F1" w:rsidRPr="00422CA2">
        <w:rPr>
          <w:rFonts w:ascii="ITC Avant Garde" w:hAnsi="ITC Avant Garde" w:cs="Arial"/>
          <w:sz w:val="22"/>
          <w:szCs w:val="22"/>
        </w:rPr>
        <w:t>l ingreso de</w:t>
      </w:r>
      <w:r w:rsidR="00B64B45" w:rsidRPr="00422CA2">
        <w:rPr>
          <w:rFonts w:ascii="ITC Avant Garde" w:hAnsi="ITC Avant Garde" w:cs="Arial"/>
          <w:sz w:val="22"/>
          <w:szCs w:val="22"/>
        </w:rPr>
        <w:t xml:space="preserve"> la solicitud </w:t>
      </w:r>
      <w:r w:rsidRPr="00422CA2">
        <w:rPr>
          <w:rFonts w:ascii="ITC Avant Garde" w:hAnsi="ITC Avant Garde" w:cs="Arial"/>
          <w:sz w:val="22"/>
          <w:szCs w:val="22"/>
        </w:rPr>
        <w:t>en los casos en que Telmex deba entregar algún equipo</w:t>
      </w:r>
      <w:r w:rsidR="001C689A" w:rsidRPr="00422CA2">
        <w:rPr>
          <w:rFonts w:ascii="ITC Avant Garde" w:hAnsi="ITC Avant Garde" w:cs="Arial"/>
          <w:sz w:val="22"/>
          <w:szCs w:val="22"/>
        </w:rPr>
        <w:t xml:space="preserve"> a solicitud del CS</w:t>
      </w:r>
      <w:r w:rsidRPr="00422CA2">
        <w:rPr>
          <w:rFonts w:ascii="ITC Avant Garde" w:hAnsi="ITC Avant Garde" w:cs="Arial"/>
          <w:sz w:val="22"/>
          <w:szCs w:val="22"/>
        </w:rPr>
        <w:t>.</w:t>
      </w:r>
    </w:p>
    <w:p w14:paraId="4CEBE238" w14:textId="20893348" w:rsidR="0037057D" w:rsidRPr="00422CA2" w:rsidRDefault="00011A1B" w:rsidP="00724106">
      <w:pPr>
        <w:pStyle w:val="Prrafodelista"/>
        <w:autoSpaceDE w:val="0"/>
        <w:autoSpaceDN w:val="0"/>
        <w:adjustRightInd w:val="0"/>
        <w:spacing w:after="200" w:line="276" w:lineRule="auto"/>
        <w:ind w:left="1440"/>
        <w:jc w:val="both"/>
        <w:rPr>
          <w:rFonts w:ascii="ITC Avant Garde" w:hAnsi="ITC Avant Garde" w:cs="Arial"/>
          <w:sz w:val="22"/>
          <w:szCs w:val="22"/>
        </w:rPr>
      </w:pPr>
      <w:r w:rsidRPr="00422CA2">
        <w:rPr>
          <w:rFonts w:ascii="ITC Avant Garde" w:hAnsi="ITC Avant Garde" w:cs="Arial"/>
          <w:sz w:val="22"/>
          <w:szCs w:val="22"/>
        </w:rPr>
        <w:t>Si el perfil solicitado no es factible, se presentará al CS, a través del SC o del SEG, la justificación de los motivos, las evidencias correspondientes</w:t>
      </w:r>
      <w:r w:rsidR="003C05AA" w:rsidRPr="00422CA2">
        <w:rPr>
          <w:rFonts w:ascii="ITC Avant Garde" w:hAnsi="ITC Avant Garde" w:cs="Arial"/>
          <w:sz w:val="22"/>
          <w:szCs w:val="22"/>
        </w:rPr>
        <w:t>, incluyendo la especificación de cuál es el perfil máximo factible</w:t>
      </w:r>
      <w:r w:rsidR="00330512" w:rsidRPr="00422CA2">
        <w:rPr>
          <w:rFonts w:ascii="ITC Avant Garde" w:hAnsi="ITC Avant Garde" w:cs="Arial"/>
          <w:sz w:val="22"/>
          <w:szCs w:val="22"/>
        </w:rPr>
        <w:t>.</w:t>
      </w:r>
    </w:p>
    <w:p w14:paraId="2C47DF7E" w14:textId="77777777" w:rsidR="0034739A" w:rsidRPr="00422CA2" w:rsidRDefault="00011A1B" w:rsidP="00FF79FF">
      <w:pPr>
        <w:pStyle w:val="Prrafodelista"/>
        <w:numPr>
          <w:ilvl w:val="0"/>
          <w:numId w:val="113"/>
        </w:numPr>
        <w:spacing w:after="200" w:line="276" w:lineRule="auto"/>
        <w:ind w:left="714" w:hanging="357"/>
        <w:jc w:val="both"/>
        <w:rPr>
          <w:rFonts w:ascii="ITC Avant Garde" w:hAnsi="ITC Avant Garde" w:cs="Arial"/>
          <w:sz w:val="22"/>
          <w:szCs w:val="22"/>
        </w:rPr>
      </w:pPr>
      <w:r w:rsidRPr="00422CA2">
        <w:rPr>
          <w:rFonts w:ascii="ITC Avant Garde" w:hAnsi="ITC Avant Garde" w:cs="Arial"/>
          <w:sz w:val="22"/>
          <w:szCs w:val="22"/>
        </w:rPr>
        <w:t>Cuando el servicio esté habilitado los resultados de la prueba realizada en el momento de la habilitación del servicio se capturarán en el Sistema de Captura o en el SEG cuando entre en operación, para que el CS pueda consultarlas; así mismo, se cargarán los gastos de habilitación.</w:t>
      </w:r>
      <w:r w:rsidR="0034739A" w:rsidRPr="00422CA2">
        <w:rPr>
          <w:rFonts w:ascii="ITC Avant Garde" w:hAnsi="ITC Avant Garde" w:cs="Arial"/>
          <w:sz w:val="22"/>
          <w:szCs w:val="22"/>
        </w:rPr>
        <w:t xml:space="preserve"> </w:t>
      </w:r>
    </w:p>
    <w:p w14:paraId="40E859D3" w14:textId="5C559ED7" w:rsidR="00530A32" w:rsidRPr="00422CA2" w:rsidRDefault="00011A1B" w:rsidP="00FF79FF">
      <w:pPr>
        <w:pStyle w:val="Prrafodelista"/>
        <w:numPr>
          <w:ilvl w:val="0"/>
          <w:numId w:val="113"/>
        </w:numPr>
        <w:spacing w:after="200" w:line="276" w:lineRule="auto"/>
        <w:ind w:left="714" w:hanging="357"/>
        <w:jc w:val="both"/>
        <w:rPr>
          <w:rFonts w:ascii="ITC Avant Garde" w:hAnsi="ITC Avant Garde" w:cs="Arial"/>
          <w:sz w:val="22"/>
          <w:szCs w:val="22"/>
        </w:rPr>
      </w:pPr>
      <w:r w:rsidRPr="00422CA2">
        <w:rPr>
          <w:rFonts w:ascii="ITC Avant Garde" w:hAnsi="ITC Avant Garde" w:cs="Arial"/>
          <w:sz w:val="22"/>
          <w:szCs w:val="22"/>
        </w:rPr>
        <w:t>Al corte del mes se realizará la facturación de la renta correspondiente, contando el CS con la posibilidad de solicitar ajustes o aclaraciones respecto a la cantidad de los servicios incluidos en su factura.</w:t>
      </w:r>
    </w:p>
    <w:p w14:paraId="40E859D6" w14:textId="77777777" w:rsidR="00357F38"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y entrega SRLT, SRI y SRPI (Usuarios nuevos con y sin acometida)</w:t>
      </w:r>
    </w:p>
    <w:p w14:paraId="40E859D7" w14:textId="77777777" w:rsidR="004349B0"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lastRenderedPageBreak/>
        <w:t>El objetivo y alcance de este procedimiento es definir los pasos y actividades a desarrollar por parte de Telmex y del CS, a fin de realizar la contratación y entrega de los Servicios de Reventa para el caso de</w:t>
      </w:r>
      <w:r w:rsidRPr="00422CA2">
        <w:rPr>
          <w:rFonts w:ascii="ITC Avant Garde" w:hAnsi="ITC Avant Garde" w:cs="Arial"/>
          <w:b/>
          <w:sz w:val="22"/>
          <w:szCs w:val="22"/>
          <w:lang w:val="es-ES" w:eastAsia="es-MX"/>
        </w:rPr>
        <w:t xml:space="preserve"> </w:t>
      </w:r>
      <w:r w:rsidRPr="00422CA2">
        <w:rPr>
          <w:rFonts w:ascii="ITC Avant Garde" w:hAnsi="ITC Avant Garde" w:cs="Arial"/>
          <w:sz w:val="22"/>
          <w:szCs w:val="22"/>
          <w:lang w:val="es-ES" w:eastAsia="es-MX"/>
        </w:rPr>
        <w:t xml:space="preserve">usuarios nuevos que pueden o no tener acometida;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Análisis de Factibilidad técnica a fin de que Telmex pueda verificar que cuenta con los elementos para brindar el servicio solicitado; y (iii) Habilitación y aprovisionamiento del servicio solicitado, que detonará los procesos de pruebas de entrega y facturación.</w:t>
      </w:r>
    </w:p>
    <w:p w14:paraId="40E859D9" w14:textId="5BBB958A" w:rsidR="00357F38" w:rsidRPr="00422CA2" w:rsidRDefault="00011A1B" w:rsidP="00724106">
      <w:pPr>
        <w:pStyle w:val="Prrafodelista"/>
        <w:numPr>
          <w:ilvl w:val="0"/>
          <w:numId w:val="5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 indicando si para el suministro de los módems por parte de Telmex, prefiere la entrega vía mensajería en el domicilio del usuario o que sea recogido en Tienda, poniendo a su disposición la venta de aparatos telefónicos los cuales también se podrán entregar vía mensajería. En el caso de ONT la misma se entregará en el domicilio del usuario al momento de la instalación.</w:t>
      </w:r>
      <w:r w:rsidR="006A5239" w:rsidRPr="00422CA2">
        <w:rPr>
          <w:rFonts w:ascii="ITC Avant Garde" w:hAnsi="ITC Avant Garde" w:cs="Arial"/>
          <w:sz w:val="22"/>
          <w:szCs w:val="22"/>
          <w:lang w:val="es-MX" w:eastAsia="es-MX"/>
        </w:rPr>
        <w:t xml:space="preserve"> Adicionalmente </w:t>
      </w:r>
      <w:r w:rsidR="00A4270F" w:rsidRPr="00422CA2">
        <w:rPr>
          <w:rFonts w:ascii="ITC Avant Garde" w:hAnsi="ITC Avant Garde" w:cs="Arial"/>
          <w:sz w:val="22"/>
          <w:szCs w:val="22"/>
          <w:lang w:val="es-MX" w:eastAsia="es-MX"/>
        </w:rPr>
        <w:t>el CS</w:t>
      </w:r>
      <w:r w:rsidR="006A5239" w:rsidRPr="00422CA2">
        <w:rPr>
          <w:rFonts w:ascii="ITC Avant Garde" w:hAnsi="ITC Avant Garde" w:cs="Arial"/>
          <w:sz w:val="22"/>
          <w:szCs w:val="22"/>
          <w:lang w:val="es-MX" w:eastAsia="es-MX"/>
        </w:rPr>
        <w:t xml:space="preserve"> indicará la fecha en la que se deberá realizar la habilitación del servicio, teniendo que ser esta después del cuarto día</w:t>
      </w:r>
      <w:r w:rsidR="00B92AAB" w:rsidRPr="00422CA2">
        <w:rPr>
          <w:rFonts w:ascii="ITC Avant Garde" w:hAnsi="ITC Avant Garde" w:cs="Arial"/>
          <w:sz w:val="22"/>
          <w:szCs w:val="22"/>
          <w:lang w:val="es-MX" w:eastAsia="es-MX"/>
        </w:rPr>
        <w:t xml:space="preserve"> hábil de presentada la solicitud, para que Telme</w:t>
      </w:r>
      <w:r w:rsidR="00EC368D" w:rsidRPr="00422CA2">
        <w:rPr>
          <w:rFonts w:ascii="ITC Avant Garde" w:hAnsi="ITC Avant Garde" w:cs="Arial"/>
          <w:sz w:val="22"/>
          <w:szCs w:val="22"/>
          <w:lang w:val="es-MX" w:eastAsia="es-MX"/>
        </w:rPr>
        <w:t xml:space="preserve">x pueda coordinar cualquier aspecto </w:t>
      </w:r>
      <w:r w:rsidR="0099412F" w:rsidRPr="00422CA2">
        <w:rPr>
          <w:rFonts w:ascii="ITC Avant Garde" w:hAnsi="ITC Avant Garde" w:cs="Arial"/>
          <w:sz w:val="22"/>
          <w:szCs w:val="22"/>
          <w:lang w:val="es-MX" w:eastAsia="es-MX"/>
        </w:rPr>
        <w:t>logístico</w:t>
      </w:r>
      <w:r w:rsidR="001D6C4A" w:rsidRPr="00422CA2">
        <w:rPr>
          <w:rFonts w:ascii="ITC Avant Garde" w:hAnsi="ITC Avant Garde" w:cs="Arial"/>
          <w:sz w:val="22"/>
          <w:szCs w:val="22"/>
          <w:lang w:val="es-MX" w:eastAsia="es-MX"/>
        </w:rPr>
        <w:t xml:space="preserve"> y a partir del séptimo día hábil </w:t>
      </w:r>
      <w:r w:rsidR="007F69A0" w:rsidRPr="00422CA2">
        <w:rPr>
          <w:rFonts w:ascii="ITC Avant Garde" w:hAnsi="ITC Avant Garde" w:cs="Arial"/>
          <w:sz w:val="22"/>
          <w:szCs w:val="22"/>
          <w:lang w:val="es-MX" w:eastAsia="es-MX"/>
        </w:rPr>
        <w:t xml:space="preserve">si </w:t>
      </w:r>
      <w:r w:rsidR="001D6C4A" w:rsidRPr="00422CA2">
        <w:rPr>
          <w:rFonts w:ascii="ITC Avant Garde" w:hAnsi="ITC Avant Garde" w:cs="Arial"/>
          <w:sz w:val="22"/>
          <w:szCs w:val="22"/>
          <w:lang w:val="es-MX" w:eastAsia="es-MX"/>
        </w:rPr>
        <w:t>es que se solicita entregar equipo por mensajería.</w:t>
      </w:r>
    </w:p>
    <w:p w14:paraId="40E859DA" w14:textId="77777777" w:rsidR="00357F38" w:rsidRPr="00422CA2" w:rsidRDefault="00011A1B" w:rsidP="00724106">
      <w:pPr>
        <w:pStyle w:val="Prrafodelista"/>
        <w:numPr>
          <w:ilvl w:val="0"/>
          <w:numId w:val="5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se dará seguimiento a la solicitud con un folio hasta que se asigne un Número de Identificación de Solicitud (NIS), si la solicitud no cumple con la información correspondiente, será devuelta al CS para que sea corregida y reenviada a Telmex a fin de que vuelva a ser validada.</w:t>
      </w:r>
    </w:p>
    <w:p w14:paraId="40E859DB" w14:textId="77777777" w:rsidR="00357F38" w:rsidRPr="00422CA2" w:rsidRDefault="00011A1B" w:rsidP="00724106">
      <w:pPr>
        <w:pStyle w:val="Prrafodelista"/>
        <w:numPr>
          <w:ilvl w:val="0"/>
          <w:numId w:val="5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validado la solicitud, se revisará la factibilidad técnica en un plazo máximo de 1 día hábil y se responderá al CS conforme a lo siguiente: </w:t>
      </w:r>
    </w:p>
    <w:p w14:paraId="40E859DC" w14:textId="77777777" w:rsidR="00A31E2B" w:rsidRPr="00422CA2" w:rsidRDefault="00011A1B" w:rsidP="00724106">
      <w:pPr>
        <w:pStyle w:val="Prrafodelista"/>
        <w:numPr>
          <w:ilvl w:val="1"/>
          <w:numId w:val="46"/>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No existen facilidades asociadas, se presentará al CS, a través del SC o del SEG, la justificación de los motivos descritos en el apartado 1.4 relativo a los recursos de red asociados a los servicios, así como las evidencias correspondientes.</w:t>
      </w:r>
    </w:p>
    <w:p w14:paraId="40E859DD" w14:textId="4061EE11" w:rsidR="00357F38" w:rsidRPr="00422CA2" w:rsidRDefault="00011A1B" w:rsidP="00724106">
      <w:pPr>
        <w:pStyle w:val="Prrafodelista"/>
        <w:numPr>
          <w:ilvl w:val="1"/>
          <w:numId w:val="46"/>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Si el usuario tiene acometida</w:t>
      </w:r>
      <w:r w:rsidR="008D1DCE" w:rsidRPr="00422CA2">
        <w:rPr>
          <w:rFonts w:ascii="ITC Avant Garde" w:hAnsi="ITC Avant Garde" w:cs="Arial"/>
          <w:sz w:val="22"/>
          <w:szCs w:val="22"/>
        </w:rPr>
        <w:t xml:space="preserve"> </w:t>
      </w:r>
      <w:r w:rsidR="000540AE" w:rsidRPr="00422CA2">
        <w:rPr>
          <w:rFonts w:ascii="ITC Avant Garde" w:hAnsi="ITC Avant Garde" w:cs="Arial"/>
          <w:sz w:val="22"/>
          <w:szCs w:val="22"/>
        </w:rPr>
        <w:t>o</w:t>
      </w:r>
      <w:r w:rsidR="00D73C72" w:rsidRPr="00422CA2">
        <w:rPr>
          <w:rFonts w:ascii="ITC Avant Garde" w:hAnsi="ITC Avant Garde" w:cs="Arial"/>
          <w:sz w:val="22"/>
          <w:szCs w:val="22"/>
        </w:rPr>
        <w:t xml:space="preserve"> no cuenta con ella pero existen</w:t>
      </w:r>
      <w:r w:rsidR="000540AE" w:rsidRPr="00422CA2">
        <w:rPr>
          <w:rFonts w:ascii="ITC Avant Garde" w:hAnsi="ITC Avant Garde" w:cs="Arial"/>
          <w:sz w:val="22"/>
          <w:szCs w:val="22"/>
        </w:rPr>
        <w:t xml:space="preserve"> con recursos de red </w:t>
      </w:r>
      <w:r w:rsidRPr="00422CA2">
        <w:rPr>
          <w:rFonts w:ascii="ITC Avant Garde" w:hAnsi="ITC Avant Garde" w:cs="Arial"/>
          <w:sz w:val="22"/>
          <w:szCs w:val="22"/>
        </w:rPr>
        <w:t>se asignará un NIS, se probará</w:t>
      </w:r>
      <w:r w:rsidR="000540AE" w:rsidRPr="00422CA2">
        <w:rPr>
          <w:rFonts w:ascii="ITC Avant Garde" w:hAnsi="ITC Avant Garde" w:cs="Arial"/>
          <w:sz w:val="22"/>
          <w:szCs w:val="22"/>
        </w:rPr>
        <w:t xml:space="preserve">, se remplazará </w:t>
      </w:r>
      <w:r w:rsidR="00CA2773" w:rsidRPr="00422CA2">
        <w:rPr>
          <w:rFonts w:ascii="ITC Avant Garde" w:hAnsi="ITC Avant Garde" w:cs="Arial"/>
          <w:sz w:val="22"/>
          <w:szCs w:val="22"/>
        </w:rPr>
        <w:t xml:space="preserve">en caso de ser necesario </w:t>
      </w:r>
      <w:r w:rsidR="000540AE" w:rsidRPr="00422CA2">
        <w:rPr>
          <w:rFonts w:ascii="ITC Avant Garde" w:hAnsi="ITC Avant Garde" w:cs="Arial"/>
          <w:sz w:val="22"/>
          <w:szCs w:val="22"/>
        </w:rPr>
        <w:t>y/o se instalará la acometida</w:t>
      </w:r>
      <w:r w:rsidRPr="00422CA2">
        <w:rPr>
          <w:rFonts w:ascii="ITC Avant Garde" w:hAnsi="ITC Avant Garde" w:cs="Arial"/>
          <w:sz w:val="22"/>
          <w:szCs w:val="22"/>
        </w:rPr>
        <w:t xml:space="preserve"> </w:t>
      </w:r>
      <w:r w:rsidR="000540AE" w:rsidRPr="00422CA2">
        <w:rPr>
          <w:rFonts w:ascii="ITC Avant Garde" w:hAnsi="ITC Avant Garde" w:cs="Arial"/>
          <w:sz w:val="22"/>
          <w:szCs w:val="22"/>
        </w:rPr>
        <w:t xml:space="preserve">además de </w:t>
      </w:r>
      <w:r w:rsidRPr="00422CA2">
        <w:rPr>
          <w:rFonts w:ascii="ITC Avant Garde" w:hAnsi="ITC Avant Garde" w:cs="Arial"/>
          <w:sz w:val="22"/>
          <w:szCs w:val="22"/>
        </w:rPr>
        <w:t xml:space="preserve">habilitar </w:t>
      </w:r>
      <w:r w:rsidR="00FE5951" w:rsidRPr="00422CA2">
        <w:rPr>
          <w:rFonts w:ascii="ITC Avant Garde" w:hAnsi="ITC Avant Garde" w:cs="Arial"/>
          <w:sz w:val="22"/>
          <w:szCs w:val="22"/>
        </w:rPr>
        <w:t xml:space="preserve">el servicio </w:t>
      </w:r>
      <w:r w:rsidR="00BF7987" w:rsidRPr="00422CA2">
        <w:rPr>
          <w:rFonts w:ascii="ITC Avant Garde" w:hAnsi="ITC Avant Garde" w:cs="Arial"/>
          <w:sz w:val="22"/>
          <w:szCs w:val="22"/>
        </w:rPr>
        <w:t xml:space="preserve">el día estipulado por el CS en su solicitud. </w:t>
      </w:r>
      <w:r w:rsidR="000540AE" w:rsidRPr="00422CA2">
        <w:rPr>
          <w:rFonts w:ascii="ITC Avant Garde" w:hAnsi="ITC Avant Garde" w:cs="Arial"/>
          <w:sz w:val="22"/>
          <w:szCs w:val="22"/>
        </w:rPr>
        <w:t>Considerando lo siguiente:</w:t>
      </w:r>
    </w:p>
    <w:p w14:paraId="40E859DE" w14:textId="37EF0C64" w:rsidR="004C2747" w:rsidRPr="00422CA2" w:rsidRDefault="00011A1B" w:rsidP="00724106">
      <w:pPr>
        <w:pStyle w:val="Prrafodelista"/>
        <w:numPr>
          <w:ilvl w:val="2"/>
          <w:numId w:val="46"/>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Telmex acudió al domicilio del usuario y no fue factible probar la acometida </w:t>
      </w:r>
      <w:r w:rsidR="00D25585" w:rsidRPr="00422CA2">
        <w:rPr>
          <w:rFonts w:ascii="ITC Avant Garde" w:hAnsi="ITC Avant Garde" w:cs="Arial"/>
          <w:sz w:val="22"/>
          <w:szCs w:val="22"/>
        </w:rPr>
        <w:t xml:space="preserve">y habilitar el servicio </w:t>
      </w:r>
      <w:r w:rsidRPr="00422CA2">
        <w:rPr>
          <w:rFonts w:ascii="ITC Avant Garde" w:hAnsi="ITC Avant Garde" w:cs="Arial"/>
          <w:sz w:val="22"/>
          <w:szCs w:val="22"/>
        </w:rPr>
        <w:t xml:space="preserve">por razones asociadas al usuario o al CS, </w:t>
      </w:r>
      <w:r w:rsidRPr="00422CA2">
        <w:rPr>
          <w:rFonts w:ascii="ITC Avant Garde" w:hAnsi="ITC Avant Garde"/>
          <w:sz w:val="22"/>
          <w:szCs w:val="22"/>
        </w:rPr>
        <w:t>Telmex desde el sitio (fuera del domicilio) contactará al CS para informar que el usuario no lo atendió o no se encontró en el domicilio, Telmex esperará un tiempo máximo de 15 minutos para realizar la prueba</w:t>
      </w:r>
      <w:r w:rsidR="00D25585" w:rsidRPr="00422CA2">
        <w:rPr>
          <w:rFonts w:ascii="ITC Avant Garde" w:hAnsi="ITC Avant Garde"/>
          <w:sz w:val="22"/>
          <w:szCs w:val="22"/>
        </w:rPr>
        <w:t xml:space="preserve"> y habilitar el servicio</w:t>
      </w:r>
      <w:r w:rsidRPr="00422CA2">
        <w:rPr>
          <w:rFonts w:ascii="ITC Avant Garde" w:hAnsi="ITC Avant Garde"/>
          <w:sz w:val="22"/>
          <w:szCs w:val="22"/>
        </w:rPr>
        <w:t xml:space="preserve">, el CS tendrá este tiempo para solucionar la situación con su usuario. </w:t>
      </w:r>
      <w:r w:rsidRPr="00422CA2">
        <w:rPr>
          <w:rFonts w:ascii="ITC Avant Garde" w:hAnsi="ITC Avant Garde" w:cs="Arial"/>
          <w:sz w:val="22"/>
          <w:szCs w:val="22"/>
        </w:rPr>
        <w:t>Si durante este periodo no fue posible la prueba, el CS deberá indicar si desea realizar la reprogramación de la prueba</w:t>
      </w:r>
      <w:r w:rsidR="00D25585" w:rsidRPr="00422CA2">
        <w:rPr>
          <w:rFonts w:ascii="ITC Avant Garde" w:hAnsi="ITC Avant Garde" w:cs="Arial"/>
          <w:sz w:val="22"/>
          <w:szCs w:val="22"/>
        </w:rPr>
        <w:t xml:space="preserve"> y habilitación del servicio</w:t>
      </w:r>
      <w:r w:rsidRPr="00422CA2">
        <w:rPr>
          <w:rStyle w:val="Refdenotaalpie"/>
          <w:rFonts w:ascii="ITC Avant Garde" w:hAnsi="ITC Avant Garde" w:cs="Arial"/>
          <w:sz w:val="22"/>
          <w:szCs w:val="22"/>
        </w:rPr>
        <w:footnoteReference w:id="20"/>
      </w:r>
      <w:r w:rsidRPr="00422CA2">
        <w:rPr>
          <w:rFonts w:ascii="ITC Avant Garde" w:hAnsi="ITC Avant Garde" w:cs="Arial"/>
          <w:sz w:val="22"/>
          <w:szCs w:val="22"/>
        </w:rPr>
        <w:t xml:space="preserve"> debiendo correr a cargo del CS los gastos por la visita en falso, o bien si el CS rechaza el servicio.</w:t>
      </w:r>
    </w:p>
    <w:p w14:paraId="713129FC" w14:textId="30FC51A4" w:rsidR="00A4270F" w:rsidRPr="00422CA2" w:rsidRDefault="00011A1B" w:rsidP="00724106">
      <w:pPr>
        <w:pStyle w:val="Prrafodelista"/>
        <w:numPr>
          <w:ilvl w:val="2"/>
          <w:numId w:val="46"/>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rPr>
        <w:t>Si por causas atribuibles a Telmex</w:t>
      </w:r>
      <w:r w:rsidRPr="00422CA2">
        <w:rPr>
          <w:rFonts w:ascii="ITC Avant Garde" w:hAnsi="ITC Avant Garde" w:cs="Arial"/>
          <w:sz w:val="22"/>
          <w:szCs w:val="22"/>
          <w:vertAlign w:val="superscript"/>
        </w:rPr>
        <w:t xml:space="preserve"> </w:t>
      </w:r>
      <w:r w:rsidRPr="00422CA2">
        <w:rPr>
          <w:rFonts w:ascii="ITC Avant Garde" w:hAnsi="ITC Avant Garde"/>
          <w:sz w:val="22"/>
          <w:szCs w:val="22"/>
        </w:rPr>
        <w:t>no fue factible realizar la prueba de la acometida</w:t>
      </w:r>
      <w:r w:rsidR="00CD084E" w:rsidRPr="00422CA2">
        <w:rPr>
          <w:rFonts w:ascii="ITC Avant Garde" w:hAnsi="ITC Avant Garde"/>
          <w:sz w:val="22"/>
          <w:szCs w:val="22"/>
        </w:rPr>
        <w:t xml:space="preserve"> y habilitación del servicio</w:t>
      </w:r>
      <w:r w:rsidRPr="00422CA2">
        <w:rPr>
          <w:rFonts w:ascii="ITC Avant Garde" w:hAnsi="ITC Avant Garde"/>
          <w:sz w:val="22"/>
          <w:szCs w:val="22"/>
        </w:rPr>
        <w:t xml:space="preserve">, se informará al CS para que </w:t>
      </w:r>
      <w:r w:rsidR="00CD084E" w:rsidRPr="00422CA2">
        <w:rPr>
          <w:rFonts w:ascii="ITC Avant Garde" w:hAnsi="ITC Avant Garde"/>
          <w:sz w:val="22"/>
          <w:szCs w:val="22"/>
        </w:rPr>
        <w:t>indique a</w:t>
      </w:r>
      <w:r w:rsidRPr="00422CA2">
        <w:rPr>
          <w:rFonts w:ascii="ITC Avant Garde" w:hAnsi="ITC Avant Garde"/>
          <w:sz w:val="22"/>
          <w:szCs w:val="22"/>
        </w:rPr>
        <w:t xml:space="preserve"> Telmex la fecha de reprogramación de la misma, debiendo Tel</w:t>
      </w:r>
      <w:r w:rsidRPr="00422CA2">
        <w:rPr>
          <w:rFonts w:ascii="ITC Avant Garde" w:hAnsi="ITC Avant Garde" w:cs="Arial"/>
          <w:sz w:val="22"/>
          <w:szCs w:val="22"/>
        </w:rPr>
        <w:t>mex asumir los costos de la visita reprogramada</w:t>
      </w:r>
      <w:r w:rsidR="00CD084E" w:rsidRPr="00422CA2">
        <w:rPr>
          <w:rFonts w:ascii="ITC Avant Garde" w:hAnsi="ITC Avant Garde" w:cs="Arial"/>
          <w:sz w:val="22"/>
          <w:szCs w:val="22"/>
        </w:rPr>
        <w:t xml:space="preserve">. </w:t>
      </w:r>
    </w:p>
    <w:p w14:paraId="40E859EA" w14:textId="77777777" w:rsidR="00B434AC" w:rsidRPr="00422CA2" w:rsidRDefault="00011A1B" w:rsidP="00724106">
      <w:pPr>
        <w:spacing w:after="200" w:line="276" w:lineRule="auto"/>
        <w:jc w:val="both"/>
        <w:rPr>
          <w:rFonts w:ascii="ITC Avant Garde" w:hAnsi="ITC Avant Garde"/>
          <w:b/>
          <w:sz w:val="22"/>
          <w:szCs w:val="22"/>
        </w:rPr>
      </w:pPr>
      <w:r w:rsidRPr="00422CA2">
        <w:rPr>
          <w:rFonts w:ascii="ITC Avant Garde" w:hAnsi="ITC Avant Garde"/>
          <w:b/>
          <w:sz w:val="22"/>
          <w:szCs w:val="22"/>
          <w:lang w:val="es-ES"/>
        </w:rPr>
        <w:t>Procedimiento de modificación de velocidad del SRI</w:t>
      </w:r>
      <w:r w:rsidRPr="00422CA2">
        <w:rPr>
          <w:rFonts w:ascii="ITC Avant Garde" w:hAnsi="ITC Avant Garde"/>
          <w:b/>
          <w:sz w:val="22"/>
          <w:szCs w:val="22"/>
        </w:rPr>
        <w:t xml:space="preserve"> </w:t>
      </w:r>
    </w:p>
    <w:p w14:paraId="40E859EB" w14:textId="173BA016" w:rsidR="00B22310"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modificación de los anchos de banda del Servicio de Reventa de Infinitum a petición del </w:t>
      </w:r>
      <w:r w:rsidR="00A87889" w:rsidRPr="00422CA2">
        <w:rPr>
          <w:rFonts w:ascii="ITC Avant Garde" w:hAnsi="ITC Avant Garde" w:cs="Arial"/>
          <w:sz w:val="22"/>
          <w:szCs w:val="22"/>
          <w:lang w:val="es-ES" w:eastAsia="es-MX"/>
        </w:rPr>
        <w:t>CS</w:t>
      </w:r>
      <w:r w:rsidRPr="00422CA2">
        <w:rPr>
          <w:rFonts w:ascii="ITC Avant Garde" w:hAnsi="ITC Avant Garde" w:cs="Arial"/>
          <w:sz w:val="22"/>
          <w:szCs w:val="22"/>
          <w:lang w:val="es-ES" w:eastAsia="es-MX"/>
        </w:rPr>
        <w:t xml:space="preserve">; las fases en que se divide este procedimiento son: (i) Entrega y validación de la solicitud para que el CS manifieste su intención de modificar el ancho de banda del servicio, y la validación por parte de Telmex de que la solicitud cuenta con todos los elementos; (ii) </w:t>
      </w:r>
      <w:r w:rsidRPr="00422CA2">
        <w:rPr>
          <w:rFonts w:ascii="ITC Avant Garde" w:hAnsi="ITC Avant Garde" w:cs="Arial"/>
          <w:sz w:val="22"/>
          <w:szCs w:val="22"/>
        </w:rPr>
        <w:t xml:space="preserve">Análisis de Factibilidad técnica a fin de que Telmex pueda verificar que cuenta con los elementos para brindar el ancho de banda solicitado; y (iii) </w:t>
      </w:r>
      <w:r w:rsidRPr="00422CA2">
        <w:rPr>
          <w:rFonts w:ascii="ITC Avant Garde" w:hAnsi="ITC Avant Garde" w:cs="Arial"/>
          <w:sz w:val="22"/>
          <w:szCs w:val="22"/>
        </w:rPr>
        <w:lastRenderedPageBreak/>
        <w:t>Habilitación y aprovisionamiento del servicio con la modificación solicitada, que detonará los procesos de pruebas de entrega y facturación.</w:t>
      </w:r>
    </w:p>
    <w:p w14:paraId="40E859ED" w14:textId="77777777" w:rsidR="00B434AC" w:rsidRPr="00422CA2" w:rsidRDefault="00011A1B" w:rsidP="00724106">
      <w:pPr>
        <w:numPr>
          <w:ilvl w:val="3"/>
          <w:numId w:val="29"/>
        </w:numPr>
        <w:spacing w:after="200" w:line="276" w:lineRule="auto"/>
        <w:ind w:left="709"/>
        <w:jc w:val="both"/>
        <w:rPr>
          <w:rFonts w:ascii="ITC Avant Garde" w:hAnsi="ITC Avant Garde"/>
          <w:sz w:val="22"/>
          <w:szCs w:val="22"/>
        </w:rPr>
      </w:pPr>
      <w:r w:rsidRPr="00422CA2">
        <w:rPr>
          <w:rFonts w:ascii="ITC Avant Garde" w:hAnsi="ITC Avant Garde"/>
          <w:sz w:val="22"/>
          <w:szCs w:val="22"/>
        </w:rPr>
        <w:t xml:space="preserve">El CS deberá ingresar la solicitud correspondiente en el formato </w:t>
      </w:r>
      <w:r w:rsidRPr="00422CA2">
        <w:rPr>
          <w:rFonts w:ascii="ITC Avant Garde" w:hAnsi="ITC Avant Garde" w:cs="Arial"/>
          <w:sz w:val="22"/>
          <w:szCs w:val="22"/>
        </w:rPr>
        <w:t xml:space="preserve">a través del </w:t>
      </w:r>
      <w:r w:rsidRPr="00422CA2">
        <w:rPr>
          <w:rFonts w:ascii="ITC Avant Garde" w:hAnsi="ITC Avant Garde"/>
          <w:sz w:val="22"/>
          <w:szCs w:val="22"/>
        </w:rPr>
        <w:t>Sistema de Captura,</w:t>
      </w:r>
      <w:r w:rsidRPr="00422CA2">
        <w:rPr>
          <w:rFonts w:ascii="ITC Avant Garde" w:hAnsi="ITC Avant Garde" w:cs="Arial"/>
          <w:sz w:val="22"/>
          <w:szCs w:val="22"/>
          <w:lang w:val="es-MX" w:eastAsia="es-MX"/>
        </w:rPr>
        <w:t xml:space="preserve"> o del SEG una vez que entre en operación,</w:t>
      </w:r>
      <w:r w:rsidRPr="00422CA2">
        <w:rPr>
          <w:rFonts w:ascii="ITC Avant Garde" w:hAnsi="ITC Avant Garde"/>
          <w:sz w:val="22"/>
          <w:szCs w:val="22"/>
        </w:rPr>
        <w:t xml:space="preserve"> especificando el NIS-Referencia con el que fue contratado. </w:t>
      </w:r>
    </w:p>
    <w:p w14:paraId="40E859EE" w14:textId="77777777" w:rsidR="00B434AC" w:rsidRPr="00422CA2" w:rsidRDefault="00011A1B" w:rsidP="00724106">
      <w:pPr>
        <w:pStyle w:val="Prrafodelista"/>
        <w:numPr>
          <w:ilvl w:val="0"/>
          <w:numId w:val="2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se dará seguimiento a la solicitud con un folio hasta que se asigne un Número de Identificación de Solicitud (NIS), si la solicitud no cumple con la información correspondiente, será devuelta al CS para que sea corregida y reenviada a Telmex a fin de que vuelva a ser validada.</w:t>
      </w:r>
    </w:p>
    <w:p w14:paraId="40E859EF" w14:textId="5D9C651B" w:rsidR="00B434AC" w:rsidRPr="00422CA2" w:rsidRDefault="00011A1B" w:rsidP="00724106">
      <w:pPr>
        <w:pStyle w:val="Prrafodelista"/>
        <w:numPr>
          <w:ilvl w:val="0"/>
          <w:numId w:val="2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validado la solicitud, se revisará la factibilidad </w:t>
      </w:r>
      <w:r w:rsidR="00AD6BA5" w:rsidRPr="00422CA2">
        <w:rPr>
          <w:rFonts w:ascii="ITC Avant Garde" w:hAnsi="ITC Avant Garde" w:cs="Arial"/>
          <w:sz w:val="22"/>
          <w:szCs w:val="22"/>
        </w:rPr>
        <w:t>de modificación de ancho de banda</w:t>
      </w:r>
      <w:r w:rsidRPr="00422CA2">
        <w:rPr>
          <w:rFonts w:ascii="ITC Avant Garde" w:hAnsi="ITC Avant Garde" w:cs="Arial"/>
          <w:sz w:val="22"/>
          <w:szCs w:val="22"/>
        </w:rPr>
        <w:t xml:space="preserve"> en un plazo máximo de 1 día hábil y se responderá al CS conforme a lo siguiente: </w:t>
      </w:r>
    </w:p>
    <w:p w14:paraId="40E859F0" w14:textId="4E097EBD" w:rsidR="00B434AC" w:rsidRPr="00422CA2" w:rsidRDefault="00011A1B" w:rsidP="0072410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a.</w:t>
      </w:r>
      <w:r w:rsidRPr="00422CA2">
        <w:rPr>
          <w:rFonts w:ascii="ITC Avant Garde" w:hAnsi="ITC Avant Garde" w:cs="Arial"/>
          <w:sz w:val="22"/>
          <w:szCs w:val="22"/>
        </w:rPr>
        <w:tab/>
        <w:t>Existen facilidades, se asignará un NIS y la velocidad solicitada será habilitada en un plazo no mayor a 3 días hábiles.</w:t>
      </w:r>
    </w:p>
    <w:p w14:paraId="40E859F1" w14:textId="156C701D" w:rsidR="00C1248D" w:rsidRPr="00422CA2" w:rsidRDefault="00011A1B" w:rsidP="0072410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b.</w:t>
      </w:r>
      <w:r w:rsidRPr="00422CA2">
        <w:rPr>
          <w:rFonts w:ascii="ITC Avant Garde" w:hAnsi="ITC Avant Garde" w:cs="Arial"/>
          <w:sz w:val="22"/>
          <w:szCs w:val="22"/>
        </w:rPr>
        <w:tab/>
        <w:t>Si el perfil del servicio no es factible técnicamente derivado de una saturación de los recursos en la planta externa, se presentará al CS, a través del SC o del SEG, la justificación de los motivos descritos en el apartado 1.4 relativo a los recursos de red asociados a los servicios, así como las evidenci</w:t>
      </w:r>
      <w:r w:rsidR="00AC53FB" w:rsidRPr="00422CA2">
        <w:rPr>
          <w:rFonts w:ascii="ITC Avant Garde" w:hAnsi="ITC Avant Garde" w:cs="Arial"/>
          <w:sz w:val="22"/>
          <w:szCs w:val="22"/>
        </w:rPr>
        <w:t>as correspondientes</w:t>
      </w:r>
      <w:r w:rsidR="003C05AA" w:rsidRPr="00422CA2">
        <w:rPr>
          <w:rFonts w:ascii="ITC Avant Garde" w:hAnsi="ITC Avant Garde" w:cs="Arial"/>
          <w:sz w:val="22"/>
          <w:szCs w:val="22"/>
        </w:rPr>
        <w:t>, incluyendo la especificación de cuál es el perfil máximo factible</w:t>
      </w:r>
      <w:r w:rsidR="00AC53FB" w:rsidRPr="00422CA2">
        <w:rPr>
          <w:rFonts w:ascii="ITC Avant Garde" w:hAnsi="ITC Avant Garde" w:cs="Arial"/>
          <w:sz w:val="22"/>
          <w:szCs w:val="22"/>
        </w:rPr>
        <w:t>.</w:t>
      </w:r>
    </w:p>
    <w:p w14:paraId="40E859F2" w14:textId="48F52CDF" w:rsidR="00B434AC" w:rsidRPr="00422CA2" w:rsidRDefault="00011A1B" w:rsidP="00724106">
      <w:pPr>
        <w:pStyle w:val="Prrafodelista"/>
        <w:numPr>
          <w:ilvl w:val="0"/>
          <w:numId w:val="2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habilitado la nueva velocidad los resultados de la prueba realizada en el momento de la habilitación se capturarán en el Sistema de Captura o en el SEG cuando entre en operación, para que el CS pueda consultarlas, se realizarán los cargos por renta mensual y modificación del servicio.</w:t>
      </w:r>
      <w:r w:rsidR="00C81142" w:rsidRPr="00422CA2">
        <w:rPr>
          <w:rFonts w:ascii="ITC Avant Garde" w:hAnsi="ITC Avant Garde" w:cs="Arial"/>
          <w:sz w:val="22"/>
          <w:szCs w:val="22"/>
        </w:rPr>
        <w:t xml:space="preserve"> El </w:t>
      </w:r>
      <w:r w:rsidR="00E724B8" w:rsidRPr="00422CA2">
        <w:rPr>
          <w:rFonts w:ascii="ITC Avant Garde" w:hAnsi="ITC Avant Garde" w:cs="Arial"/>
          <w:sz w:val="22"/>
          <w:szCs w:val="22"/>
        </w:rPr>
        <w:t>cargo</w:t>
      </w:r>
      <w:r w:rsidR="00C81142" w:rsidRPr="00422CA2">
        <w:rPr>
          <w:rFonts w:ascii="ITC Avant Garde" w:hAnsi="ITC Avant Garde" w:cs="Arial"/>
          <w:sz w:val="22"/>
          <w:szCs w:val="22"/>
        </w:rPr>
        <w:t xml:space="preserve"> </w:t>
      </w:r>
      <w:r w:rsidR="00E724B8" w:rsidRPr="00422CA2">
        <w:rPr>
          <w:rFonts w:ascii="ITC Avant Garde" w:hAnsi="ITC Avant Garde" w:cs="Arial"/>
          <w:sz w:val="22"/>
          <w:szCs w:val="22"/>
        </w:rPr>
        <w:t>por</w:t>
      </w:r>
      <w:r w:rsidR="00C81142" w:rsidRPr="00422CA2">
        <w:rPr>
          <w:rFonts w:ascii="ITC Avant Garde" w:hAnsi="ITC Avant Garde" w:cs="Arial"/>
          <w:sz w:val="22"/>
          <w:szCs w:val="22"/>
        </w:rPr>
        <w:t xml:space="preserve"> modificación </w:t>
      </w:r>
      <w:r w:rsidR="00E724B8" w:rsidRPr="00422CA2">
        <w:rPr>
          <w:rFonts w:ascii="ITC Avant Garde" w:hAnsi="ITC Avant Garde" w:cs="Arial"/>
          <w:sz w:val="22"/>
          <w:szCs w:val="22"/>
        </w:rPr>
        <w:t>no podrá ser superior a lo que Telmex cobra a sus propios usuarios.</w:t>
      </w:r>
    </w:p>
    <w:p w14:paraId="40E859F4" w14:textId="59D3E7C2" w:rsidR="001661A9"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Procedimiento de Alta de Servicios Digitales. </w:t>
      </w:r>
    </w:p>
    <w:p w14:paraId="40E859F5" w14:textId="03E8345F" w:rsidR="00487CE6" w:rsidRPr="00422CA2" w:rsidRDefault="00011A1B"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activación de servicios digital</w:t>
      </w:r>
      <w:r w:rsidR="00977EFF" w:rsidRPr="00422CA2">
        <w:rPr>
          <w:rFonts w:ascii="ITC Avant Garde" w:hAnsi="ITC Avant Garde" w:cs="Arial"/>
          <w:sz w:val="22"/>
          <w:szCs w:val="22"/>
          <w:lang w:val="es-ES" w:eastAsia="es-MX"/>
        </w:rPr>
        <w:t>es a</w:t>
      </w:r>
      <w:r w:rsidRPr="00422CA2">
        <w:rPr>
          <w:rFonts w:ascii="ITC Avant Garde" w:hAnsi="ITC Avant Garde" w:cs="Arial"/>
          <w:sz w:val="22"/>
          <w:szCs w:val="22"/>
          <w:lang w:val="es-ES" w:eastAsia="es-MX"/>
        </w:rPr>
        <w:t>sociados a la línea telefónica</w:t>
      </w:r>
      <w:r w:rsidR="008B133E" w:rsidRPr="00422CA2">
        <w:rPr>
          <w:rFonts w:ascii="ITC Avant Garde" w:hAnsi="ITC Avant Garde" w:cs="Arial"/>
          <w:sz w:val="22"/>
          <w:szCs w:val="22"/>
          <w:lang w:val="es-ES" w:eastAsia="es-MX"/>
        </w:rPr>
        <w:t>,</w:t>
      </w:r>
      <w:r w:rsidR="008B133E" w:rsidRPr="00422CA2">
        <w:rPr>
          <w:rFonts w:ascii="ITC Avant Garde" w:hAnsi="ITC Avant Garde" w:cs="Arial"/>
          <w:sz w:val="22"/>
          <w:szCs w:val="22"/>
          <w:lang w:val="es-MX"/>
        </w:rPr>
        <w:t xml:space="preserve"> en caso de que el paquete contratado no incluya alguno de los servicios digitales.</w:t>
      </w:r>
      <w:r w:rsidRPr="00422CA2">
        <w:rPr>
          <w:rFonts w:ascii="ITC Avant Garde" w:hAnsi="ITC Avant Garde" w:cs="Arial"/>
          <w:sz w:val="22"/>
          <w:szCs w:val="22"/>
          <w:lang w:val="es-ES" w:eastAsia="es-MX"/>
        </w:rPr>
        <w:t xml:space="preserve"> </w:t>
      </w:r>
      <w:r w:rsidR="008B133E" w:rsidRPr="00422CA2">
        <w:rPr>
          <w:rFonts w:ascii="ITC Avant Garde" w:hAnsi="ITC Avant Garde" w:cs="Arial"/>
          <w:sz w:val="22"/>
          <w:szCs w:val="22"/>
          <w:lang w:val="es-ES" w:eastAsia="es-MX"/>
        </w:rPr>
        <w:t>L</w:t>
      </w:r>
      <w:r w:rsidRPr="00422CA2">
        <w:rPr>
          <w:rFonts w:ascii="ITC Avant Garde" w:hAnsi="ITC Avant Garde" w:cs="Arial"/>
          <w:sz w:val="22"/>
          <w:szCs w:val="22"/>
          <w:lang w:val="es-ES" w:eastAsia="es-MX"/>
        </w:rPr>
        <w:t xml:space="preserve">as fases en que se divide este procedimiento son: (i) Entrega y validación de la solicitud para que el CS manifieste su intención de activar servicios digitales en un servicio de Reventa, y la validación </w:t>
      </w:r>
      <w:r w:rsidRPr="00422CA2">
        <w:rPr>
          <w:rFonts w:ascii="ITC Avant Garde" w:hAnsi="ITC Avant Garde" w:cs="Arial"/>
          <w:sz w:val="22"/>
          <w:szCs w:val="22"/>
          <w:lang w:val="es-ES" w:eastAsia="es-MX"/>
        </w:rPr>
        <w:lastRenderedPageBreak/>
        <w:t xml:space="preserve">por parte de Telmex de que la solicitud cuenta con todos los elementos; </w:t>
      </w:r>
      <w:r w:rsidRPr="00422CA2">
        <w:rPr>
          <w:rFonts w:ascii="ITC Avant Garde" w:hAnsi="ITC Avant Garde" w:cs="Arial"/>
          <w:sz w:val="22"/>
          <w:szCs w:val="22"/>
        </w:rPr>
        <w:t>y (ii) Activación de los servicios digitales solicitados, que detonará los procesos de facturación.</w:t>
      </w:r>
    </w:p>
    <w:p w14:paraId="40E859F7" w14:textId="77777777" w:rsidR="001661A9" w:rsidRPr="00422CA2" w:rsidRDefault="00011A1B" w:rsidP="00724106">
      <w:pPr>
        <w:pStyle w:val="Prrafodelista"/>
        <w:numPr>
          <w:ilvl w:val="0"/>
          <w:numId w:val="54"/>
        </w:numPr>
        <w:autoSpaceDE w:val="0"/>
        <w:autoSpaceDN w:val="0"/>
        <w:adjustRightInd w:val="0"/>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El CS deberá ingresar la solicitud correspondiente en el formato a través del Sistema de Captura, o del SEG una vez que entre en operación, especificando el NIS</w:t>
      </w:r>
      <w:r w:rsidRPr="00422CA2">
        <w:rPr>
          <w:rFonts w:ascii="ITC Avant Garde" w:hAnsi="ITC Avant Garde"/>
          <w:sz w:val="22"/>
          <w:szCs w:val="22"/>
        </w:rPr>
        <w:t>-Referencia</w:t>
      </w:r>
      <w:r w:rsidRPr="00422CA2">
        <w:rPr>
          <w:rFonts w:ascii="ITC Avant Garde" w:hAnsi="ITC Avant Garde"/>
          <w:sz w:val="22"/>
          <w:szCs w:val="22"/>
          <w:lang w:val="es-ES"/>
        </w:rPr>
        <w:t xml:space="preserve"> con el que fue contratado. </w:t>
      </w:r>
    </w:p>
    <w:p w14:paraId="40E859F8" w14:textId="77777777" w:rsidR="001661A9" w:rsidRPr="00422CA2" w:rsidRDefault="00011A1B" w:rsidP="00724106">
      <w:pPr>
        <w:pStyle w:val="Prrafodelista"/>
        <w:numPr>
          <w:ilvl w:val="0"/>
          <w:numId w:val="5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Si la solicitud no cumple con lo establecido se regresará al CS para que sea corregida y reenviada a Telmex a fin de que vuelva a ser validada.</w:t>
      </w:r>
    </w:p>
    <w:p w14:paraId="40E859F9" w14:textId="77777777" w:rsidR="001661A9" w:rsidRPr="00422CA2" w:rsidRDefault="00011A1B" w:rsidP="00724106">
      <w:pPr>
        <w:pStyle w:val="Prrafodelista"/>
        <w:numPr>
          <w:ilvl w:val="0"/>
          <w:numId w:val="5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validado la solicitud se habilitará el servicio o servicios digitales solicitados en un plazo no mayor a</w:t>
      </w:r>
      <w:r w:rsidRPr="00422CA2">
        <w:rPr>
          <w:rFonts w:ascii="ITC Avant Garde" w:hAnsi="ITC Avant Garde"/>
          <w:sz w:val="22"/>
          <w:szCs w:val="22"/>
          <w:lang w:val="es-ES"/>
        </w:rPr>
        <w:t xml:space="preserve"> 1 día hábil</w:t>
      </w:r>
      <w:r w:rsidRPr="00422CA2">
        <w:rPr>
          <w:rFonts w:ascii="ITC Avant Garde" w:hAnsi="ITC Avant Garde" w:cs="Arial"/>
          <w:sz w:val="22"/>
          <w:szCs w:val="22"/>
        </w:rPr>
        <w:t xml:space="preserve">. </w:t>
      </w:r>
    </w:p>
    <w:p w14:paraId="40E859FA" w14:textId="77777777" w:rsidR="001661A9" w:rsidRPr="00422CA2" w:rsidRDefault="00011A1B" w:rsidP="00724106">
      <w:pPr>
        <w:pStyle w:val="Prrafodelista"/>
        <w:numPr>
          <w:ilvl w:val="0"/>
          <w:numId w:val="5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habilitado el servicio se realizarán los cargos por renta mensual y activación del servicio.</w:t>
      </w:r>
    </w:p>
    <w:p w14:paraId="40E859FC" w14:textId="77777777" w:rsidR="004C3F58"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Suspensión/Reactivación de SRLT, SRI y SRPI</w:t>
      </w:r>
    </w:p>
    <w:p w14:paraId="40E859FD" w14:textId="71B82621" w:rsidR="00D54F43" w:rsidRPr="00422CA2" w:rsidRDefault="00C272D6" w:rsidP="0072410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rPr>
        <w:t xml:space="preserve">Los servicios de suspensión y reactivación se ofrecen sólo para SRLT, SRLI y SRPI y </w:t>
      </w:r>
      <w:r w:rsidRPr="00422CA2">
        <w:rPr>
          <w:rFonts w:ascii="ITC Avant Garde" w:hAnsi="ITC Avant Garde" w:cs="Arial"/>
          <w:sz w:val="22"/>
          <w:szCs w:val="22"/>
          <w:lang w:val="es-ES" w:eastAsia="es-MX"/>
        </w:rPr>
        <w:t>e</w:t>
      </w:r>
      <w:r w:rsidR="00011A1B" w:rsidRPr="00422CA2">
        <w:rPr>
          <w:rFonts w:ascii="ITC Avant Garde" w:hAnsi="ITC Avant Garde" w:cs="Arial"/>
          <w:sz w:val="22"/>
          <w:szCs w:val="22"/>
          <w:lang w:val="es-ES" w:eastAsia="es-MX"/>
        </w:rPr>
        <w:t>l objetivo y alcance de este procedimiento es definir los pasos y actividades a desarrollar por parte de Telmex y del CS, a fin de realizar la suspensión/reactivación de los servicios de Reventa en caso de que el CS lo requiera; las fases en que se divide este procedimiento son: (i) Ingreso del CS al módulo de suspensión de servicios en el Sistema de Captura o del SEG para proporcionar la referencia del servicio que desea suspender o reactivar</w:t>
      </w:r>
      <w:r w:rsidR="00011A1B" w:rsidRPr="00422CA2">
        <w:rPr>
          <w:rFonts w:ascii="ITC Avant Garde" w:hAnsi="ITC Avant Garde" w:cs="Arial"/>
          <w:sz w:val="22"/>
          <w:szCs w:val="22"/>
        </w:rPr>
        <w:t>; (ii) Validación del número a suspender o reactivar y (iii) Ejecución de la suspensión/reactivación por parte de Telmex, lo que detonará los procesos de facturación.</w:t>
      </w:r>
      <w:r w:rsidRPr="00422CA2">
        <w:rPr>
          <w:rFonts w:ascii="ITC Avant Garde" w:hAnsi="ITC Avant Garde" w:cs="Arial"/>
          <w:sz w:val="22"/>
          <w:szCs w:val="22"/>
        </w:rPr>
        <w:t xml:space="preserve"> </w:t>
      </w:r>
    </w:p>
    <w:p w14:paraId="40E859FF" w14:textId="77777777" w:rsidR="004C3F58" w:rsidRPr="00422CA2" w:rsidRDefault="00011A1B" w:rsidP="00724106">
      <w:pPr>
        <w:pStyle w:val="Prrafodelista"/>
        <w:numPr>
          <w:ilvl w:val="0"/>
          <w:numId w:val="63"/>
        </w:numPr>
        <w:autoSpaceDE w:val="0"/>
        <w:autoSpaceDN w:val="0"/>
        <w:adjustRightInd w:val="0"/>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El CS deberá ingresar la solicitud correspondiente en el formato a través del Sistema de Captura, o del SEG una vez que entre en operación, especificando el NIS</w:t>
      </w:r>
      <w:r w:rsidRPr="00422CA2">
        <w:rPr>
          <w:rFonts w:ascii="ITC Avant Garde" w:hAnsi="ITC Avant Garde"/>
          <w:sz w:val="22"/>
          <w:szCs w:val="22"/>
        </w:rPr>
        <w:t>-Referencia</w:t>
      </w:r>
      <w:r w:rsidRPr="00422CA2">
        <w:rPr>
          <w:rFonts w:ascii="ITC Avant Garde" w:hAnsi="ITC Avant Garde"/>
          <w:sz w:val="22"/>
          <w:szCs w:val="22"/>
          <w:lang w:val="es-ES"/>
        </w:rPr>
        <w:t xml:space="preserve"> con el que fue contratado. </w:t>
      </w:r>
    </w:p>
    <w:p w14:paraId="40E85A00" w14:textId="77777777" w:rsidR="004C3F58" w:rsidRPr="00422CA2" w:rsidRDefault="00011A1B" w:rsidP="00724106">
      <w:pPr>
        <w:pStyle w:val="Prrafodelista"/>
        <w:numPr>
          <w:ilvl w:val="0"/>
          <w:numId w:val="6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Únicamente se validará en la solicitud que el Servicio que se desee suspender o reactivar pertenezca al CS.</w:t>
      </w:r>
    </w:p>
    <w:p w14:paraId="40E85A01" w14:textId="7E2DC213" w:rsidR="00647F43" w:rsidRPr="00422CA2" w:rsidRDefault="00011A1B" w:rsidP="00724106">
      <w:pPr>
        <w:pStyle w:val="Prrafodelista"/>
        <w:numPr>
          <w:ilvl w:val="0"/>
          <w:numId w:val="6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validado la solicitud se suspenderá el servicio en un plazo no mayor a</w:t>
      </w:r>
      <w:r w:rsidRPr="00422CA2">
        <w:rPr>
          <w:rFonts w:ascii="ITC Avant Garde" w:hAnsi="ITC Avant Garde"/>
          <w:sz w:val="22"/>
          <w:szCs w:val="22"/>
          <w:lang w:val="es-ES"/>
        </w:rPr>
        <w:t xml:space="preserve"> 1 día hábil</w:t>
      </w:r>
      <w:r w:rsidRPr="00422CA2">
        <w:rPr>
          <w:rFonts w:ascii="ITC Avant Garde" w:hAnsi="ITC Avant Garde" w:cs="Arial"/>
          <w:sz w:val="22"/>
          <w:szCs w:val="22"/>
        </w:rPr>
        <w:t xml:space="preserve">. En el caso de la reactivación se realizará en un plazo máximo de </w:t>
      </w:r>
      <w:r w:rsidR="00033AC0" w:rsidRPr="00422CA2">
        <w:rPr>
          <w:rFonts w:ascii="ITC Avant Garde" w:hAnsi="ITC Avant Garde" w:cs="Arial"/>
          <w:sz w:val="22"/>
          <w:szCs w:val="22"/>
        </w:rPr>
        <w:t>2</w:t>
      </w:r>
      <w:r w:rsidRPr="00422CA2">
        <w:rPr>
          <w:rFonts w:ascii="ITC Avant Garde" w:hAnsi="ITC Avant Garde" w:cs="Arial"/>
          <w:sz w:val="22"/>
          <w:szCs w:val="22"/>
        </w:rPr>
        <w:t xml:space="preserve"> horas a partir de la solicitud, atendiéndose la misma en el estricto orden en que fueron solicitadas, incluyendo las propias operaciones de Telmex. </w:t>
      </w:r>
    </w:p>
    <w:p w14:paraId="40E85A02" w14:textId="61C1636B" w:rsidR="00530A32" w:rsidRPr="00422CA2" w:rsidRDefault="00011A1B" w:rsidP="00724106">
      <w:pPr>
        <w:pStyle w:val="Prrafodelista"/>
        <w:numPr>
          <w:ilvl w:val="0"/>
          <w:numId w:val="63"/>
        </w:numPr>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 xml:space="preserve">Al corte del mes se realizará la facturación correspondiente, contando el CS con la posibilidad de solicitar ajustes o aclaraciones respecto a la cantidad de los servicios incluidos en su factura. </w:t>
      </w:r>
    </w:p>
    <w:p w14:paraId="40E85A04" w14:textId="77777777" w:rsidR="007636B8"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Domicilio</w:t>
      </w:r>
    </w:p>
    <w:p w14:paraId="40E85A05" w14:textId="73FCE9A8" w:rsidR="00B91E7B"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el usuario final cambie de domicilio y el CS desee mantener </w:t>
      </w:r>
      <w:r w:rsidR="000E7600" w:rsidRPr="00422CA2">
        <w:rPr>
          <w:rFonts w:ascii="ITC Avant Garde" w:hAnsi="ITC Avant Garde"/>
          <w:sz w:val="22"/>
          <w:szCs w:val="22"/>
          <w:lang w:val="es-MX"/>
        </w:rPr>
        <w:t>el SRLT o SRPI</w:t>
      </w:r>
      <w:r w:rsidRPr="00422CA2">
        <w:rPr>
          <w:rFonts w:ascii="ITC Avant Garde" w:hAnsi="ITC Avant Garde"/>
          <w:sz w:val="22"/>
          <w:szCs w:val="22"/>
          <w:lang w:val="es-MX"/>
        </w:rPr>
        <w:t xml:space="preserve">, dicho cambio será atendido conforme las políticas actuales de contratación de los servicios. En </w:t>
      </w:r>
      <w:r w:rsidR="000E7600" w:rsidRPr="00422CA2">
        <w:rPr>
          <w:rFonts w:ascii="ITC Avant Garde" w:hAnsi="ITC Avant Garde"/>
          <w:sz w:val="22"/>
          <w:szCs w:val="22"/>
          <w:lang w:val="es-MX"/>
        </w:rPr>
        <w:t xml:space="preserve">el </w:t>
      </w:r>
      <w:r w:rsidRPr="00422CA2">
        <w:rPr>
          <w:rFonts w:ascii="ITC Avant Garde" w:hAnsi="ITC Avant Garde"/>
          <w:sz w:val="22"/>
          <w:szCs w:val="22"/>
          <w:lang w:val="es-MX"/>
        </w:rPr>
        <w:t>movimiento</w:t>
      </w:r>
      <w:r w:rsidR="000E7600" w:rsidRPr="00422CA2">
        <w:rPr>
          <w:rFonts w:ascii="ITC Avant Garde" w:hAnsi="ITC Avant Garde"/>
          <w:sz w:val="22"/>
          <w:szCs w:val="22"/>
          <w:lang w:val="es-MX"/>
        </w:rPr>
        <w:t xml:space="preserve"> de SRLT y SRPI</w:t>
      </w:r>
      <w:r w:rsidRPr="00422CA2">
        <w:rPr>
          <w:rFonts w:ascii="ITC Avant Garde" w:hAnsi="ITC Avant Garde"/>
          <w:sz w:val="22"/>
          <w:szCs w:val="22"/>
          <w:lang w:val="es-MX"/>
        </w:rPr>
        <w:t xml:space="preserve">, el usuario final mantiene su número telefónico. El CS deberá enviar la solicitud a Telmex a través del </w:t>
      </w:r>
      <w:r w:rsidR="007F69A0" w:rsidRPr="00422CA2">
        <w:rPr>
          <w:rFonts w:ascii="ITC Avant Garde" w:hAnsi="ITC Avant Garde"/>
          <w:sz w:val="22"/>
          <w:szCs w:val="22"/>
          <w:lang w:val="es-MX"/>
        </w:rPr>
        <w:t xml:space="preserve">Sistema de Captura, o el </w:t>
      </w:r>
      <w:r w:rsidRPr="00422CA2">
        <w:rPr>
          <w:rFonts w:ascii="ITC Avant Garde" w:hAnsi="ITC Avant Garde"/>
          <w:sz w:val="22"/>
          <w:szCs w:val="22"/>
          <w:lang w:val="es-MX"/>
        </w:rPr>
        <w:t xml:space="preserve">SEG </w:t>
      </w:r>
      <w:r w:rsidR="007F69A0" w:rsidRPr="00422CA2">
        <w:rPr>
          <w:rFonts w:ascii="ITC Avant Garde" w:hAnsi="ITC Avant Garde"/>
          <w:sz w:val="22"/>
          <w:szCs w:val="22"/>
          <w:lang w:val="es-MX"/>
        </w:rPr>
        <w:t>cuando entre en operación,</w:t>
      </w:r>
      <w:r w:rsidRPr="00422CA2">
        <w:rPr>
          <w:rFonts w:ascii="ITC Avant Garde" w:hAnsi="ITC Avant Garde"/>
          <w:sz w:val="22"/>
          <w:szCs w:val="22"/>
          <w:lang w:val="es-MX"/>
        </w:rPr>
        <w:t xml:space="preserve"> mediante el formato correspondiente. El servicio en el nuevo domicilio dependerá de la factibilidad técnica. </w:t>
      </w:r>
    </w:p>
    <w:p w14:paraId="40E85A06" w14:textId="084683F4" w:rsidR="008448FF"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Este procedimiento no aplica para el servicio de </w:t>
      </w:r>
      <w:r w:rsidR="005B35F7" w:rsidRPr="00422CA2">
        <w:rPr>
          <w:rFonts w:ascii="ITC Avant Garde" w:hAnsi="ITC Avant Garde"/>
          <w:sz w:val="22"/>
          <w:szCs w:val="22"/>
          <w:lang w:val="es-MX"/>
        </w:rPr>
        <w:t>SRI</w:t>
      </w:r>
      <w:r w:rsidRPr="00422CA2">
        <w:rPr>
          <w:rFonts w:ascii="ITC Avant Garde" w:hAnsi="ITC Avant Garde"/>
          <w:sz w:val="22"/>
          <w:szCs w:val="22"/>
          <w:lang w:val="es-MX"/>
        </w:rPr>
        <w:t>.</w:t>
      </w:r>
    </w:p>
    <w:p w14:paraId="40E85A08" w14:textId="77777777" w:rsidR="007C70D0"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modalidad de Desagregación</w:t>
      </w:r>
    </w:p>
    <w:p w14:paraId="40E85A09" w14:textId="77777777" w:rsidR="007C70D0" w:rsidRPr="00422CA2" w:rsidRDefault="00011A1B" w:rsidP="00724106">
      <w:p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En caso de que el CS requiera modificaciones para cambiar a un servicio distinto de desagregación, deberá presentar su solicitud en el formato correspondiente al nuevo servicio solicitado y el formato de baja del servicio existente. Se considerará como una nueva solicitud (alta) y estará sujeta al procedimiento, plazos y cuotas de contratación descritos en el apartado correspondiente.</w:t>
      </w:r>
    </w:p>
    <w:p w14:paraId="40E85A0B" w14:textId="77777777" w:rsidR="00307777" w:rsidRPr="00422CA2" w:rsidRDefault="00011A1B" w:rsidP="00724106">
      <w:pPr>
        <w:spacing w:after="200" w:line="276" w:lineRule="auto"/>
        <w:jc w:val="both"/>
        <w:rPr>
          <w:rFonts w:ascii="ITC Avant Garde" w:hAnsi="ITC Avant Garde" w:cs="Arial"/>
          <w:b/>
          <w:sz w:val="22"/>
          <w:szCs w:val="22"/>
        </w:rPr>
      </w:pPr>
      <w:r w:rsidRPr="00422CA2">
        <w:rPr>
          <w:rFonts w:ascii="ITC Avant Garde" w:hAnsi="ITC Avant Garde" w:cs="Arial"/>
          <w:b/>
          <w:sz w:val="22"/>
          <w:szCs w:val="22"/>
        </w:rPr>
        <w:t>Procedimiento de baja de SRLT, SRI y SRPI</w:t>
      </w:r>
    </w:p>
    <w:p w14:paraId="40E85A0C" w14:textId="77777777" w:rsidR="00C71256" w:rsidRPr="00422CA2" w:rsidRDefault="00011A1B" w:rsidP="00724106">
      <w:pPr>
        <w:spacing w:after="200" w:line="276" w:lineRule="auto"/>
        <w:jc w:val="both"/>
        <w:rPr>
          <w:rFonts w:ascii="ITC Avant Garde" w:hAnsi="ITC Avant Garde" w:cs="Arial"/>
          <w:sz w:val="22"/>
          <w:szCs w:val="22"/>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baja de los servicios de Reventa; las fases en que se divide este procedimiento son: (i) Entrega y validación de la solicitud para que el CS manifieste su intención de dar de baja los </w:t>
      </w:r>
      <w:r w:rsidR="007308D7" w:rsidRPr="00422CA2">
        <w:rPr>
          <w:rFonts w:ascii="ITC Avant Garde" w:hAnsi="ITC Avant Garde" w:cs="Arial"/>
          <w:sz w:val="22"/>
          <w:szCs w:val="22"/>
          <w:lang w:val="es-ES" w:eastAsia="es-MX"/>
        </w:rPr>
        <w:t>servicios</w:t>
      </w:r>
      <w:r w:rsidRPr="00422CA2">
        <w:rPr>
          <w:rFonts w:ascii="ITC Avant Garde" w:hAnsi="ITC Avant Garde" w:cs="Arial"/>
          <w:sz w:val="22"/>
          <w:szCs w:val="22"/>
          <w:lang w:val="es-ES" w:eastAsia="es-MX"/>
        </w:rPr>
        <w:t xml:space="preserve">, y la validación por parte de Telmex de que la solicitud cuenta con todos los elementos; </w:t>
      </w:r>
      <w:r w:rsidRPr="00422CA2">
        <w:rPr>
          <w:rFonts w:ascii="ITC Avant Garde" w:hAnsi="ITC Avant Garde" w:cs="Arial"/>
          <w:sz w:val="22"/>
          <w:szCs w:val="22"/>
        </w:rPr>
        <w:t>y (ii) Baja del (los) servicio (s) y de la facturación correspondiente.</w:t>
      </w:r>
    </w:p>
    <w:p w14:paraId="40E85A0E" w14:textId="77777777" w:rsidR="00530A32" w:rsidRPr="00422CA2" w:rsidRDefault="00011A1B" w:rsidP="00724106">
      <w:pPr>
        <w:pStyle w:val="Prrafodelista"/>
        <w:numPr>
          <w:ilvl w:val="0"/>
          <w:numId w:val="43"/>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40E85A0F" w14:textId="1440DBCB" w:rsidR="007C70D0" w:rsidRPr="00422CA2" w:rsidRDefault="00011A1B" w:rsidP="00724106">
      <w:pPr>
        <w:pStyle w:val="Prrafodelista"/>
        <w:numPr>
          <w:ilvl w:val="0"/>
          <w:numId w:val="43"/>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Se validará que la solicitud cumpla con la información del formato y se contestará conforme a lo siguiente:</w:t>
      </w:r>
    </w:p>
    <w:p w14:paraId="40E85A10" w14:textId="77777777" w:rsidR="007C70D0" w:rsidRPr="00422CA2" w:rsidRDefault="00011A1B" w:rsidP="00724106">
      <w:pPr>
        <w:pStyle w:val="Prrafodelista"/>
        <w:numPr>
          <w:ilvl w:val="1"/>
          <w:numId w:val="43"/>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cumple con lo establecido se dará seguimiento con un Número de Identificación de Solicitud (NIS). </w:t>
      </w:r>
    </w:p>
    <w:p w14:paraId="40E85A11" w14:textId="77777777" w:rsidR="007C70D0" w:rsidRPr="00422CA2" w:rsidRDefault="00011A1B" w:rsidP="00724106">
      <w:pPr>
        <w:pStyle w:val="Prrafodelista"/>
        <w:numPr>
          <w:ilvl w:val="1"/>
          <w:numId w:val="43"/>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 xml:space="preserve">Si la información no cumple con lo establecido será devuelta al CS </w:t>
      </w:r>
      <w:r w:rsidRPr="00422CA2">
        <w:rPr>
          <w:rFonts w:ascii="ITC Avant Garde" w:hAnsi="ITC Avant Garde"/>
          <w:sz w:val="22"/>
          <w:szCs w:val="22"/>
          <w:lang w:val="es-ES"/>
        </w:rPr>
        <w:t>para que sea corregida y reenviada a Telmex a fin de que vuelva a ser validada.</w:t>
      </w:r>
    </w:p>
    <w:p w14:paraId="40E85A12" w14:textId="02BFC791" w:rsidR="007C70D0" w:rsidRPr="00422CA2" w:rsidRDefault="00011A1B" w:rsidP="00724106">
      <w:pPr>
        <w:pStyle w:val="Prrafodelista"/>
        <w:numPr>
          <w:ilvl w:val="0"/>
          <w:numId w:val="43"/>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Una vez asignado el NIS se dará de baja el servicio correspondiente en un plazo máximo de 1 día hábil.</w:t>
      </w:r>
    </w:p>
    <w:p w14:paraId="40E85A13" w14:textId="77777777" w:rsidR="00487CE6" w:rsidRPr="00422CA2" w:rsidRDefault="00011A1B" w:rsidP="00724106">
      <w:pPr>
        <w:pStyle w:val="Prrafodelista"/>
        <w:numPr>
          <w:ilvl w:val="0"/>
          <w:numId w:val="43"/>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En un plazo máximo de 2 días hábiles a partir de la solicitud de baja, Telmex dejará de generar nuevos cargos a los CS por el servicio.</w:t>
      </w:r>
    </w:p>
    <w:p w14:paraId="40E85A14" w14:textId="77777777" w:rsidR="006300D0" w:rsidRPr="00422CA2" w:rsidRDefault="00011A1B" w:rsidP="00724106">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Notas:</w:t>
      </w:r>
    </w:p>
    <w:p w14:paraId="40E85A15" w14:textId="77777777" w:rsidR="006300D0" w:rsidRPr="00422CA2" w:rsidRDefault="00011A1B" w:rsidP="00724106">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deberá tomar en cuenta que no existe el esquema de rentas parciales sino sólo de rentas mensuales, por lo que no será posible realizar cobros parciales de los servicios.</w:t>
      </w:r>
    </w:p>
    <w:p w14:paraId="40E85A16" w14:textId="214C8886" w:rsidR="00806C52" w:rsidRPr="00422CA2" w:rsidRDefault="00011A1B" w:rsidP="00724106">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Asimismo, el CS deberá tener en cuenta que los procesos de facturación de Telmex pueden llegar a presentar desfases en la facturación del tráfico de voz, por lo que a</w:t>
      </w:r>
      <w:r w:rsidR="007B16EB" w:rsidRPr="00422CA2">
        <w:rPr>
          <w:rFonts w:ascii="ITC Avant Garde" w:hAnsi="ITC Avant Garde" w:cs="Arial"/>
          <w:sz w:val="22"/>
          <w:szCs w:val="22"/>
          <w:lang w:val="es-MX" w:eastAsia="es-MX"/>
        </w:rPr>
        <w:t>u</w:t>
      </w:r>
      <w:r w:rsidRPr="00422CA2">
        <w:rPr>
          <w:rFonts w:ascii="ITC Avant Garde" w:hAnsi="ITC Avant Garde" w:cs="Arial"/>
          <w:sz w:val="22"/>
          <w:szCs w:val="22"/>
          <w:lang w:val="es-MX" w:eastAsia="es-MX"/>
        </w:rPr>
        <w:t>n cuando haya sido dado de baja el servicio, podrán existir cobros por los servicios de voz pendientes.</w:t>
      </w:r>
    </w:p>
    <w:p w14:paraId="40E85A18" w14:textId="77777777" w:rsidR="00530A32" w:rsidRPr="00422CA2" w:rsidRDefault="00011A1B" w:rsidP="004129D1">
      <w:pPr>
        <w:pStyle w:val="Ttulo1"/>
      </w:pPr>
      <w:bookmarkStart w:id="295" w:name="_Toc436840890"/>
      <w:bookmarkStart w:id="296" w:name="_Toc436846327"/>
      <w:bookmarkStart w:id="297" w:name="_Toc436848277"/>
      <w:bookmarkStart w:id="298" w:name="_Toc436856525"/>
      <w:bookmarkStart w:id="299" w:name="_Toc436862671"/>
      <w:bookmarkStart w:id="300" w:name="_Toc436866321"/>
      <w:bookmarkStart w:id="301" w:name="_Toc436870900"/>
      <w:bookmarkStart w:id="302" w:name="_Toc436875892"/>
      <w:bookmarkStart w:id="303" w:name="_Toc437602080"/>
      <w:r w:rsidRPr="00422CA2">
        <w:t>4.7</w:t>
      </w:r>
      <w:r w:rsidRPr="00422CA2">
        <w:tab/>
        <w:t>Plazos de Entrega de los Servicios de Reventa.</w:t>
      </w:r>
      <w:bookmarkEnd w:id="295"/>
      <w:bookmarkEnd w:id="296"/>
      <w:bookmarkEnd w:id="297"/>
      <w:bookmarkEnd w:id="298"/>
      <w:bookmarkEnd w:id="299"/>
      <w:bookmarkEnd w:id="300"/>
      <w:bookmarkEnd w:id="301"/>
      <w:bookmarkEnd w:id="302"/>
      <w:bookmarkEnd w:id="303"/>
    </w:p>
    <w:p w14:paraId="5DF0F475" w14:textId="77777777" w:rsidR="006C212C" w:rsidRPr="00422CA2" w:rsidRDefault="006C212C" w:rsidP="008716D6">
      <w:pPr>
        <w:pStyle w:val="Textoindependiente3"/>
        <w:numPr>
          <w:ilvl w:val="0"/>
          <w:numId w:val="156"/>
        </w:numPr>
        <w:spacing w:after="200" w:line="276" w:lineRule="auto"/>
        <w:rPr>
          <w:rFonts w:ascii="ITC Avant Garde" w:hAnsi="ITC Avant Garde"/>
          <w:color w:val="auto"/>
          <w:sz w:val="22"/>
          <w:szCs w:val="22"/>
          <w:lang w:val="es-MX"/>
        </w:rPr>
      </w:pPr>
      <w:r w:rsidRPr="00422CA2">
        <w:rPr>
          <w:rFonts w:ascii="ITC Avant Garde" w:hAnsi="ITC Avant Garde"/>
          <w:color w:val="auto"/>
          <w:sz w:val="22"/>
          <w:szCs w:val="22"/>
          <w:lang w:val="es-MX"/>
        </w:rPr>
        <w:t>Validación de la solicitud junto con verificación de factibilidad: máximo 2 días hábiles.</w:t>
      </w:r>
    </w:p>
    <w:p w14:paraId="7FDF0EA8" w14:textId="77777777" w:rsidR="006C212C" w:rsidRPr="00422CA2" w:rsidRDefault="006C212C">
      <w:pPr>
        <w:pStyle w:val="Textoindependiente3"/>
        <w:numPr>
          <w:ilvl w:val="0"/>
          <w:numId w:val="156"/>
        </w:numPr>
        <w:spacing w:after="200" w:line="276" w:lineRule="auto"/>
        <w:rPr>
          <w:rFonts w:ascii="ITC Avant Garde" w:hAnsi="ITC Avant Garde"/>
          <w:color w:val="auto"/>
          <w:sz w:val="22"/>
          <w:szCs w:val="22"/>
          <w:lang w:val="es-MX"/>
        </w:rPr>
      </w:pPr>
      <w:r w:rsidRPr="00422CA2">
        <w:rPr>
          <w:rFonts w:ascii="ITC Avant Garde" w:hAnsi="ITC Avant Garde"/>
          <w:color w:val="auto"/>
          <w:sz w:val="22"/>
          <w:szCs w:val="22"/>
          <w:lang w:val="es-MX"/>
        </w:rPr>
        <w:t>Entrega del servicio para usuarios existentes (habilitación): máximo 5 días hábiles que se contabilizarán a partir de la solicitud para él servicio con el módem/ONT de Telmex que estuvieran en funcionamiento.</w:t>
      </w:r>
    </w:p>
    <w:p w14:paraId="2B424149" w14:textId="77777777" w:rsidR="006C212C" w:rsidRPr="00422CA2" w:rsidRDefault="006C212C">
      <w:pPr>
        <w:pStyle w:val="Textoindependiente3"/>
        <w:numPr>
          <w:ilvl w:val="0"/>
          <w:numId w:val="156"/>
        </w:numPr>
        <w:spacing w:after="200" w:line="276" w:lineRule="auto"/>
        <w:rPr>
          <w:rFonts w:ascii="ITC Avant Garde" w:hAnsi="ITC Avant Garde"/>
          <w:color w:val="auto"/>
          <w:sz w:val="22"/>
          <w:szCs w:val="22"/>
          <w:lang w:val="es-MX"/>
        </w:rPr>
      </w:pPr>
      <w:r w:rsidRPr="00422CA2">
        <w:rPr>
          <w:rFonts w:ascii="ITC Avant Garde" w:hAnsi="ITC Avant Garde"/>
          <w:color w:val="auto"/>
          <w:sz w:val="22"/>
          <w:szCs w:val="22"/>
          <w:lang w:val="es-MX"/>
        </w:rPr>
        <w:t>Entrega del servicio para usuarios existentes (habilitación): máximo 7 días hábiles que se contabilizarán a partir de la solicitud para el servicio en que Telmex deba entregar algún equipo a solicitud del CS.</w:t>
      </w:r>
    </w:p>
    <w:p w14:paraId="27CF69E8" w14:textId="77777777" w:rsidR="006C212C" w:rsidRPr="00422CA2" w:rsidRDefault="006C212C">
      <w:pPr>
        <w:pStyle w:val="Textoindependiente3"/>
        <w:numPr>
          <w:ilvl w:val="0"/>
          <w:numId w:val="156"/>
        </w:numPr>
        <w:spacing w:after="200" w:line="276" w:lineRule="auto"/>
        <w:rPr>
          <w:rFonts w:ascii="ITC Avant Garde" w:hAnsi="ITC Avant Garde"/>
          <w:color w:val="auto"/>
          <w:sz w:val="22"/>
          <w:szCs w:val="22"/>
          <w:lang w:val="es-MX"/>
        </w:rPr>
      </w:pPr>
      <w:r w:rsidRPr="00422CA2">
        <w:rPr>
          <w:rFonts w:ascii="ITC Avant Garde" w:hAnsi="ITC Avant Garde"/>
          <w:color w:val="auto"/>
          <w:sz w:val="22"/>
          <w:szCs w:val="22"/>
          <w:lang w:val="es-MX"/>
        </w:rPr>
        <w:t>Entrega del servicio para usuarios nuevos con acometida o recursos de red (habilitación): día indicado por el CS en la solicitud (del día 5 hábil en adelante a partir de la solicitud sin provisión de equipo y del día 7 hábil en adelante a partir de la solicitud con provisión de equipo).</w:t>
      </w:r>
    </w:p>
    <w:p w14:paraId="40E85A1D" w14:textId="59968AB5" w:rsidR="00530A32" w:rsidRPr="00422CA2" w:rsidRDefault="006C212C" w:rsidP="004129D1">
      <w:pPr>
        <w:pStyle w:val="Ttulo1"/>
      </w:pPr>
      <w:r w:rsidRPr="00422CA2" w:rsidDel="006C212C">
        <w:rPr>
          <w:lang w:val="es-MX"/>
        </w:rPr>
        <w:t xml:space="preserve"> </w:t>
      </w:r>
      <w:bookmarkStart w:id="304" w:name="_Toc436840891"/>
      <w:bookmarkStart w:id="305" w:name="_Toc436846328"/>
      <w:bookmarkStart w:id="306" w:name="_Toc436848278"/>
      <w:bookmarkStart w:id="307" w:name="_Toc436856526"/>
      <w:bookmarkStart w:id="308" w:name="_Toc436862672"/>
      <w:bookmarkStart w:id="309" w:name="_Toc436866322"/>
      <w:bookmarkStart w:id="310" w:name="_Toc436870901"/>
      <w:bookmarkStart w:id="311" w:name="_Toc436875893"/>
      <w:bookmarkStart w:id="312" w:name="_Toc437602081"/>
      <w:r w:rsidR="00011A1B" w:rsidRPr="00422CA2">
        <w:t>4.8</w:t>
      </w:r>
      <w:r w:rsidR="00011A1B" w:rsidRPr="00422CA2">
        <w:tab/>
        <w:t>Parámetros e indicadores de calidad para los Servicios de Reventa</w:t>
      </w:r>
      <w:bookmarkEnd w:id="304"/>
      <w:bookmarkEnd w:id="305"/>
      <w:bookmarkEnd w:id="306"/>
      <w:bookmarkEnd w:id="307"/>
      <w:bookmarkEnd w:id="308"/>
      <w:bookmarkEnd w:id="309"/>
      <w:bookmarkEnd w:id="310"/>
      <w:bookmarkEnd w:id="311"/>
      <w:bookmarkEnd w:id="312"/>
    </w:p>
    <w:p w14:paraId="1BFFE778" w14:textId="77777777" w:rsidR="00554CF9"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esta sección se muestran los parámetros e indicadores de calidad referentes a la provisión, continuidad y atención de fallas del Servicio de Reventa. Estos </w:t>
      </w:r>
      <w:r w:rsidRPr="00422CA2">
        <w:rPr>
          <w:rFonts w:ascii="ITC Avant Garde" w:hAnsi="ITC Avant Garde"/>
          <w:sz w:val="22"/>
          <w:szCs w:val="22"/>
          <w:lang w:val="es-MX"/>
        </w:rPr>
        <w:lastRenderedPageBreak/>
        <w:t>parámetros e indicadores corresponden a los utilizados en la propia operación de Telmex, y se medirán con una periodicidad trimestral por cada uno de los CS.</w:t>
      </w:r>
    </w:p>
    <w:p w14:paraId="40E85A20" w14:textId="7DE5E4AC" w:rsidR="00CD3397"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para Provisión del Servicio</w:t>
      </w:r>
    </w:p>
    <w:p w14:paraId="40E85A21" w14:textId="77777777" w:rsidR="00CD3397"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lo referente a la provisión de los servicios</w:t>
      </w:r>
      <w:r w:rsidR="007D7542" w:rsidRPr="00422CA2">
        <w:rPr>
          <w:rFonts w:ascii="ITC Avant Garde" w:hAnsi="ITC Avant Garde"/>
          <w:sz w:val="22"/>
          <w:szCs w:val="22"/>
          <w:lang w:val="es-MX"/>
        </w:rPr>
        <w:t xml:space="preserve"> (validación de la solicitud, verificación de factibilidad y habilitación)</w:t>
      </w:r>
      <w:r w:rsidRPr="00422CA2">
        <w:rPr>
          <w:rFonts w:ascii="ITC Avant Garde" w:hAnsi="ITC Avant Garde"/>
          <w:sz w:val="22"/>
          <w:szCs w:val="22"/>
          <w:lang w:val="es-MX"/>
        </w:rPr>
        <w:t>, se tienen los siguientes indicadores:</w:t>
      </w:r>
    </w:p>
    <w:p w14:paraId="7260FE07" w14:textId="0A7FE6A0" w:rsidR="00B13F92" w:rsidRPr="00422CA2" w:rsidRDefault="00B13F92">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Validación de la solicitud</w:t>
      </w:r>
      <w:r w:rsidR="00BC1053" w:rsidRPr="00422CA2">
        <w:rPr>
          <w:rFonts w:ascii="ITC Avant Garde" w:hAnsi="ITC Avant Garde"/>
          <w:sz w:val="22"/>
          <w:szCs w:val="22"/>
          <w:lang w:val="es-MX"/>
        </w:rPr>
        <w:t xml:space="preserve"> junto con validación de la factibilidad</w:t>
      </w:r>
      <w:r w:rsidRPr="00422CA2">
        <w:rPr>
          <w:rFonts w:ascii="ITC Avant Garde" w:hAnsi="ITC Avant Garde"/>
          <w:sz w:val="22"/>
          <w:szCs w:val="22"/>
          <w:lang w:val="es-MX"/>
        </w:rPr>
        <w:t xml:space="preserve">: 90% de las solicitudes en máximo de </w:t>
      </w:r>
      <w:r w:rsidR="00BC1053" w:rsidRPr="00422CA2">
        <w:rPr>
          <w:rFonts w:ascii="ITC Avant Garde" w:hAnsi="ITC Avant Garde"/>
          <w:sz w:val="22"/>
          <w:szCs w:val="22"/>
          <w:lang w:val="es-MX"/>
        </w:rPr>
        <w:t>2</w:t>
      </w:r>
      <w:r w:rsidRPr="00422CA2">
        <w:rPr>
          <w:rFonts w:ascii="ITC Avant Garde" w:hAnsi="ITC Avant Garde"/>
          <w:sz w:val="22"/>
          <w:szCs w:val="22"/>
          <w:lang w:val="es-MX"/>
        </w:rPr>
        <w:t xml:space="preserve"> día</w:t>
      </w:r>
      <w:r w:rsidR="00BC1053" w:rsidRPr="00422CA2">
        <w:rPr>
          <w:rFonts w:ascii="ITC Avant Garde" w:hAnsi="ITC Avant Garde"/>
          <w:sz w:val="22"/>
          <w:szCs w:val="22"/>
          <w:lang w:val="es-MX"/>
        </w:rPr>
        <w:t>s</w:t>
      </w:r>
      <w:r w:rsidRPr="00422CA2">
        <w:rPr>
          <w:rFonts w:ascii="ITC Avant Garde" w:hAnsi="ITC Avant Garde"/>
          <w:sz w:val="22"/>
          <w:szCs w:val="22"/>
          <w:lang w:val="es-MX"/>
        </w:rPr>
        <w:t xml:space="preserve"> hábil</w:t>
      </w:r>
      <w:r w:rsidR="00BC1053" w:rsidRPr="00422CA2">
        <w:rPr>
          <w:rFonts w:ascii="ITC Avant Garde" w:hAnsi="ITC Avant Garde"/>
          <w:sz w:val="22"/>
          <w:szCs w:val="22"/>
          <w:lang w:val="es-MX"/>
        </w:rPr>
        <w:t>es</w:t>
      </w:r>
      <w:r w:rsidRPr="00422CA2">
        <w:rPr>
          <w:rFonts w:ascii="ITC Avant Garde" w:hAnsi="ITC Avant Garde"/>
          <w:sz w:val="22"/>
          <w:szCs w:val="22"/>
          <w:lang w:val="es-MX"/>
        </w:rPr>
        <w:t xml:space="preserve">. El </w:t>
      </w:r>
      <w:r w:rsidR="000169CF" w:rsidRPr="00422CA2">
        <w:rPr>
          <w:rFonts w:ascii="ITC Avant Garde" w:hAnsi="ITC Avant Garde"/>
          <w:sz w:val="22"/>
          <w:szCs w:val="22"/>
          <w:lang w:val="es-MX"/>
        </w:rPr>
        <w:t xml:space="preserve">10% </w:t>
      </w:r>
      <w:r w:rsidRPr="00422CA2">
        <w:rPr>
          <w:rFonts w:ascii="ITC Avant Garde" w:hAnsi="ITC Avant Garde"/>
          <w:sz w:val="22"/>
          <w:szCs w:val="22"/>
          <w:lang w:val="es-MX"/>
        </w:rPr>
        <w:t xml:space="preserve">restante en un máximo de </w:t>
      </w:r>
      <w:r w:rsidR="00BC1053" w:rsidRPr="00422CA2">
        <w:rPr>
          <w:rFonts w:ascii="ITC Avant Garde" w:hAnsi="ITC Avant Garde"/>
          <w:sz w:val="22"/>
          <w:szCs w:val="22"/>
          <w:lang w:val="es-MX"/>
        </w:rPr>
        <w:t>3</w:t>
      </w:r>
      <w:r w:rsidRPr="00422CA2">
        <w:rPr>
          <w:rFonts w:ascii="ITC Avant Garde" w:hAnsi="ITC Avant Garde"/>
          <w:sz w:val="22"/>
          <w:szCs w:val="22"/>
          <w:lang w:val="es-MX"/>
        </w:rPr>
        <w:t xml:space="preserve"> días hábiles.</w:t>
      </w:r>
    </w:p>
    <w:p w14:paraId="40E85A22" w14:textId="575F4613" w:rsidR="00CD3397" w:rsidRPr="00422CA2" w:rsidRDefault="00B13F92" w:rsidP="0072410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 H</w:t>
      </w:r>
      <w:r w:rsidR="00011A1B" w:rsidRPr="00422CA2">
        <w:rPr>
          <w:rFonts w:ascii="ITC Avant Garde" w:hAnsi="ITC Avant Garde"/>
          <w:sz w:val="22"/>
          <w:szCs w:val="22"/>
          <w:lang w:val="es-MX"/>
        </w:rPr>
        <w:t>abilita</w:t>
      </w:r>
      <w:r w:rsidR="00774106" w:rsidRPr="00422CA2">
        <w:rPr>
          <w:rFonts w:ascii="ITC Avant Garde" w:hAnsi="ITC Avant Garde"/>
          <w:sz w:val="22"/>
          <w:szCs w:val="22"/>
          <w:lang w:val="es-MX"/>
        </w:rPr>
        <w:t xml:space="preserve">ción </w:t>
      </w:r>
      <w:r w:rsidR="00011A1B" w:rsidRPr="00422CA2">
        <w:rPr>
          <w:rFonts w:ascii="ITC Avant Garde" w:hAnsi="ITC Avant Garde"/>
          <w:sz w:val="22"/>
          <w:szCs w:val="22"/>
          <w:lang w:val="es-MX"/>
        </w:rPr>
        <w:t>para usuarios existentes en tiempo</w:t>
      </w:r>
      <w:r w:rsidR="00302D82" w:rsidRPr="00422CA2">
        <w:rPr>
          <w:rFonts w:ascii="ITC Avant Garde" w:hAnsi="ITC Avant Garde"/>
          <w:sz w:val="22"/>
          <w:szCs w:val="22"/>
          <w:lang w:val="es-MX"/>
        </w:rPr>
        <w:t>:</w:t>
      </w:r>
      <w:r w:rsidRPr="00422CA2">
        <w:rPr>
          <w:rFonts w:ascii="ITC Avant Garde" w:hAnsi="ITC Avant Garde"/>
          <w:sz w:val="22"/>
          <w:szCs w:val="22"/>
          <w:lang w:val="es-MX"/>
        </w:rPr>
        <w:t xml:space="preserve"> 90% en un máximo de 5 días hábiles. El </w:t>
      </w:r>
      <w:r w:rsidR="000169CF" w:rsidRPr="00422CA2">
        <w:rPr>
          <w:rFonts w:ascii="ITC Avant Garde" w:hAnsi="ITC Avant Garde"/>
          <w:sz w:val="22"/>
          <w:szCs w:val="22"/>
          <w:lang w:val="es-MX"/>
        </w:rPr>
        <w:t xml:space="preserve">10% </w:t>
      </w:r>
      <w:r w:rsidRPr="00422CA2">
        <w:rPr>
          <w:rFonts w:ascii="ITC Avant Garde" w:hAnsi="ITC Avant Garde"/>
          <w:sz w:val="22"/>
          <w:szCs w:val="22"/>
          <w:lang w:val="es-MX"/>
        </w:rPr>
        <w:t xml:space="preserve">restante validada en un máximo de </w:t>
      </w:r>
      <w:r w:rsidR="00774106" w:rsidRPr="00422CA2">
        <w:rPr>
          <w:rFonts w:ascii="ITC Avant Garde" w:hAnsi="ITC Avant Garde"/>
          <w:sz w:val="22"/>
          <w:szCs w:val="22"/>
          <w:lang w:val="es-MX"/>
        </w:rPr>
        <w:t>8</w:t>
      </w:r>
      <w:r w:rsidRPr="00422CA2">
        <w:rPr>
          <w:rFonts w:ascii="ITC Avant Garde" w:hAnsi="ITC Avant Garde"/>
          <w:sz w:val="22"/>
          <w:szCs w:val="22"/>
          <w:lang w:val="es-MX"/>
        </w:rPr>
        <w:t xml:space="preserve"> días hábiles.</w:t>
      </w:r>
    </w:p>
    <w:p w14:paraId="00E6DA79" w14:textId="06836C64" w:rsidR="00370E33" w:rsidRPr="00422CA2" w:rsidRDefault="00370E33" w:rsidP="00370E33">
      <w:pPr>
        <w:pStyle w:val="CondicionesFinales"/>
        <w:numPr>
          <w:ilvl w:val="0"/>
          <w:numId w:val="32"/>
        </w:numPr>
        <w:rPr>
          <w:color w:val="auto"/>
        </w:rPr>
      </w:pPr>
      <w:r w:rsidRPr="00422CA2">
        <w:rPr>
          <w:color w:val="auto"/>
        </w:rPr>
        <w:t>Habilitación para usuarios nuevos con acometida o recursos de red el día indicado por el CS en la solicitud, en caso contrario aplica una pena conforme el Anexo B.</w:t>
      </w:r>
    </w:p>
    <w:p w14:paraId="40E85A24" w14:textId="77777777" w:rsidR="00C53C62" w:rsidRPr="00422CA2" w:rsidRDefault="00011A1B" w:rsidP="0072410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Porcentaje de servicios suspendidos y reactivados en tiempo (60%)</w:t>
      </w:r>
    </w:p>
    <w:p w14:paraId="40E85A29" w14:textId="77777777" w:rsidR="00CD3397" w:rsidRPr="00422CA2" w:rsidRDefault="00011A1B" w:rsidP="0072410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40E85A2A" w14:textId="526981C8" w:rsidR="00CD3397"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realizar la medición de los indicadores presentados, se descontarán los plazos señalados en la sección 4.7 de este documento de los días totales utilizados para la realización de dicha actividad, considerando como inicio del proceso el día en que se solicitó el servicio por parte del CS.</w:t>
      </w:r>
      <w:r w:rsidR="009173F1" w:rsidRPr="00422CA2">
        <w:rPr>
          <w:rFonts w:ascii="ITC Avant Garde" w:hAnsi="ITC Avant Garde"/>
          <w:sz w:val="22"/>
          <w:szCs w:val="22"/>
          <w:lang w:val="es-MX"/>
        </w:rPr>
        <w:t xml:space="preserve"> </w:t>
      </w:r>
    </w:p>
    <w:p w14:paraId="40E85A2C" w14:textId="77777777" w:rsidR="00F06917" w:rsidRPr="00422CA2" w:rsidRDefault="00011A1B"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horario de atención es 24 horas, sin embargo para realizar las mediciones de estos indicadores, se considerarán las solicitudes ingresadas en un horario hábil de lunes a viernes de 9:00 a 14:00 horas, aquellos que se reciban después de ese horario, se contabilizarán para el día hábil siguiente</w:t>
      </w:r>
      <w:r w:rsidRPr="00422CA2">
        <w:rPr>
          <w:rStyle w:val="Refdenotaalpie"/>
          <w:rFonts w:ascii="ITC Avant Garde" w:hAnsi="ITC Avant Garde"/>
          <w:sz w:val="22"/>
          <w:szCs w:val="22"/>
          <w:lang w:val="es-MX"/>
        </w:rPr>
        <w:footnoteReference w:id="21"/>
      </w:r>
      <w:r w:rsidRPr="00422CA2">
        <w:rPr>
          <w:rFonts w:ascii="ITC Avant Garde" w:hAnsi="ITC Avant Garde"/>
          <w:sz w:val="22"/>
          <w:szCs w:val="22"/>
          <w:lang w:val="es-MX"/>
        </w:rPr>
        <w:t>.</w:t>
      </w:r>
    </w:p>
    <w:p w14:paraId="40E85A2E" w14:textId="77777777" w:rsidR="00CD3397" w:rsidRPr="00422CA2" w:rsidRDefault="0095393F" w:rsidP="00724106">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Parámetros para</w:t>
      </w:r>
      <w:r w:rsidR="00011A1B" w:rsidRPr="00422CA2">
        <w:rPr>
          <w:rFonts w:ascii="ITC Avant Garde" w:hAnsi="ITC Avant Garde"/>
          <w:b/>
          <w:sz w:val="22"/>
          <w:szCs w:val="22"/>
          <w:lang w:val="es-MX"/>
        </w:rPr>
        <w:t xml:space="preserve"> Reparación de Fallas</w:t>
      </w:r>
    </w:p>
    <w:p w14:paraId="40E85A30" w14:textId="77777777" w:rsidR="00CD3397" w:rsidRPr="00422CA2" w:rsidRDefault="00011A1B" w:rsidP="0072410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En cuanto a los parámetros de calidad asociados a la reparación de fallas que afecten a los usuarios residenciales o comerciales, se tiene el siguiente alcance:</w:t>
      </w:r>
    </w:p>
    <w:p w14:paraId="40E85A31" w14:textId="305D053C" w:rsidR="00CD3397" w:rsidRPr="00422CA2" w:rsidRDefault="00011A1B" w:rsidP="00724106">
      <w:pPr>
        <w:pStyle w:val="Default"/>
        <w:numPr>
          <w:ilvl w:val="0"/>
          <w:numId w:val="106"/>
        </w:numPr>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lastRenderedPageBreak/>
        <w:t xml:space="preserve">Total de reparaciones atendidas dentro del día hábil siguiente a la recepción de la queja, del total de reportes levantados. </w:t>
      </w:r>
      <w:r w:rsidR="00590459" w:rsidRPr="00422CA2">
        <w:rPr>
          <w:rFonts w:ascii="ITC Avant Garde" w:hAnsi="ITC Avant Garde"/>
          <w:color w:val="auto"/>
          <w:sz w:val="22"/>
          <w:szCs w:val="22"/>
          <w:lang w:val="es-MX"/>
        </w:rPr>
        <w:t xml:space="preserve">Al menos </w:t>
      </w:r>
      <w:r w:rsidRPr="00422CA2">
        <w:rPr>
          <w:rFonts w:ascii="ITC Avant Garde" w:hAnsi="ITC Avant Garde"/>
          <w:color w:val="auto"/>
          <w:sz w:val="22"/>
          <w:szCs w:val="22"/>
          <w:lang w:val="es-MX"/>
        </w:rPr>
        <w:t>8</w:t>
      </w:r>
      <w:r w:rsidR="0059045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xml:space="preserve"> % </w:t>
      </w:r>
    </w:p>
    <w:p w14:paraId="40E85A32" w14:textId="61051D71" w:rsidR="00CD3397" w:rsidRPr="00422CA2" w:rsidRDefault="00011A1B" w:rsidP="00724106">
      <w:pPr>
        <w:pStyle w:val="Default"/>
        <w:numPr>
          <w:ilvl w:val="0"/>
          <w:numId w:val="106"/>
        </w:numPr>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Total de reparaciones atendidas dentro de los 3 días hábiles siguientes a la recepción de la queja, del total de reportes levantados. </w:t>
      </w:r>
      <w:r w:rsidR="00590459" w:rsidRPr="00422CA2">
        <w:rPr>
          <w:rFonts w:ascii="ITC Avant Garde" w:hAnsi="ITC Avant Garde"/>
          <w:color w:val="auto"/>
          <w:sz w:val="22"/>
          <w:szCs w:val="22"/>
          <w:lang w:val="es-MX"/>
        </w:rPr>
        <w:t xml:space="preserve">Al menos </w:t>
      </w:r>
      <w:r w:rsidRPr="00422CA2">
        <w:rPr>
          <w:rFonts w:ascii="ITC Avant Garde" w:hAnsi="ITC Avant Garde"/>
          <w:color w:val="auto"/>
          <w:sz w:val="22"/>
          <w:szCs w:val="22"/>
          <w:lang w:val="es-MX"/>
        </w:rPr>
        <w:t>9</w:t>
      </w:r>
      <w:r w:rsidR="0059045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xml:space="preserve"> % </w:t>
      </w:r>
    </w:p>
    <w:p w14:paraId="40E85A34" w14:textId="1C476AB2" w:rsidR="00CD3397" w:rsidRPr="00422CA2" w:rsidRDefault="00011A1B" w:rsidP="0072410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Para los casos anteriores, la reparación de fallas para el </w:t>
      </w:r>
      <w:r w:rsidR="0059045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de reportes restante no excederá de 10 días hábiles siguientes a la recepción de la queja.</w:t>
      </w:r>
    </w:p>
    <w:p w14:paraId="1970C041" w14:textId="77777777" w:rsidR="00907B13" w:rsidRPr="00422CA2" w:rsidRDefault="00011A1B" w:rsidP="0072410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Para realizar las mediciones de estos indicadores, se considerarán los reportes levantados en un horario de 8:00 a 14:00 horas, aquellos que se reciban después de ese horario, se contabilizarán para el día hábil siguiente.</w:t>
      </w:r>
      <w:r w:rsidR="00907B13" w:rsidRPr="00422CA2">
        <w:rPr>
          <w:rFonts w:ascii="ITC Avant Garde" w:hAnsi="ITC Avant Garde"/>
          <w:color w:val="auto"/>
          <w:sz w:val="22"/>
          <w:szCs w:val="22"/>
          <w:lang w:val="es-MX"/>
        </w:rPr>
        <w:t xml:space="preserve"> </w:t>
      </w:r>
    </w:p>
    <w:p w14:paraId="79CB76E6" w14:textId="158C4699" w:rsidR="00907B13" w:rsidRPr="00422CA2" w:rsidRDefault="00907B13" w:rsidP="0072410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El indicador “Tiempo de Resolución” se refiere al tiempo transcurrido desde la apertura por el CS de una reclamación hasta que la reclamación ha sido resuelta satisfactoriamente (incluye la aceptación por parte del mismo y el cierre de la incidencia).</w:t>
      </w:r>
    </w:p>
    <w:p w14:paraId="40E85A37" w14:textId="77777777" w:rsidR="00396495" w:rsidRPr="00422CA2" w:rsidRDefault="00396495" w:rsidP="00724106">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Metodología</w:t>
      </w:r>
    </w:p>
    <w:p w14:paraId="40E85A39" w14:textId="77777777" w:rsidR="00396495" w:rsidRPr="00422CA2" w:rsidRDefault="00396495" w:rsidP="003863F0">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cálculo de los indicadores de reparación de fallas, se calcula de la siguiente forma, y se mide para reparaciones en 1, 3 y 10 días hábiles posteriores a la recepción de la queja: </w:t>
      </w:r>
    </w:p>
    <w:p w14:paraId="40E85A3B" w14:textId="773B01CB" w:rsidR="00396495" w:rsidRPr="00422CA2" w:rsidRDefault="00396495" w:rsidP="00724106">
      <w:pPr>
        <w:spacing w:after="200" w:line="276" w:lineRule="auto"/>
        <w:jc w:val="both"/>
        <w:rPr>
          <w:rFonts w:ascii="ITC Avant Garde" w:hAnsi="ITC Avant Garde"/>
          <w:sz w:val="22"/>
          <w:szCs w:val="22"/>
          <w:lang w:val="es-MX"/>
        </w:rPr>
      </w:pPr>
      <w:r w:rsidRPr="00422CA2">
        <w:rPr>
          <w:rFonts w:ascii="ITC Avant Garde" w:hAnsi="ITC Avant Garde" w:cstheme="minorHAnsi"/>
          <w:b/>
          <w:sz w:val="22"/>
          <w:szCs w:val="22"/>
        </w:rPr>
        <w:t xml:space="preserve">Reparación de </w:t>
      </w:r>
      <w:r w:rsidR="00FE289B" w:rsidRPr="00422CA2">
        <w:rPr>
          <w:rFonts w:ascii="ITC Avant Garde" w:hAnsi="ITC Avant Garde" w:cstheme="minorHAnsi"/>
          <w:b/>
          <w:sz w:val="22"/>
          <w:szCs w:val="22"/>
        </w:rPr>
        <w:t>fallas</w:t>
      </w:r>
      <w:r w:rsidRPr="00422CA2">
        <w:rPr>
          <w:rFonts w:ascii="ITC Avant Garde" w:hAnsi="ITC Avant Garde" w:cstheme="minorHAnsi"/>
          <w:b/>
          <w:sz w:val="22"/>
          <w:szCs w:val="22"/>
        </w:rPr>
        <w:t xml:space="preserve">: </w:t>
      </w:r>
      <w:r w:rsidRPr="00422CA2">
        <w:rPr>
          <w:rFonts w:ascii="ITC Avant Garde" w:hAnsi="ITC Avant Garde" w:cstheme="minorHAnsi"/>
          <w:sz w:val="22"/>
          <w:szCs w:val="22"/>
        </w:rPr>
        <w:t>porcentaje de las fallas reportadas, que son atendidas dentro del plazo a medir (1,</w:t>
      </w:r>
      <w:r w:rsidR="009B5985" w:rsidRPr="00422CA2">
        <w:rPr>
          <w:rFonts w:ascii="ITC Avant Garde" w:hAnsi="ITC Avant Garde" w:cstheme="minorHAnsi"/>
          <w:sz w:val="22"/>
          <w:szCs w:val="22"/>
        </w:rPr>
        <w:t xml:space="preserve"> </w:t>
      </w:r>
      <w:r w:rsidRPr="00422CA2">
        <w:rPr>
          <w:rFonts w:ascii="ITC Avant Garde" w:hAnsi="ITC Avant Garde" w:cstheme="minorHAnsi"/>
          <w:sz w:val="22"/>
          <w:szCs w:val="22"/>
        </w:rPr>
        <w:t>3, 10 días hábiles siguientes a la recepción de la queja), durante el trimestre.</w:t>
      </w:r>
    </w:p>
    <w:p w14:paraId="40E85A3D" w14:textId="77777777" w:rsidR="00396495" w:rsidRPr="00422CA2" w:rsidRDefault="00396495" w:rsidP="00396495">
      <w:pPr>
        <w:autoSpaceDE w:val="0"/>
        <w:autoSpaceDN w:val="0"/>
        <w:adjustRightInd w:val="0"/>
        <w:spacing w:line="360" w:lineRule="auto"/>
        <w:jc w:val="center"/>
        <w:rPr>
          <w:rFonts w:ascii="ITC Avant Garde" w:hAnsi="ITC Avant Garde"/>
          <w:sz w:val="22"/>
          <w:szCs w:val="22"/>
          <w:lang w:val="es-MX"/>
        </w:rPr>
      </w:pPr>
      <w:r w:rsidRPr="00422CA2">
        <w:rPr>
          <w:rFonts w:ascii="ITC Avant Garde" w:hAnsi="ITC Avant Garde"/>
          <w:i/>
          <w:sz w:val="20"/>
          <w:szCs w:val="22"/>
          <w:lang w:val="es-MX"/>
        </w:rPr>
        <w:t xml:space="preserve">Reparación de Fallas </w:t>
      </w:r>
      <w:r w:rsidRPr="00422CA2">
        <w:rPr>
          <w:rFonts w:ascii="ITC Avant Garde" w:hAnsi="ITC Avant Garde"/>
          <w:sz w:val="22"/>
          <w:szCs w:val="22"/>
          <w:lang w:val="es-MX"/>
        </w:rPr>
        <w:t xml:space="preserve">= </w:t>
      </w:r>
      <m:oMath>
        <m:f>
          <m:fPr>
            <m:ctrlPr>
              <w:rPr>
                <w:rFonts w:ascii="Cambria Math" w:hAnsi="Cambria Math"/>
                <w:i/>
                <w:sz w:val="22"/>
                <w:szCs w:val="22"/>
                <w:lang w:val="es-MX"/>
              </w:rPr>
            </m:ctrlPr>
          </m:fPr>
          <m:num>
            <m:r>
              <w:rPr>
                <w:rFonts w:ascii="Cambria Math" w:hAnsi="Cambria Math"/>
                <w:sz w:val="22"/>
                <w:szCs w:val="22"/>
                <w:lang w:val="es-MX"/>
              </w:rPr>
              <m:t>Fallas efectivas reparadas en el plazo a medir en  días hábiles</m:t>
            </m:r>
          </m:num>
          <m:den>
            <m:r>
              <w:rPr>
                <w:rFonts w:ascii="Cambria Math" w:hAnsi="Cambria Math"/>
                <w:sz w:val="22"/>
                <w:szCs w:val="22"/>
                <w:lang w:val="es-MX"/>
              </w:rPr>
              <m:t>Fallas Efectivas</m:t>
            </m:r>
          </m:den>
        </m:f>
        <m:r>
          <w:rPr>
            <w:rFonts w:ascii="Cambria Math" w:hAnsi="Cambria Math"/>
            <w:sz w:val="22"/>
            <w:szCs w:val="22"/>
            <w:lang w:val="es-MX"/>
          </w:rPr>
          <m:t xml:space="preserve"> x 100</m:t>
        </m:r>
      </m:oMath>
    </w:p>
    <w:p w14:paraId="40E85A3F" w14:textId="77777777" w:rsidR="00396495" w:rsidRPr="00422CA2" w:rsidRDefault="00396495" w:rsidP="00724106">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 xml:space="preserve">Donde: </w:t>
      </w:r>
    </w:p>
    <w:p w14:paraId="2FFE7535" w14:textId="77777777" w:rsidR="0037631B" w:rsidRPr="00422CA2" w:rsidRDefault="0037631B" w:rsidP="00724106">
      <w:pPr>
        <w:spacing w:after="200" w:line="276" w:lineRule="auto"/>
        <w:jc w:val="both"/>
        <w:rPr>
          <w:rFonts w:ascii="ITC Avant Garde" w:hAnsi="ITC Avant Garde"/>
          <w:i/>
          <w:sz w:val="22"/>
          <w:szCs w:val="22"/>
          <w:lang w:val="es-MX"/>
        </w:rPr>
      </w:pPr>
      <w:r w:rsidRPr="00422CA2">
        <w:rPr>
          <w:rFonts w:ascii="ITC Avant Garde" w:hAnsi="ITC Avant Garde" w:cs="Arial"/>
          <w:bCs/>
          <w:i/>
          <w:sz w:val="22"/>
          <w:szCs w:val="22"/>
          <w:lang w:val="es-MX"/>
        </w:rPr>
        <w:t>Fallas efectivas reparadas en el plazo a medir (días hábiles)</w:t>
      </w:r>
      <w:r w:rsidRPr="00422CA2">
        <w:rPr>
          <w:rFonts w:ascii="ITC Avant Garde" w:hAnsi="ITC Avant Garde"/>
          <w:i/>
          <w:sz w:val="22"/>
          <w:szCs w:val="22"/>
          <w:lang w:val="es-MX"/>
        </w:rPr>
        <w:t xml:space="preserve"> = </w:t>
      </w:r>
      <w:r w:rsidRPr="00422CA2">
        <w:rPr>
          <w:rFonts w:ascii="ITC Avant Garde" w:hAnsi="ITC Avant Garde" w:cs="Arial"/>
          <w:bCs/>
          <w:sz w:val="22"/>
          <w:szCs w:val="22"/>
        </w:rPr>
        <w:t>Es la cantidad de fallas reparadas dentro del plazo que interesa medir, en este caso serán 1, 3 y 10 días hábiles siguientes a la recepción de la queja conforme a los procedimientos formales de Telmex. En esta variable se eliminan las quejas debidas a fallas provocadas por fenómenos no previsibles o de fuerza mayor, además de las fallas en la red bajo responsabilidad del cliente.</w:t>
      </w:r>
      <w:r w:rsidRPr="00422CA2">
        <w:rPr>
          <w:rFonts w:ascii="ITC Avant Garde" w:hAnsi="ITC Avant Garde"/>
          <w:i/>
          <w:sz w:val="22"/>
          <w:szCs w:val="22"/>
          <w:lang w:val="es-MX"/>
        </w:rPr>
        <w:t xml:space="preserve"> </w:t>
      </w:r>
    </w:p>
    <w:p w14:paraId="40E85A41" w14:textId="5052EE7C" w:rsidR="00396495" w:rsidRPr="00422CA2" w:rsidRDefault="0037631B" w:rsidP="00724106">
      <w:pPr>
        <w:spacing w:after="200" w:line="276" w:lineRule="auto"/>
        <w:jc w:val="both"/>
        <w:rPr>
          <w:rFonts w:ascii="ITC Avant Garde" w:hAnsi="ITC Avant Garde" w:cstheme="minorHAnsi"/>
          <w:sz w:val="22"/>
          <w:szCs w:val="22"/>
        </w:rPr>
      </w:pPr>
      <w:r w:rsidRPr="00422CA2">
        <w:rPr>
          <w:rFonts w:ascii="ITC Avant Garde" w:hAnsi="ITC Avant Garde" w:cs="Arial"/>
          <w:bCs/>
          <w:i/>
          <w:sz w:val="22"/>
          <w:szCs w:val="22"/>
          <w:lang w:val="es-MX"/>
        </w:rPr>
        <w:t>Fallas Efectivas</w:t>
      </w:r>
      <w:r w:rsidRPr="00422CA2">
        <w:rPr>
          <w:rFonts w:ascii="ITC Avant Garde" w:hAnsi="ITC Avant Garde"/>
          <w:lang w:val="es-MX"/>
        </w:rPr>
        <w:t xml:space="preserve"> = </w:t>
      </w:r>
      <w:r w:rsidRPr="00422CA2">
        <w:rPr>
          <w:rFonts w:ascii="ITC Avant Garde" w:hAnsi="ITC Avant Garde" w:cs="Arial"/>
          <w:bCs/>
          <w:sz w:val="22"/>
          <w:szCs w:val="22"/>
        </w:rPr>
        <w:t>Cantidad de reportes de fallas recibidos excepto las quejas debidas a fallas provocadas por fenómenos no previsibles o de fuerza mayor, además de las fallas en la red bajo responsabilidad del cliente.</w:t>
      </w:r>
    </w:p>
    <w:p w14:paraId="40E85A43" w14:textId="77777777" w:rsidR="0095393F" w:rsidRPr="00422CA2" w:rsidRDefault="0095393F" w:rsidP="00724106">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lastRenderedPageBreak/>
        <w:t>Indicador para Disponibilidad</w:t>
      </w:r>
    </w:p>
    <w:p w14:paraId="40E85A44" w14:textId="4B6CF947" w:rsidR="0095393F" w:rsidRPr="00422CA2" w:rsidRDefault="0095393F" w:rsidP="0072410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indicador de disponibilidad establece el porcentaje del tiempo durante el cual, el servicio se encuentra en operación normal respecto del tiempo total de medición. La meta de cumplimiento de este indicador es del 98% al trimestre</w:t>
      </w:r>
      <w:r w:rsidR="00094679" w:rsidRPr="00422CA2">
        <w:rPr>
          <w:rFonts w:ascii="ITC Avant Garde" w:hAnsi="ITC Avant Garde"/>
          <w:sz w:val="22"/>
          <w:szCs w:val="22"/>
          <w:lang w:val="es-MX"/>
        </w:rPr>
        <w:t>.</w:t>
      </w:r>
    </w:p>
    <w:p w14:paraId="40E85A45" w14:textId="77777777" w:rsidR="0095393F" w:rsidRPr="00422CA2" w:rsidRDefault="0095393F" w:rsidP="00724106">
      <w:pPr>
        <w:spacing w:after="200" w:line="276" w:lineRule="auto"/>
        <w:jc w:val="both"/>
        <w:rPr>
          <w:rFonts w:ascii="ITC Avant Garde" w:hAnsi="ITC Avant Garde"/>
          <w:b/>
          <w:bCs/>
          <w:sz w:val="22"/>
          <w:szCs w:val="22"/>
        </w:rPr>
      </w:pPr>
      <w:r w:rsidRPr="00422CA2">
        <w:rPr>
          <w:rFonts w:ascii="ITC Avant Garde" w:hAnsi="ITC Avant Garde"/>
          <w:b/>
          <w:bCs/>
          <w:sz w:val="22"/>
          <w:szCs w:val="22"/>
        </w:rPr>
        <w:t>Metodología</w:t>
      </w:r>
    </w:p>
    <w:p w14:paraId="40E85A46" w14:textId="77777777" w:rsidR="0095393F" w:rsidRPr="00422CA2" w:rsidRDefault="0095393F" w:rsidP="00724106">
      <w:pPr>
        <w:spacing w:after="200" w:line="276" w:lineRule="auto"/>
        <w:jc w:val="both"/>
        <w:rPr>
          <w:rFonts w:ascii="ITC Avant Garde" w:hAnsi="ITC Avant Garde"/>
          <w:sz w:val="22"/>
          <w:szCs w:val="22"/>
        </w:rPr>
      </w:pPr>
      <w:r w:rsidRPr="00422CA2">
        <w:rPr>
          <w:rFonts w:ascii="ITC Avant Garde" w:hAnsi="ITC Avant Garde"/>
          <w:sz w:val="22"/>
          <w:szCs w:val="22"/>
        </w:rPr>
        <w:t>El indicador se calcula considerando el número de líneas en servicio durante el periodo de medición, menos las fallas efectivas reportadas por el tiempo de interrupción del servicio, respecto del total de líneas en servicio durante dicho período de medición.</w:t>
      </w:r>
    </w:p>
    <w:p w14:paraId="40E85A48" w14:textId="77777777" w:rsidR="0095393F" w:rsidRPr="00422CA2" w:rsidRDefault="0095393F" w:rsidP="0095393F">
      <w:pPr>
        <w:autoSpaceDE w:val="0"/>
        <w:autoSpaceDN w:val="0"/>
        <w:spacing w:line="360" w:lineRule="auto"/>
        <w:jc w:val="center"/>
        <w:rPr>
          <w:rFonts w:ascii="ITC Avant Garde" w:hAnsi="ITC Avant Garde"/>
        </w:rPr>
      </w:pPr>
      <w:r w:rsidRPr="00422CA2">
        <w:rPr>
          <w:rFonts w:ascii="ITC Avant Garde" w:hAnsi="ITC Avant Garde"/>
          <w:i/>
          <w:iCs/>
          <w:sz w:val="18"/>
          <w:szCs w:val="18"/>
        </w:rPr>
        <w:t xml:space="preserve">Disponibilidad </w:t>
      </w:r>
      <w:r w:rsidRPr="00422CA2">
        <w:rPr>
          <w:rFonts w:ascii="ITC Avant Garde" w:hAnsi="ITC Avant Garde"/>
        </w:rPr>
        <w:t xml:space="preserve">= </w:t>
      </w:r>
      <m:oMath>
        <m:f>
          <m:fPr>
            <m:ctrlPr>
              <w:rPr>
                <w:rFonts w:ascii="Cambria Math" w:eastAsiaTheme="minorHAnsi" w:hAnsi="Cambria Math"/>
                <w:i/>
                <w:iCs/>
                <w:sz w:val="20"/>
                <w:szCs w:val="20"/>
              </w:rPr>
            </m:ctrlPr>
          </m:fPr>
          <m:num>
            <m:d>
              <m:dPr>
                <m:ctrlPr>
                  <w:rPr>
                    <w:rFonts w:ascii="Cambria Math" w:eastAsiaTheme="minorHAnsi" w:hAnsi="Cambria Math"/>
                    <w:i/>
                    <w:iCs/>
                    <w:sz w:val="20"/>
                    <w:szCs w:val="20"/>
                  </w:rPr>
                </m:ctrlPr>
              </m:dPr>
              <m:e>
                <m:r>
                  <w:rPr>
                    <w:rFonts w:ascii="Cambria Math" w:hAnsi="Cambria Math"/>
                    <w:sz w:val="20"/>
                    <w:szCs w:val="20"/>
                  </w:rPr>
                  <m:t>Total de líneas en servicio x Periodo de Medición</m:t>
                </m:r>
              </m:e>
            </m:d>
            <m:r>
              <w:rPr>
                <w:rFonts w:ascii="Cambria Math" w:hAnsi="Cambria Math"/>
                <w:sz w:val="20"/>
                <w:szCs w:val="20"/>
              </w:rPr>
              <m:t>-(Fallas Efectivas x Tiempo de Interrupción)</m:t>
            </m:r>
          </m:num>
          <m:den>
            <m:r>
              <w:rPr>
                <w:rFonts w:ascii="Cambria Math" w:hAnsi="Cambria Math"/>
                <w:sz w:val="20"/>
                <w:szCs w:val="20"/>
              </w:rPr>
              <m:t>Total de líneas en servicio x Periodo de Medición</m:t>
            </m:r>
          </m:den>
        </m:f>
        <m:r>
          <w:rPr>
            <w:rFonts w:ascii="Cambria Math" w:hAnsi="Cambria Math"/>
            <w:sz w:val="20"/>
            <w:szCs w:val="20"/>
          </w:rPr>
          <m:t xml:space="preserve"> x 100</m:t>
        </m:r>
      </m:oMath>
    </w:p>
    <w:p w14:paraId="40E85A49" w14:textId="77777777" w:rsidR="0095393F" w:rsidRPr="00422CA2" w:rsidRDefault="0095393F" w:rsidP="0095393F">
      <w:pPr>
        <w:spacing w:after="200" w:line="276" w:lineRule="auto"/>
        <w:jc w:val="both"/>
        <w:rPr>
          <w:rFonts w:ascii="ITC Avant Garde" w:hAnsi="ITC Avant Garde"/>
          <w:sz w:val="22"/>
          <w:szCs w:val="22"/>
          <w:lang w:val="es-MX"/>
        </w:rPr>
      </w:pPr>
    </w:p>
    <w:p w14:paraId="034A517D" w14:textId="442C0708" w:rsidR="00096DD2" w:rsidRPr="00422CA2" w:rsidRDefault="00096DD2" w:rsidP="0095393F">
      <w:pPr>
        <w:spacing w:after="200" w:line="276" w:lineRule="auto"/>
        <w:jc w:val="both"/>
        <w:rPr>
          <w:rFonts w:ascii="ITC Avant Garde" w:hAnsi="ITC Avant Garde"/>
          <w:sz w:val="22"/>
          <w:szCs w:val="22"/>
        </w:rPr>
      </w:pPr>
      <w:r w:rsidRPr="00422CA2">
        <w:rPr>
          <w:rFonts w:ascii="ITC Avant Garde" w:hAnsi="ITC Avant Garde"/>
          <w:sz w:val="22"/>
          <w:szCs w:val="22"/>
        </w:rPr>
        <w:t>Se consideran fallas efectivas a la cantidad de reportes de fallas en líneas, excepto las fallas provocadas por fenómenos no previsibles o de fuerza mayor, además de las fallas en la red bajo responsabilidad del cliente.</w:t>
      </w:r>
    </w:p>
    <w:p w14:paraId="40E85A4C" w14:textId="77777777" w:rsidR="00DC4D01" w:rsidRPr="00422CA2" w:rsidRDefault="00011A1B" w:rsidP="007C546C">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Parámetros e Indicadores de Calidad para Pruebas del Servicio de Reventa</w:t>
      </w:r>
    </w:p>
    <w:p w14:paraId="40E85A4D" w14:textId="5B6B88B2" w:rsidR="008E6748" w:rsidRPr="00422CA2" w:rsidRDefault="00011A1B" w:rsidP="00EC75F1">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Resistencia y Capacitancia</w:t>
      </w:r>
    </w:p>
    <w:p w14:paraId="40E85A4E" w14:textId="2979E37F" w:rsidR="00DC4D01" w:rsidRPr="00422CA2" w:rsidRDefault="00011A1B" w:rsidP="007C546C">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Referente a los parámetros de calidad que deben de cumplirse al momento de la habilitación de los </w:t>
      </w:r>
      <w:r w:rsidR="00AF638C" w:rsidRPr="00422CA2">
        <w:rPr>
          <w:rFonts w:ascii="ITC Avant Garde" w:hAnsi="ITC Avant Garde"/>
          <w:sz w:val="22"/>
          <w:szCs w:val="22"/>
          <w:lang w:val="es-MX"/>
        </w:rPr>
        <w:t>Servicios de Reventa</w:t>
      </w:r>
      <w:r w:rsidRPr="00422CA2">
        <w:rPr>
          <w:rFonts w:ascii="ITC Avant Garde" w:hAnsi="ITC Avant Garde"/>
          <w:sz w:val="22"/>
          <w:szCs w:val="22"/>
          <w:lang w:val="es-MX"/>
        </w:rPr>
        <w:t>, se miden los siguientes parámetros eléctricos, los cuales se consideran adecuados si la medición resultante de la prueba queda dentro de los valores indicados en la siguiente tabla: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6"/>
        <w:gridCol w:w="3186"/>
        <w:gridCol w:w="2167"/>
      </w:tblGrid>
      <w:tr w:rsidR="00422CA2" w:rsidRPr="00422CA2" w14:paraId="40E85A52" w14:textId="77777777" w:rsidTr="006F2E14">
        <w:trPr>
          <w:jc w:val="center"/>
        </w:trPr>
        <w:tc>
          <w:tcPr>
            <w:tcW w:w="3036" w:type="dxa"/>
            <w:shd w:val="clear" w:color="auto" w:fill="0070C0"/>
            <w:vAlign w:val="center"/>
          </w:tcPr>
          <w:p w14:paraId="40E85A4F" w14:textId="77777777" w:rsidR="00DC4D01" w:rsidRPr="00422CA2" w:rsidRDefault="00011A1B" w:rsidP="007C546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Parámetro</w:t>
            </w:r>
          </w:p>
        </w:tc>
        <w:tc>
          <w:tcPr>
            <w:tcW w:w="3186" w:type="dxa"/>
            <w:shd w:val="clear" w:color="auto" w:fill="0070C0"/>
            <w:vAlign w:val="center"/>
          </w:tcPr>
          <w:p w14:paraId="40E85A50" w14:textId="77777777" w:rsidR="00DC4D01" w:rsidRPr="00422CA2" w:rsidRDefault="00011A1B" w:rsidP="007C546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Medición entre puntos (hilos)</w:t>
            </w:r>
          </w:p>
        </w:tc>
        <w:tc>
          <w:tcPr>
            <w:tcW w:w="2167" w:type="dxa"/>
            <w:shd w:val="clear" w:color="auto" w:fill="0070C0"/>
            <w:vAlign w:val="center"/>
          </w:tcPr>
          <w:p w14:paraId="40E85A51" w14:textId="77777777" w:rsidR="00DC4D01" w:rsidRPr="00422CA2" w:rsidRDefault="00011A1B" w:rsidP="007C546C">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Valor Aceptable</w:t>
            </w:r>
          </w:p>
        </w:tc>
      </w:tr>
      <w:tr w:rsidR="00422CA2" w:rsidRPr="00422CA2" w14:paraId="40E85A56" w14:textId="77777777" w:rsidTr="00EE79D4">
        <w:trPr>
          <w:jc w:val="center"/>
        </w:trPr>
        <w:tc>
          <w:tcPr>
            <w:tcW w:w="3036" w:type="dxa"/>
            <w:vMerge w:val="restart"/>
            <w:vAlign w:val="center"/>
          </w:tcPr>
          <w:p w14:paraId="40E85A53"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Resistencia de aislamiento</w:t>
            </w:r>
          </w:p>
        </w:tc>
        <w:tc>
          <w:tcPr>
            <w:tcW w:w="3186" w:type="dxa"/>
          </w:tcPr>
          <w:p w14:paraId="40E85A54"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vMerge w:val="restart"/>
            <w:vAlign w:val="center"/>
          </w:tcPr>
          <w:p w14:paraId="40E85A55"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Mayor a 1 Mohms</w:t>
            </w:r>
          </w:p>
        </w:tc>
      </w:tr>
      <w:tr w:rsidR="00422CA2" w:rsidRPr="00422CA2" w14:paraId="40E85A5A" w14:textId="77777777" w:rsidTr="00EE79D4">
        <w:trPr>
          <w:jc w:val="center"/>
        </w:trPr>
        <w:tc>
          <w:tcPr>
            <w:tcW w:w="3036" w:type="dxa"/>
            <w:vMerge/>
          </w:tcPr>
          <w:p w14:paraId="40E85A57" w14:textId="77777777" w:rsidR="00DC4D01" w:rsidRPr="00422CA2" w:rsidRDefault="00DC4D01" w:rsidP="007C546C">
            <w:pPr>
              <w:spacing w:before="60" w:after="60" w:line="276" w:lineRule="auto"/>
              <w:rPr>
                <w:rFonts w:ascii="ITC Avant Garde" w:hAnsi="ITC Avant Garde"/>
                <w:sz w:val="20"/>
                <w:szCs w:val="20"/>
                <w:lang w:val="es-MX"/>
              </w:rPr>
            </w:pPr>
          </w:p>
        </w:tc>
        <w:tc>
          <w:tcPr>
            <w:tcW w:w="3186" w:type="dxa"/>
          </w:tcPr>
          <w:p w14:paraId="40E85A58"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vMerge/>
          </w:tcPr>
          <w:p w14:paraId="40E85A59" w14:textId="77777777" w:rsidR="00DC4D01" w:rsidRPr="00422CA2" w:rsidRDefault="00DC4D01" w:rsidP="007C546C">
            <w:pPr>
              <w:spacing w:before="60" w:after="60" w:line="276" w:lineRule="auto"/>
              <w:jc w:val="center"/>
              <w:rPr>
                <w:rFonts w:ascii="ITC Avant Garde" w:hAnsi="ITC Avant Garde"/>
                <w:sz w:val="20"/>
                <w:szCs w:val="20"/>
                <w:lang w:val="es-MX"/>
              </w:rPr>
            </w:pPr>
          </w:p>
        </w:tc>
      </w:tr>
      <w:tr w:rsidR="00422CA2" w:rsidRPr="00422CA2" w14:paraId="40E85A5E" w14:textId="77777777" w:rsidTr="00EE79D4">
        <w:trPr>
          <w:jc w:val="center"/>
        </w:trPr>
        <w:tc>
          <w:tcPr>
            <w:tcW w:w="3036" w:type="dxa"/>
            <w:vMerge/>
          </w:tcPr>
          <w:p w14:paraId="40E85A5B" w14:textId="77777777" w:rsidR="00DC4D01" w:rsidRPr="00422CA2" w:rsidRDefault="00DC4D01" w:rsidP="007C546C">
            <w:pPr>
              <w:spacing w:before="60" w:after="60" w:line="276" w:lineRule="auto"/>
              <w:rPr>
                <w:rFonts w:ascii="ITC Avant Garde" w:hAnsi="ITC Avant Garde"/>
                <w:sz w:val="20"/>
                <w:szCs w:val="20"/>
                <w:lang w:val="es-MX"/>
              </w:rPr>
            </w:pPr>
          </w:p>
        </w:tc>
        <w:tc>
          <w:tcPr>
            <w:tcW w:w="3186" w:type="dxa"/>
          </w:tcPr>
          <w:p w14:paraId="40E85A5C"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vMerge/>
          </w:tcPr>
          <w:p w14:paraId="40E85A5D" w14:textId="77777777" w:rsidR="00DC4D01" w:rsidRPr="00422CA2" w:rsidRDefault="00DC4D01" w:rsidP="007C546C">
            <w:pPr>
              <w:spacing w:before="60" w:after="60" w:line="276" w:lineRule="auto"/>
              <w:jc w:val="center"/>
              <w:rPr>
                <w:rFonts w:ascii="ITC Avant Garde" w:hAnsi="ITC Avant Garde"/>
                <w:sz w:val="20"/>
                <w:szCs w:val="20"/>
                <w:lang w:val="es-MX"/>
              </w:rPr>
            </w:pPr>
          </w:p>
        </w:tc>
      </w:tr>
      <w:tr w:rsidR="00422CA2" w:rsidRPr="00422CA2" w14:paraId="40E85A62" w14:textId="77777777" w:rsidTr="00EE79D4">
        <w:trPr>
          <w:trHeight w:val="275"/>
          <w:jc w:val="center"/>
        </w:trPr>
        <w:tc>
          <w:tcPr>
            <w:tcW w:w="3036" w:type="dxa"/>
            <w:vMerge w:val="restart"/>
            <w:vAlign w:val="center"/>
          </w:tcPr>
          <w:p w14:paraId="40E85A5F"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 xml:space="preserve">Capacitancia </w:t>
            </w:r>
          </w:p>
        </w:tc>
        <w:tc>
          <w:tcPr>
            <w:tcW w:w="3186" w:type="dxa"/>
          </w:tcPr>
          <w:p w14:paraId="40E85A60"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tcPr>
          <w:p w14:paraId="40E85A61" w14:textId="77777777" w:rsidR="00DC4D01" w:rsidRPr="00422CA2" w:rsidRDefault="00011A1B" w:rsidP="00774762">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52.5 nF</w:t>
            </w:r>
            <w:r w:rsidRPr="00422CA2">
              <w:rPr>
                <w:rFonts w:ascii="ITC Avant Garde" w:hAnsi="ITC Avant Garde"/>
                <w:sz w:val="20"/>
                <w:szCs w:val="20"/>
                <w:lang w:val="pt-BR"/>
              </w:rPr>
              <w:t xml:space="preserve">/ Km </w:t>
            </w:r>
            <w:r w:rsidRPr="00422CA2">
              <w:rPr>
                <w:rFonts w:ascii="ITC Avant Garde" w:hAnsi="ITC Avant Garde" w:cs="Arial"/>
                <w:sz w:val="20"/>
                <w:szCs w:val="20"/>
              </w:rPr>
              <w:t>±  5 %</w:t>
            </w:r>
          </w:p>
        </w:tc>
      </w:tr>
      <w:tr w:rsidR="00422CA2" w:rsidRPr="00422CA2" w14:paraId="40E85A66" w14:textId="77777777" w:rsidTr="00EE79D4">
        <w:trPr>
          <w:trHeight w:val="263"/>
          <w:jc w:val="center"/>
        </w:trPr>
        <w:tc>
          <w:tcPr>
            <w:tcW w:w="3036" w:type="dxa"/>
            <w:vMerge/>
            <w:vAlign w:val="center"/>
          </w:tcPr>
          <w:p w14:paraId="40E85A63" w14:textId="77777777" w:rsidR="00DC4D01" w:rsidRPr="00422CA2" w:rsidRDefault="00DC4D01" w:rsidP="007C546C">
            <w:pPr>
              <w:spacing w:before="60" w:after="60" w:line="276" w:lineRule="auto"/>
              <w:jc w:val="center"/>
              <w:rPr>
                <w:rFonts w:ascii="ITC Avant Garde" w:hAnsi="ITC Avant Garde"/>
                <w:sz w:val="20"/>
                <w:szCs w:val="20"/>
                <w:lang w:val="es-MX"/>
              </w:rPr>
            </w:pPr>
          </w:p>
        </w:tc>
        <w:tc>
          <w:tcPr>
            <w:tcW w:w="3186" w:type="dxa"/>
          </w:tcPr>
          <w:p w14:paraId="40E85A64"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tcPr>
          <w:p w14:paraId="40E85A65" w14:textId="77777777" w:rsidR="00DC4D01" w:rsidRPr="00422CA2" w:rsidRDefault="00011A1B" w:rsidP="00774762">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r w:rsidR="00422CA2" w:rsidRPr="00422CA2" w14:paraId="40E85A6A" w14:textId="77777777" w:rsidTr="00EE79D4">
        <w:trPr>
          <w:jc w:val="center"/>
        </w:trPr>
        <w:tc>
          <w:tcPr>
            <w:tcW w:w="3036" w:type="dxa"/>
            <w:vMerge/>
            <w:vAlign w:val="center"/>
          </w:tcPr>
          <w:p w14:paraId="40E85A67" w14:textId="77777777" w:rsidR="00DC4D01" w:rsidRPr="00422CA2" w:rsidRDefault="00DC4D01" w:rsidP="007C546C">
            <w:pPr>
              <w:spacing w:before="60" w:after="60" w:line="276" w:lineRule="auto"/>
              <w:rPr>
                <w:rFonts w:ascii="ITC Avant Garde" w:hAnsi="ITC Avant Garde"/>
                <w:sz w:val="20"/>
                <w:szCs w:val="20"/>
                <w:lang w:val="es-MX"/>
              </w:rPr>
            </w:pPr>
          </w:p>
        </w:tc>
        <w:tc>
          <w:tcPr>
            <w:tcW w:w="3186" w:type="dxa"/>
          </w:tcPr>
          <w:p w14:paraId="40E85A68" w14:textId="77777777" w:rsidR="00DC4D01" w:rsidRPr="00422CA2" w:rsidRDefault="00011A1B" w:rsidP="007C546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tcPr>
          <w:p w14:paraId="40E85A69" w14:textId="77777777" w:rsidR="00DC4D01" w:rsidRPr="00422CA2" w:rsidRDefault="00011A1B" w:rsidP="00774762">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bl>
    <w:p w14:paraId="40E85A6B" w14:textId="70A5BCB2" w:rsidR="00DC4D01" w:rsidRPr="00422CA2" w:rsidRDefault="007B16EB" w:rsidP="003863F0">
      <w:pPr>
        <w:spacing w:before="120" w:after="200" w:line="276" w:lineRule="auto"/>
        <w:ind w:left="284"/>
        <w:jc w:val="center"/>
        <w:rPr>
          <w:rFonts w:ascii="ITC Avant Garde" w:hAnsi="ITC Avant Garde"/>
          <w:sz w:val="18"/>
          <w:szCs w:val="18"/>
          <w:lang w:val="es-MX"/>
        </w:rPr>
      </w:pPr>
      <w:r w:rsidRPr="00422CA2">
        <w:rPr>
          <w:rFonts w:ascii="ITC Avant Garde" w:hAnsi="ITC Avant Garde"/>
          <w:sz w:val="18"/>
          <w:szCs w:val="18"/>
          <w:lang w:val="es-MX"/>
        </w:rPr>
        <w:t>Tabla 1</w:t>
      </w:r>
      <w:r w:rsidR="00A31898" w:rsidRPr="00422CA2">
        <w:rPr>
          <w:rFonts w:ascii="ITC Avant Garde" w:hAnsi="ITC Avant Garde"/>
          <w:sz w:val="18"/>
          <w:szCs w:val="18"/>
          <w:lang w:val="es-MX"/>
        </w:rPr>
        <w:t>2</w:t>
      </w:r>
      <w:r w:rsidRPr="00422CA2">
        <w:rPr>
          <w:rFonts w:ascii="ITC Avant Garde" w:hAnsi="ITC Avant Garde"/>
          <w:sz w:val="18"/>
          <w:szCs w:val="18"/>
          <w:lang w:val="es-MX"/>
        </w:rPr>
        <w:t xml:space="preserve"> </w:t>
      </w:r>
      <w:r w:rsidR="00864494" w:rsidRPr="00422CA2">
        <w:rPr>
          <w:rFonts w:ascii="ITC Avant Garde" w:hAnsi="ITC Avant Garde"/>
          <w:sz w:val="18"/>
          <w:szCs w:val="18"/>
          <w:lang w:val="es-MX"/>
        </w:rPr>
        <w:t>Valores aceptables de resistencia y capacitancia</w:t>
      </w:r>
    </w:p>
    <w:p w14:paraId="3C828C70" w14:textId="42E288B2" w:rsidR="000418D8" w:rsidRPr="00422CA2" w:rsidRDefault="004E19B7" w:rsidP="003863F0">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Los parámetros señalados son los que Telmex utiliza para su propia operación.</w:t>
      </w:r>
    </w:p>
    <w:p w14:paraId="5E1E81AA" w14:textId="7752705D" w:rsidR="000418D8" w:rsidRPr="00422CA2" w:rsidRDefault="000418D8" w:rsidP="003863F0">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lastRenderedPageBreak/>
        <w:t>Usuario existente.</w:t>
      </w:r>
    </w:p>
    <w:p w14:paraId="515B34C0" w14:textId="77777777" w:rsidR="000418D8" w:rsidRPr="00422CA2" w:rsidRDefault="000418D8" w:rsidP="003863F0">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No proceden pruebas en el bucle, se comprobará la presencia de tono en la línea y la ausencia de ruidos</w:t>
      </w:r>
    </w:p>
    <w:p w14:paraId="1CBDB698" w14:textId="0A7244F0" w:rsidR="000418D8" w:rsidRPr="00422CA2" w:rsidRDefault="000418D8" w:rsidP="003863F0">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para la realización de pruebas del Bucle de Fibra Óptica (GPON</w:t>
      </w:r>
    </w:p>
    <w:p w14:paraId="32DD9AC9" w14:textId="32C58756" w:rsidR="000418D8" w:rsidRPr="00422CA2" w:rsidRDefault="000418D8" w:rsidP="003863F0">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Usuario existente o nuevo</w:t>
      </w:r>
    </w:p>
    <w:p w14:paraId="63183566" w14:textId="3D88C522" w:rsidR="000418D8" w:rsidRPr="00422CA2" w:rsidRDefault="000418D8" w:rsidP="003863F0">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Previo a la ejecución efectiva de la </w:t>
      </w:r>
      <w:r w:rsidR="004E19B7" w:rsidRPr="00422CA2">
        <w:rPr>
          <w:rFonts w:ascii="ITC Avant Garde" w:hAnsi="ITC Avant Garde"/>
          <w:sz w:val="22"/>
          <w:szCs w:val="22"/>
          <w:lang w:val="es-MX"/>
        </w:rPr>
        <w:t>reventa</w:t>
      </w:r>
      <w:r w:rsidRPr="00422CA2">
        <w:rPr>
          <w:rFonts w:ascii="ITC Avant Garde" w:hAnsi="ITC Avant Garde"/>
          <w:sz w:val="22"/>
          <w:szCs w:val="22"/>
          <w:lang w:val="es-MX"/>
        </w:rPr>
        <w:t xml:space="preserve"> se realizará una prueba de potencia óptica por </w:t>
      </w:r>
      <w:r w:rsidR="004E19B7" w:rsidRPr="00422CA2">
        <w:rPr>
          <w:rFonts w:ascii="ITC Avant Garde" w:hAnsi="ITC Avant Garde"/>
          <w:sz w:val="22"/>
          <w:szCs w:val="22"/>
          <w:lang w:val="es-MX"/>
        </w:rPr>
        <w:t>u</w:t>
      </w:r>
      <w:r w:rsidRPr="00422CA2">
        <w:rPr>
          <w:rFonts w:ascii="ITC Avant Garde" w:hAnsi="ITC Avant Garde"/>
          <w:sz w:val="22"/>
          <w:szCs w:val="22"/>
          <w:lang w:val="es-MX"/>
        </w:rPr>
        <w:t>suario y se registrará el valor (&gt; -28 dBm).</w:t>
      </w:r>
    </w:p>
    <w:p w14:paraId="40E85A6C" w14:textId="77777777" w:rsidR="008E6748" w:rsidRPr="00422CA2" w:rsidRDefault="00011A1B" w:rsidP="003863F0">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Potencia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6"/>
        <w:gridCol w:w="3186"/>
      </w:tblGrid>
      <w:tr w:rsidR="00422CA2" w:rsidRPr="00422CA2" w14:paraId="40E85A6F" w14:textId="77777777" w:rsidTr="003863F0">
        <w:trPr>
          <w:jc w:val="center"/>
        </w:trPr>
        <w:tc>
          <w:tcPr>
            <w:tcW w:w="3036" w:type="dxa"/>
            <w:shd w:val="clear" w:color="auto" w:fill="0070C0"/>
            <w:vAlign w:val="center"/>
          </w:tcPr>
          <w:p w14:paraId="40E85A6D" w14:textId="77777777" w:rsidR="00FD1651" w:rsidRPr="00422CA2" w:rsidRDefault="00011A1B" w:rsidP="00774762">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Parámetro</w:t>
            </w:r>
          </w:p>
        </w:tc>
        <w:tc>
          <w:tcPr>
            <w:tcW w:w="3186" w:type="dxa"/>
            <w:shd w:val="clear" w:color="auto" w:fill="0070C0"/>
            <w:vAlign w:val="center"/>
          </w:tcPr>
          <w:p w14:paraId="40E85A6E" w14:textId="77777777" w:rsidR="00FD1651" w:rsidRPr="00422CA2" w:rsidRDefault="00011A1B" w:rsidP="00774762">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Valor Aceptable</w:t>
            </w:r>
          </w:p>
        </w:tc>
      </w:tr>
      <w:tr w:rsidR="00422CA2" w:rsidRPr="00422CA2" w14:paraId="40E85A72" w14:textId="77777777" w:rsidTr="003863F0">
        <w:trPr>
          <w:trHeight w:val="275"/>
          <w:jc w:val="center"/>
        </w:trPr>
        <w:tc>
          <w:tcPr>
            <w:tcW w:w="3036" w:type="dxa"/>
            <w:vAlign w:val="center"/>
          </w:tcPr>
          <w:p w14:paraId="40E85A70" w14:textId="77777777" w:rsidR="00FD1651" w:rsidRPr="00422CA2" w:rsidRDefault="00011A1B" w:rsidP="00774762">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Potencia</w:t>
            </w:r>
          </w:p>
        </w:tc>
        <w:tc>
          <w:tcPr>
            <w:tcW w:w="3186" w:type="dxa"/>
          </w:tcPr>
          <w:p w14:paraId="40E85A71" w14:textId="2B45ADA9" w:rsidR="00FD1651" w:rsidRPr="00422CA2" w:rsidRDefault="00011A1B" w:rsidP="00774762">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Mayor a  -28 d</w:t>
            </w:r>
            <w:r w:rsidR="001827F4" w:rsidRPr="00422CA2">
              <w:rPr>
                <w:rFonts w:ascii="ITC Avant Garde" w:hAnsi="ITC Avant Garde"/>
                <w:sz w:val="20"/>
                <w:szCs w:val="20"/>
                <w:lang w:val="es-MX"/>
              </w:rPr>
              <w:t>Bm</w:t>
            </w:r>
          </w:p>
        </w:tc>
      </w:tr>
    </w:tbl>
    <w:p w14:paraId="40E85A73" w14:textId="7724547C" w:rsidR="00864494" w:rsidRPr="00422CA2" w:rsidRDefault="007B16EB" w:rsidP="003863F0">
      <w:pPr>
        <w:spacing w:before="120" w:after="200" w:line="276" w:lineRule="auto"/>
        <w:jc w:val="center"/>
        <w:rPr>
          <w:rFonts w:ascii="ITC Avant Garde" w:hAnsi="ITC Avant Garde"/>
          <w:sz w:val="18"/>
          <w:szCs w:val="18"/>
          <w:lang w:val="es-MX"/>
        </w:rPr>
      </w:pPr>
      <w:r w:rsidRPr="00422CA2">
        <w:rPr>
          <w:rFonts w:ascii="ITC Avant Garde" w:hAnsi="ITC Avant Garde"/>
          <w:sz w:val="16"/>
          <w:szCs w:val="18"/>
          <w:lang w:val="es-MX"/>
        </w:rPr>
        <w:t>Tabla 1</w:t>
      </w:r>
      <w:r w:rsidR="00A31898" w:rsidRPr="00422CA2">
        <w:rPr>
          <w:rFonts w:ascii="ITC Avant Garde" w:hAnsi="ITC Avant Garde"/>
          <w:sz w:val="16"/>
          <w:szCs w:val="18"/>
          <w:lang w:val="es-MX"/>
        </w:rPr>
        <w:t>3</w:t>
      </w:r>
      <w:r w:rsidRPr="00422CA2">
        <w:rPr>
          <w:rFonts w:ascii="ITC Avant Garde" w:hAnsi="ITC Avant Garde"/>
          <w:sz w:val="16"/>
          <w:szCs w:val="18"/>
          <w:lang w:val="es-MX"/>
        </w:rPr>
        <w:t xml:space="preserve"> </w:t>
      </w:r>
      <w:r w:rsidR="00864494" w:rsidRPr="00422CA2">
        <w:rPr>
          <w:rFonts w:ascii="ITC Avant Garde" w:hAnsi="ITC Avant Garde"/>
          <w:sz w:val="16"/>
          <w:szCs w:val="18"/>
          <w:lang w:val="es-MX"/>
        </w:rPr>
        <w:t>Valores aceptables de potencia</w:t>
      </w:r>
    </w:p>
    <w:p w14:paraId="15355E36" w14:textId="6B4AD087" w:rsidR="002D041B" w:rsidRPr="00422CA2" w:rsidRDefault="002D04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los servicios que se prestan por Fibra Óptica aplicarán los siguientes parámetros en la puesta en operación:</w:t>
      </w:r>
    </w:p>
    <w:p w14:paraId="3B6BF690" w14:textId="2DF85896" w:rsidR="002D041B" w:rsidRPr="00422CA2" w:rsidRDefault="002D04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Latencia: 50 (ms)</w:t>
      </w:r>
    </w:p>
    <w:p w14:paraId="37DECDF3" w14:textId="0C19E1F6" w:rsidR="002D041B" w:rsidRPr="00422CA2" w:rsidRDefault="002D04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Pérdida de paquetes 0.4%</w:t>
      </w:r>
    </w:p>
    <w:p w14:paraId="6FE3EAD7" w14:textId="58EA3A33" w:rsidR="002D041B" w:rsidRPr="00422CA2" w:rsidRDefault="002D04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Disponibilidad del servicio 99.</w:t>
      </w:r>
      <w:r w:rsidR="005B65FC" w:rsidRPr="00422CA2">
        <w:rPr>
          <w:rFonts w:ascii="ITC Avant Garde" w:hAnsi="ITC Avant Garde"/>
          <w:sz w:val="22"/>
          <w:szCs w:val="22"/>
          <w:lang w:val="es-MX"/>
        </w:rPr>
        <w:t>9</w:t>
      </w:r>
      <w:r w:rsidRPr="00422CA2">
        <w:rPr>
          <w:rFonts w:ascii="ITC Avant Garde" w:hAnsi="ITC Avant Garde"/>
          <w:sz w:val="22"/>
          <w:szCs w:val="22"/>
          <w:lang w:val="es-MX"/>
        </w:rPr>
        <w:t>0%</w:t>
      </w:r>
    </w:p>
    <w:p w14:paraId="39FDCA86" w14:textId="537BCA93" w:rsidR="00437257" w:rsidRPr="00422CA2" w:rsidRDefault="00437257" w:rsidP="007C546C">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Pruebas de la Conexión de datos</w:t>
      </w:r>
    </w:p>
    <w:p w14:paraId="76B35505" w14:textId="77777777" w:rsidR="00437257" w:rsidRPr="00422CA2" w:rsidRDefault="00437257"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Se realizará una prueba de sincronía entre el modem y el DSLAM o entre la ONT y la OLT de la línea. Se comprobarán y registrarán los resultados de la prueba y se le comunicarán al CS. Si los valores mínimos no se cumplen la prueba se considerará fallida y el servicio no se considerará entregado</w:t>
      </w:r>
    </w:p>
    <w:p w14:paraId="315C5A9E" w14:textId="72D817C7" w:rsidR="00437257" w:rsidRPr="00422CA2" w:rsidRDefault="00437257"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Los parámetros que se comprobaran son la velocidad de sincronización de bajada y subida. Sus valores mínimos serán los correspondientes al perfil comercial.</w:t>
      </w:r>
    </w:p>
    <w:p w14:paraId="1304CBE7" w14:textId="22BEF8DA" w:rsidR="002B1D5F" w:rsidRPr="00422CA2" w:rsidRDefault="002B1D5F" w:rsidP="007C546C">
      <w:pPr>
        <w:spacing w:after="200" w:line="276" w:lineRule="auto"/>
        <w:jc w:val="both"/>
        <w:rPr>
          <w:rFonts w:ascii="ITC Avant Garde" w:hAnsi="ITC Avant Garde"/>
          <w:sz w:val="22"/>
          <w:szCs w:val="22"/>
          <w:lang w:val="es-MX"/>
        </w:rPr>
      </w:pPr>
      <w:bookmarkStart w:id="313" w:name="_Toc436840892"/>
      <w:bookmarkStart w:id="314" w:name="_Toc436846329"/>
      <w:bookmarkStart w:id="315" w:name="_Toc436848279"/>
      <w:bookmarkStart w:id="316" w:name="_Toc436856527"/>
      <w:bookmarkStart w:id="317" w:name="_Toc436862673"/>
      <w:bookmarkStart w:id="318" w:name="_Toc436866323"/>
      <w:bookmarkStart w:id="319" w:name="_Toc436870902"/>
      <w:bookmarkStart w:id="320" w:name="_Toc436875894"/>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40E85A75" w14:textId="77777777" w:rsidR="00530A32" w:rsidRPr="00422CA2" w:rsidRDefault="00011A1B" w:rsidP="004129D1">
      <w:pPr>
        <w:pStyle w:val="Ttulo1"/>
      </w:pPr>
      <w:bookmarkStart w:id="321" w:name="_Toc437602082"/>
      <w:r w:rsidRPr="00422CA2">
        <w:t>4.8.1</w:t>
      </w:r>
      <w:r w:rsidRPr="00422CA2">
        <w:tab/>
        <w:t>Propuesta de mejora de parámetros de calidad</w:t>
      </w:r>
      <w:bookmarkEnd w:id="313"/>
      <w:bookmarkEnd w:id="314"/>
      <w:bookmarkEnd w:id="315"/>
      <w:bookmarkEnd w:id="316"/>
      <w:bookmarkEnd w:id="317"/>
      <w:bookmarkEnd w:id="318"/>
      <w:bookmarkEnd w:id="319"/>
      <w:bookmarkEnd w:id="320"/>
      <w:bookmarkEnd w:id="321"/>
    </w:p>
    <w:p w14:paraId="5BFFF2C7" w14:textId="2B489383" w:rsidR="007B16EB" w:rsidRPr="00422CA2" w:rsidRDefault="00011A1B" w:rsidP="007B16EB">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A partir de las mediciones y estadísticas que se obtengan durante </w:t>
      </w:r>
      <w:r w:rsidR="007B16EB" w:rsidRPr="00422CA2">
        <w:rPr>
          <w:rFonts w:ascii="ITC Avant Garde" w:hAnsi="ITC Avant Garde"/>
          <w:sz w:val="22"/>
          <w:szCs w:val="22"/>
          <w:lang w:val="es-MX"/>
        </w:rPr>
        <w:t>medio</w:t>
      </w:r>
      <w:r w:rsidRPr="00422CA2">
        <w:rPr>
          <w:rFonts w:ascii="ITC Avant Garde" w:hAnsi="ITC Avant Garde"/>
          <w:sz w:val="22"/>
          <w:szCs w:val="22"/>
          <w:lang w:val="es-MX"/>
        </w:rPr>
        <w:t xml:space="preserve"> año de operación de los parámetros e indicadores de calidad que se proponen en el presente documento, </w:t>
      </w:r>
      <w:r w:rsidR="004445C0" w:rsidRPr="00422CA2">
        <w:rPr>
          <w:rFonts w:ascii="ITC Avant Garde" w:hAnsi="ITC Avant Garde"/>
          <w:sz w:val="22"/>
          <w:szCs w:val="22"/>
          <w:lang w:val="es-MX"/>
        </w:rPr>
        <w:t xml:space="preserve">mismas que deberán estar disponibles para los CS y para el </w:t>
      </w:r>
      <w:r w:rsidR="004445C0" w:rsidRPr="00422CA2">
        <w:rPr>
          <w:rFonts w:ascii="ITC Avant Garde" w:hAnsi="ITC Avant Garde"/>
          <w:sz w:val="22"/>
          <w:szCs w:val="22"/>
          <w:lang w:val="es-MX"/>
        </w:rPr>
        <w:lastRenderedPageBreak/>
        <w:t xml:space="preserve">Instituto, </w:t>
      </w:r>
      <w:r w:rsidRPr="00422CA2">
        <w:rPr>
          <w:rFonts w:ascii="ITC Avant Garde" w:hAnsi="ITC Avant Garde"/>
          <w:sz w:val="22"/>
          <w:szCs w:val="22"/>
          <w:lang w:val="es-MX"/>
        </w:rPr>
        <w:t xml:space="preserve"> se elaborará una estrategia que permita mejorar el desempeño de los mismos, lo anterior implica un ejercicio de identificación de áreas de oportunidad, así como de establecer las acciones a desarrollar en el futuro para introducir mejoras. </w:t>
      </w:r>
      <w:r w:rsidR="007B16EB" w:rsidRPr="00422CA2">
        <w:rPr>
          <w:rFonts w:ascii="ITC Avant Garde" w:hAnsi="ITC Avant Garde"/>
          <w:sz w:val="22"/>
          <w:szCs w:val="22"/>
          <w:lang w:val="es-MX"/>
        </w:rPr>
        <w:t xml:space="preserve">Por lo anterior, la implementación del Plan de Mejora requerirá de tiempo hasta conseguir un nivel de maduración adecuado. </w:t>
      </w:r>
    </w:p>
    <w:p w14:paraId="40E85A77" w14:textId="389209CE" w:rsidR="00832E65" w:rsidRPr="00422CA2" w:rsidRDefault="0085345C" w:rsidP="00832E65">
      <w:pPr>
        <w:spacing w:after="200" w:line="276" w:lineRule="auto"/>
        <w:jc w:val="both"/>
        <w:rPr>
          <w:rFonts w:ascii="ITC Avant Garde" w:hAnsi="ITC Avant Garde"/>
        </w:rPr>
      </w:pPr>
      <w:r>
        <w:rPr>
          <w:rFonts w:ascii="ITC Avant Garde" w:hAnsi="ITC Avant Garde"/>
          <w:noProof/>
          <w:lang w:val="es-MX" w:eastAsia="es-MX"/>
        </w:rPr>
        <mc:AlternateContent>
          <mc:Choice Requires="wps">
            <w:drawing>
              <wp:anchor distT="0" distB="0" distL="114300" distR="114300" simplePos="0" relativeHeight="251658242" behindDoc="0" locked="0" layoutInCell="1" allowOverlap="1" wp14:anchorId="40E860CF" wp14:editId="0BD9AB6C">
                <wp:simplePos x="0" y="0"/>
                <wp:positionH relativeFrom="column">
                  <wp:posOffset>744855</wp:posOffset>
                </wp:positionH>
                <wp:positionV relativeFrom="paragraph">
                  <wp:posOffset>11430</wp:posOffset>
                </wp:positionV>
                <wp:extent cx="4575810" cy="342900"/>
                <wp:effectExtent l="0" t="3810" r="0" b="0"/>
                <wp:wrapNone/>
                <wp:docPr id="37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581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86165" w14:textId="77777777" w:rsidR="00CA026A" w:rsidRPr="007C546C" w:rsidRDefault="00CA026A" w:rsidP="00832E65">
                            <w:pPr>
                              <w:rPr>
                                <w:rFonts w:ascii="ITC Avant Garde" w:hAnsi="ITC Avant Garde"/>
                                <w:b/>
                                <w:sz w:val="22"/>
                                <w:szCs w:val="22"/>
                                <w:lang w:val="es-MX"/>
                              </w:rPr>
                            </w:pPr>
                            <w:r w:rsidRPr="007C546C">
                              <w:rPr>
                                <w:rFonts w:ascii="ITC Avant Garde" w:hAnsi="ITC Avant Garde"/>
                                <w:b/>
                                <w:sz w:val="22"/>
                                <w:szCs w:val="22"/>
                                <w:lang w:val="es-MX"/>
                              </w:rPr>
                              <w:t>Componentes del Plan de Mejora de Indicadores de Calidad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860CF" id="Rectangle 35" o:spid="_x0000_s1026" style="position:absolute;left:0;text-align:left;margin-left:58.65pt;margin-top:.9pt;width:360.3pt;height:2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" filled="f" stroked="f">
                <v:textbox>
                  <w:txbxContent>
                    <w:p w14:paraId="40E86165" w14:textId="77777777" w:rsidR="00CA026A" w:rsidRPr="007C546C" w:rsidRDefault="00CA026A" w:rsidP="00832E65">
                      <w:pPr>
                        <w:rPr>
                          <w:rFonts w:ascii="ITC Avant Garde" w:hAnsi="ITC Avant Garde"/>
                          <w:b/>
                          <w:sz w:val="22"/>
                          <w:szCs w:val="22"/>
                          <w:lang w:val="es-MX"/>
                        </w:rPr>
                      </w:pPr>
                      <w:r w:rsidRPr="007C546C">
                        <w:rPr>
                          <w:rFonts w:ascii="ITC Avant Garde" w:hAnsi="ITC Avant Garde"/>
                          <w:b/>
                          <w:sz w:val="22"/>
                          <w:szCs w:val="22"/>
                          <w:lang w:val="es-MX"/>
                        </w:rPr>
                        <w:t>Componentes del Plan de Mejora de Indicadores de Calidad</w:t>
                      </w:r>
                    </w:p>
                  </w:txbxContent>
                </v:textbox>
              </v:rect>
            </w:pict>
          </mc:Fallback>
        </mc:AlternateContent>
      </w:r>
      <w:r>
        <w:rPr>
          <w:rFonts w:ascii="ITC Avant Garde" w:hAnsi="ITC Avant Garde"/>
          <w:noProof/>
          <w:lang w:val="es-MX" w:eastAsia="es-MX"/>
        </w:rPr>
        <mc:AlternateContent>
          <mc:Choice Requires="wps">
            <w:drawing>
              <wp:anchor distT="0" distB="0" distL="114300" distR="114300" simplePos="0" relativeHeight="251658244" behindDoc="0" locked="0" layoutInCell="1" allowOverlap="1" wp14:anchorId="40E860CF" wp14:editId="183209F5">
                <wp:simplePos x="0" y="0"/>
                <wp:positionH relativeFrom="column">
                  <wp:posOffset>-1715135</wp:posOffset>
                </wp:positionH>
                <wp:positionV relativeFrom="paragraph">
                  <wp:posOffset>-5465445</wp:posOffset>
                </wp:positionV>
                <wp:extent cx="635000" cy="635000"/>
                <wp:effectExtent l="12700" t="13335" r="9525" b="8890"/>
                <wp:wrapNone/>
                <wp:docPr id="37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89118D" id="_x0000_t202" coordsize="21600,21600" o:spt="202" path="m,l,21600r21600,l21600,xe">
                <v:stroke joinstyle="miter"/>
                <v:path gradientshapeok="t" o:connecttype="rect"/>
              </v:shapetype>
              <v:shape id="Text Box 41" o:spid="_x0000_s1026" type="#_x0000_t202" style="position:absolute;margin-left:-135.05pt;margin-top:-430.35pt;width:50pt;height:50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"/>
            </w:pict>
          </mc:Fallback>
        </mc:AlternateContent>
      </w:r>
      <w:r w:rsidR="00530A32" w:rsidRPr="00422CA2">
        <w:rPr>
          <w:rFonts w:ascii="ITC Avant Garde" w:hAnsi="ITC Avant Garde"/>
          <w:noProof/>
          <w:lang w:val="es-MX" w:eastAsia="es-MX"/>
        </w:rPr>
        <w:drawing>
          <wp:inline distT="0" distB="0" distL="0" distR="0" wp14:anchorId="40E860D0" wp14:editId="40E860D1">
            <wp:extent cx="5483606" cy="1697126"/>
            <wp:effectExtent l="19050" t="0" r="22225" b="0"/>
            <wp:docPr id="17"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0B1FC317" w14:textId="0FD70688" w:rsidR="007B16EB" w:rsidRPr="00422CA2" w:rsidRDefault="007B16EB" w:rsidP="00832E65">
      <w:pPr>
        <w:spacing w:after="200" w:line="276" w:lineRule="auto"/>
        <w:jc w:val="both"/>
        <w:rPr>
          <w:rFonts w:ascii="ITC Avant Garde" w:hAnsi="ITC Avant Garde"/>
          <w:sz w:val="22"/>
          <w:szCs w:val="22"/>
          <w:lang w:val="es-MX"/>
        </w:rPr>
      </w:pPr>
      <w:bookmarkStart w:id="322" w:name="_Toc436840893"/>
      <w:bookmarkStart w:id="323" w:name="_Toc436846330"/>
      <w:bookmarkStart w:id="324" w:name="_Toc436848280"/>
      <w:bookmarkStart w:id="325" w:name="_Toc436856528"/>
      <w:bookmarkStart w:id="326" w:name="_Toc436862674"/>
      <w:bookmarkStart w:id="327" w:name="_Toc436866324"/>
      <w:bookmarkStart w:id="328" w:name="_Toc436870903"/>
      <w:bookmarkStart w:id="329" w:name="_Toc436875895"/>
      <w:r w:rsidRPr="00422CA2">
        <w:rPr>
          <w:rFonts w:ascii="ITC Avant Garde" w:hAnsi="ITC Avant Garde"/>
          <w:sz w:val="22"/>
          <w:szCs w:val="22"/>
          <w:lang w:val="es-MX"/>
        </w:rPr>
        <w:t>Si al término de medio año existen evidencias suficientes para determinar mejoras en los parámetros, se llevará a cabo entonces la identificación de áreas de oportunidad, mientras que si no existen tales evidencias, el ejercicio se podrá realizar al cabo de un año.</w:t>
      </w:r>
    </w:p>
    <w:p w14:paraId="40E85A79" w14:textId="77777777" w:rsidR="00530A32" w:rsidRPr="00422CA2" w:rsidRDefault="00011A1B" w:rsidP="004129D1">
      <w:pPr>
        <w:pStyle w:val="Ttulo1"/>
      </w:pPr>
      <w:bookmarkStart w:id="330" w:name="_Toc437602083"/>
      <w:r w:rsidRPr="00422CA2">
        <w:t>4.9</w:t>
      </w:r>
      <w:r w:rsidRPr="00422CA2">
        <w:tab/>
        <w:t>Procedimiento para la realización de pruebas de entrega de los servicios de Reventa</w:t>
      </w:r>
      <w:bookmarkEnd w:id="322"/>
      <w:bookmarkEnd w:id="323"/>
      <w:bookmarkEnd w:id="324"/>
      <w:bookmarkEnd w:id="325"/>
      <w:bookmarkEnd w:id="326"/>
      <w:bookmarkEnd w:id="327"/>
      <w:bookmarkEnd w:id="328"/>
      <w:bookmarkEnd w:id="329"/>
      <w:bookmarkEnd w:id="330"/>
    </w:p>
    <w:p w14:paraId="0F816466" w14:textId="66F7ED7A" w:rsidR="000C71DF" w:rsidRPr="00422CA2" w:rsidRDefault="000C71DF" w:rsidP="007C546C">
      <w:pPr>
        <w:spacing w:after="200" w:line="276" w:lineRule="auto"/>
        <w:rPr>
          <w:rFonts w:ascii="ITC Avant Garde" w:hAnsi="ITC Avant Garde"/>
          <w:sz w:val="22"/>
          <w:szCs w:val="22"/>
          <w:lang w:val="es-ES"/>
        </w:rPr>
      </w:pPr>
      <w:bookmarkStart w:id="331" w:name="RANGE!A4:F19"/>
      <w:bookmarkEnd w:id="331"/>
      <w:r w:rsidRPr="00422CA2">
        <w:rPr>
          <w:rFonts w:ascii="ITC Avant Garde" w:hAnsi="ITC Avant Garde"/>
          <w:sz w:val="22"/>
          <w:szCs w:val="22"/>
          <w:lang w:val="es-ES"/>
        </w:rPr>
        <w:t>Las pruebas de entrega a ser realizadas para los servicios de Reventa ofrecidos a los CS serán en todo momento las correspondientes a las que Telmex utiliza para sus propias operaciones.</w:t>
      </w:r>
    </w:p>
    <w:p w14:paraId="40E85A7B" w14:textId="77777777" w:rsidR="00D33CB8" w:rsidRPr="00422CA2" w:rsidRDefault="00011A1B" w:rsidP="007C546C">
      <w:pPr>
        <w:pStyle w:val="Prrafodelista"/>
        <w:numPr>
          <w:ilvl w:val="0"/>
          <w:numId w:val="119"/>
        </w:numPr>
        <w:spacing w:after="200" w:line="276" w:lineRule="auto"/>
        <w:rPr>
          <w:rFonts w:ascii="ITC Avant Garde" w:hAnsi="ITC Avant Garde"/>
          <w:b/>
          <w:bCs/>
          <w:i/>
          <w:iCs/>
          <w:sz w:val="22"/>
          <w:szCs w:val="22"/>
        </w:rPr>
      </w:pPr>
      <w:r w:rsidRPr="00422CA2">
        <w:rPr>
          <w:rFonts w:ascii="ITC Avant Garde" w:hAnsi="ITC Avant Garde"/>
          <w:b/>
          <w:bCs/>
          <w:i/>
          <w:iCs/>
          <w:sz w:val="22"/>
          <w:szCs w:val="22"/>
        </w:rPr>
        <w:t xml:space="preserve">Servicio de Reventa de Línea Telefónica </w:t>
      </w:r>
    </w:p>
    <w:p w14:paraId="40E85A7C" w14:textId="3349A7A9"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La prueba de entrega de los servicios cuyo medio de acceso sea el par de cobre se realiza mediante la medición de los parámetros eléctricos de resistencia de aislamiento y capacitancia y cuyo valor deberá encontrase dentro de los umbrales de aceptación establecidos en la sección 4.8 de Parámetros e indicadores de calidad</w:t>
      </w:r>
      <w:r w:rsidR="0069013A" w:rsidRPr="00422CA2">
        <w:rPr>
          <w:rFonts w:ascii="ITC Avant Garde" w:hAnsi="ITC Avant Garde"/>
          <w:sz w:val="22"/>
          <w:szCs w:val="22"/>
        </w:rPr>
        <w:t xml:space="preserve"> de esta </w:t>
      </w:r>
      <w:r w:rsidR="00CA026A">
        <w:rPr>
          <w:rFonts w:ascii="ITC Avant Garde" w:hAnsi="ITC Avant Garde"/>
          <w:sz w:val="22"/>
          <w:szCs w:val="22"/>
        </w:rPr>
        <w:t>OREDA</w:t>
      </w:r>
      <w:r w:rsidRPr="00422CA2">
        <w:rPr>
          <w:rFonts w:ascii="ITC Avant Garde" w:hAnsi="ITC Avant Garde"/>
          <w:sz w:val="22"/>
          <w:szCs w:val="22"/>
        </w:rPr>
        <w:t>.</w:t>
      </w:r>
    </w:p>
    <w:p w14:paraId="40E85A7D" w14:textId="77777777" w:rsidR="00D33CB8" w:rsidRPr="00422CA2" w:rsidRDefault="00011A1B" w:rsidP="007C546C">
      <w:pPr>
        <w:spacing w:after="200" w:line="276" w:lineRule="auto"/>
        <w:jc w:val="both"/>
        <w:rPr>
          <w:rFonts w:ascii="ITC Avant Garde" w:hAnsi="ITC Avant Garde"/>
          <w:b/>
          <w:sz w:val="22"/>
          <w:szCs w:val="22"/>
        </w:rPr>
      </w:pPr>
      <w:r w:rsidRPr="00422CA2">
        <w:rPr>
          <w:rFonts w:ascii="ITC Avant Garde" w:hAnsi="ITC Avant Garde"/>
          <w:b/>
          <w:sz w:val="22"/>
          <w:szCs w:val="22"/>
        </w:rPr>
        <w:t>Metodología</w:t>
      </w:r>
    </w:p>
    <w:p w14:paraId="40E85A7E" w14:textId="5DBEEA20"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La medición de los parámetros indicados se realiza en forma remota utilizando los recursos de la propia central o cabezas de prueba de la red al término de la ejecución y se registrarán los valores en el formato de la imagen a continuación, indicando el cumplimiento de acuerdo a la tabla de Parámetros Eléctricos de la sección 4.8</w:t>
      </w:r>
      <w:r w:rsidR="0069013A" w:rsidRPr="00422CA2">
        <w:rPr>
          <w:rFonts w:ascii="ITC Avant Garde" w:hAnsi="ITC Avant Garde"/>
          <w:sz w:val="22"/>
          <w:szCs w:val="22"/>
        </w:rPr>
        <w:t xml:space="preserve"> de esta </w:t>
      </w:r>
      <w:r w:rsidR="00CA026A">
        <w:rPr>
          <w:rFonts w:ascii="ITC Avant Garde" w:hAnsi="ITC Avant Garde"/>
          <w:sz w:val="22"/>
          <w:szCs w:val="22"/>
        </w:rPr>
        <w:t>OREDA</w:t>
      </w:r>
      <w:r w:rsidRPr="00422CA2">
        <w:rPr>
          <w:rFonts w:ascii="ITC Avant Garde" w:hAnsi="ITC Avant Garde"/>
          <w:sz w:val="22"/>
          <w:szCs w:val="22"/>
        </w:rPr>
        <w:t>.</w:t>
      </w:r>
    </w:p>
    <w:p w14:paraId="40E85A80" w14:textId="77777777" w:rsidR="00D33CB8" w:rsidRPr="00422CA2" w:rsidRDefault="00530A32" w:rsidP="00D33CB8">
      <w:pPr>
        <w:jc w:val="center"/>
        <w:rPr>
          <w:rFonts w:ascii="ITC Avant Garde" w:hAnsi="ITC Avant Garde"/>
          <w:sz w:val="22"/>
          <w:szCs w:val="22"/>
        </w:rPr>
      </w:pPr>
      <w:r w:rsidRPr="00422CA2">
        <w:rPr>
          <w:rFonts w:ascii="ITC Avant Garde" w:hAnsi="ITC Avant Garde"/>
          <w:noProof/>
          <w:sz w:val="22"/>
          <w:szCs w:val="22"/>
          <w:lang w:val="es-MX" w:eastAsia="es-MX"/>
        </w:rPr>
        <w:lastRenderedPageBreak/>
        <w:drawing>
          <wp:inline distT="0" distB="0" distL="0" distR="0" wp14:anchorId="40E860D2" wp14:editId="40E860D3">
            <wp:extent cx="3886200" cy="1936750"/>
            <wp:effectExtent l="19050" t="0" r="0" b="0"/>
            <wp:docPr id="38" name="Picture 1" descr="cid:image001.jpg@01D110CE.9E4F9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110CE.9E4F9CA0"/>
                    <pic:cNvPicPr>
                      <a:picLocks noChangeAspect="1" noChangeArrowheads="1"/>
                    </pic:cNvPicPr>
                  </pic:nvPicPr>
                  <pic:blipFill>
                    <a:blip r:embed="rId40" r:link="rId41" cstate="print"/>
                    <a:srcRect/>
                    <a:stretch>
                      <a:fillRect/>
                    </a:stretch>
                  </pic:blipFill>
                  <pic:spPr bwMode="auto">
                    <a:xfrm>
                      <a:off x="0" y="0"/>
                      <a:ext cx="3886200" cy="1936750"/>
                    </a:xfrm>
                    <a:prstGeom prst="rect">
                      <a:avLst/>
                    </a:prstGeom>
                    <a:noFill/>
                    <a:ln w="9525">
                      <a:noFill/>
                      <a:miter lim="800000"/>
                      <a:headEnd/>
                      <a:tailEnd/>
                    </a:ln>
                  </pic:spPr>
                </pic:pic>
              </a:graphicData>
            </a:graphic>
          </wp:inline>
        </w:drawing>
      </w:r>
    </w:p>
    <w:p w14:paraId="40E85A81" w14:textId="77B676F0" w:rsidR="00D33CB8" w:rsidRPr="00422CA2" w:rsidRDefault="00011A1B" w:rsidP="003863F0">
      <w:pPr>
        <w:spacing w:before="120" w:after="200" w:line="276" w:lineRule="auto"/>
        <w:jc w:val="center"/>
        <w:rPr>
          <w:rFonts w:ascii="ITC Avant Garde" w:hAnsi="ITC Avant Garde"/>
          <w:sz w:val="22"/>
          <w:szCs w:val="22"/>
        </w:rPr>
      </w:pPr>
      <w:r w:rsidRPr="00422CA2">
        <w:rPr>
          <w:rFonts w:ascii="ITC Avant Garde" w:hAnsi="ITC Avant Garde"/>
          <w:sz w:val="18"/>
          <w:szCs w:val="22"/>
        </w:rPr>
        <w:t>Prueba automática remota para servicio de voz.</w:t>
      </w:r>
    </w:p>
    <w:p w14:paraId="40E85A83" w14:textId="214F3C57"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En caso que la medición eléctrica remota no pueda realizarse, el técnico lleva</w:t>
      </w:r>
      <w:r w:rsidR="0022252D" w:rsidRPr="00422CA2">
        <w:rPr>
          <w:rFonts w:ascii="ITC Avant Garde" w:hAnsi="ITC Avant Garde"/>
          <w:sz w:val="22"/>
          <w:szCs w:val="22"/>
        </w:rPr>
        <w:t>rá</w:t>
      </w:r>
      <w:r w:rsidRPr="00422CA2">
        <w:rPr>
          <w:rFonts w:ascii="ITC Avant Garde" w:hAnsi="ITC Avant Garde"/>
          <w:sz w:val="22"/>
          <w:szCs w:val="22"/>
        </w:rPr>
        <w:t xml:space="preserve"> a cabo las mediciones en el domicilio del usuario con el equipo empleado por Telmex (como referencia y no limitativo se menciona el equipo COMPA) en el </w:t>
      </w:r>
      <w:r w:rsidR="0099383E" w:rsidRPr="00422CA2">
        <w:rPr>
          <w:rFonts w:ascii="ITC Avant Garde" w:hAnsi="ITC Avant Garde"/>
          <w:sz w:val="22"/>
          <w:szCs w:val="22"/>
        </w:rPr>
        <w:t>PCT</w:t>
      </w:r>
      <w:r w:rsidR="0022252D" w:rsidRPr="00422CA2">
        <w:rPr>
          <w:rFonts w:ascii="ITC Avant Garde" w:hAnsi="ITC Avant Garde"/>
          <w:sz w:val="22"/>
          <w:szCs w:val="22"/>
        </w:rPr>
        <w:t>,</w:t>
      </w:r>
      <w:r w:rsidRPr="00422CA2">
        <w:rPr>
          <w:rFonts w:ascii="ITC Avant Garde" w:hAnsi="ITC Avant Garde"/>
          <w:sz w:val="22"/>
          <w:szCs w:val="22"/>
        </w:rPr>
        <w:t xml:space="preserve"> por lo que es necesario desconectar el fusible en la central, con el fin de consultar velocidades de subida y de bajada.</w:t>
      </w:r>
    </w:p>
    <w:p w14:paraId="60B1D624" w14:textId="77777777" w:rsidR="002B1D5F" w:rsidRPr="00422CA2" w:rsidRDefault="002B1D5F" w:rsidP="002B1D5F">
      <w:pPr>
        <w:spacing w:after="200" w:line="276" w:lineRule="auto"/>
        <w:jc w:val="both"/>
        <w:rPr>
          <w:rFonts w:ascii="ITC Avant Garde" w:hAnsi="ITC Avant Garde"/>
          <w:sz w:val="22"/>
          <w:szCs w:val="22"/>
        </w:rPr>
      </w:pPr>
      <w:r w:rsidRPr="00422CA2">
        <w:rPr>
          <w:rFonts w:ascii="ITC Avant Garde" w:hAnsi="ITC Avant Garde"/>
          <w:sz w:val="22"/>
          <w:szCs w:val="22"/>
        </w:rPr>
        <w:t xml:space="preserve">Cada prueba realizada que implique el uso de un equipo de medición deberá ser ejecutada una vez calibrado correctamente dicho equipo. </w:t>
      </w:r>
    </w:p>
    <w:p w14:paraId="40E85A85" w14:textId="77777777"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En caso de no cumplimiento de los umbrales de aceptación, se procederá a realizar las actividades conducentes hasta lograr su cumplimiento.</w:t>
      </w:r>
    </w:p>
    <w:p w14:paraId="40E85A87" w14:textId="77777777"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Una vez asegurados los parámetros correctos, se reportarán en el Sistema de Captura o en el SEG cuando entre en operación, para que el CS pueda consultarlos. </w:t>
      </w:r>
    </w:p>
    <w:p w14:paraId="40E85A89" w14:textId="77777777" w:rsidR="00D33CB8" w:rsidRPr="00422CA2" w:rsidRDefault="00011A1B" w:rsidP="007C546C">
      <w:pPr>
        <w:pStyle w:val="Prrafodelista"/>
        <w:numPr>
          <w:ilvl w:val="0"/>
          <w:numId w:val="119"/>
        </w:numPr>
        <w:spacing w:after="200" w:line="276" w:lineRule="auto"/>
        <w:rPr>
          <w:rFonts w:ascii="ITC Avant Garde" w:hAnsi="ITC Avant Garde"/>
          <w:b/>
          <w:bCs/>
          <w:i/>
          <w:iCs/>
          <w:sz w:val="22"/>
          <w:szCs w:val="22"/>
        </w:rPr>
      </w:pPr>
      <w:r w:rsidRPr="00422CA2">
        <w:rPr>
          <w:rFonts w:ascii="ITC Avant Garde" w:hAnsi="ITC Avant Garde"/>
          <w:b/>
          <w:bCs/>
          <w:i/>
          <w:iCs/>
          <w:sz w:val="22"/>
          <w:szCs w:val="22"/>
        </w:rPr>
        <w:t xml:space="preserve">Servicio de Reventa Infinitum </w:t>
      </w:r>
    </w:p>
    <w:p w14:paraId="40E85A8A" w14:textId="2EE2D749" w:rsidR="00D33CB8" w:rsidRPr="00422CA2" w:rsidRDefault="00011A1B" w:rsidP="007C546C">
      <w:pPr>
        <w:spacing w:after="200" w:line="276" w:lineRule="auto"/>
        <w:rPr>
          <w:rFonts w:ascii="ITC Avant Garde" w:hAnsi="ITC Avant Garde"/>
          <w:sz w:val="22"/>
          <w:szCs w:val="22"/>
        </w:rPr>
      </w:pPr>
      <w:r w:rsidRPr="00422CA2">
        <w:rPr>
          <w:rFonts w:ascii="ITC Avant Garde" w:hAnsi="ITC Avant Garde"/>
          <w:sz w:val="22"/>
          <w:szCs w:val="22"/>
        </w:rPr>
        <w:t xml:space="preserve">Para el caso de servicios de Reventa Infinitum se tienen </w:t>
      </w:r>
      <w:r w:rsidR="0022252D" w:rsidRPr="00422CA2">
        <w:rPr>
          <w:rFonts w:ascii="ITC Avant Garde" w:hAnsi="ITC Avant Garde"/>
          <w:sz w:val="22"/>
          <w:szCs w:val="22"/>
        </w:rPr>
        <w:t xml:space="preserve">dos </w:t>
      </w:r>
      <w:r w:rsidRPr="00422CA2">
        <w:rPr>
          <w:rFonts w:ascii="ITC Avant Garde" w:hAnsi="ITC Avant Garde"/>
          <w:sz w:val="22"/>
          <w:szCs w:val="22"/>
        </w:rPr>
        <w:t xml:space="preserve">escenarios según el medio de transmisión; </w:t>
      </w:r>
    </w:p>
    <w:p w14:paraId="40E85A8B" w14:textId="77777777" w:rsidR="00D33CB8" w:rsidRPr="00422CA2" w:rsidRDefault="00011A1B" w:rsidP="007C546C">
      <w:pPr>
        <w:pStyle w:val="Prrafodelista"/>
        <w:numPr>
          <w:ilvl w:val="0"/>
          <w:numId w:val="118"/>
        </w:numPr>
        <w:spacing w:after="200" w:line="276" w:lineRule="auto"/>
        <w:ind w:left="1068"/>
        <w:jc w:val="both"/>
        <w:rPr>
          <w:rFonts w:ascii="ITC Avant Garde" w:hAnsi="ITC Avant Garde"/>
          <w:sz w:val="22"/>
          <w:szCs w:val="22"/>
        </w:rPr>
      </w:pPr>
      <w:r w:rsidRPr="00422CA2">
        <w:rPr>
          <w:rFonts w:ascii="ITC Avant Garde" w:hAnsi="ITC Avant Garde"/>
          <w:sz w:val="22"/>
          <w:szCs w:val="22"/>
        </w:rPr>
        <w:t xml:space="preserve">En el caso que el medio de acceso sea </w:t>
      </w:r>
      <w:r w:rsidRPr="00422CA2">
        <w:rPr>
          <w:rFonts w:ascii="ITC Avant Garde" w:hAnsi="ITC Avant Garde"/>
          <w:b/>
          <w:sz w:val="22"/>
          <w:szCs w:val="22"/>
        </w:rPr>
        <w:t>cobre</w:t>
      </w:r>
      <w:r w:rsidRPr="00422CA2">
        <w:rPr>
          <w:rFonts w:ascii="ITC Avant Garde" w:hAnsi="ITC Avant Garde"/>
          <w:sz w:val="22"/>
          <w:szCs w:val="22"/>
        </w:rPr>
        <w:t xml:space="preserve"> se valida la sincronía xDSL mediante el indicador led (en verde) del modem y la medición de los parámetros de velocidades de subida y bajada.</w:t>
      </w:r>
    </w:p>
    <w:p w14:paraId="40E85A8C" w14:textId="77777777" w:rsidR="00D33CB8" w:rsidRPr="00422CA2" w:rsidRDefault="00530A32" w:rsidP="00D33CB8">
      <w:pPr>
        <w:jc w:val="both"/>
        <w:rPr>
          <w:rFonts w:ascii="ITC Avant Garde" w:hAnsi="ITC Avant Garde"/>
          <w:sz w:val="22"/>
          <w:szCs w:val="22"/>
        </w:rPr>
      </w:pPr>
      <w:r w:rsidRPr="00422CA2">
        <w:rPr>
          <w:rFonts w:ascii="ITC Avant Garde" w:hAnsi="ITC Avant Garde"/>
          <w:noProof/>
          <w:lang w:val="es-MX" w:eastAsia="es-MX"/>
        </w:rPr>
        <w:lastRenderedPageBreak/>
        <w:drawing>
          <wp:inline distT="0" distB="0" distL="0" distR="0" wp14:anchorId="40E860D4" wp14:editId="40E860D5">
            <wp:extent cx="5562600" cy="1905000"/>
            <wp:effectExtent l="19050" t="0" r="0" b="0"/>
            <wp:docPr id="39" name="Imagen 7" descr="cid:image003.jpg@01D110CE.9E4F9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id:image003.jpg@01D110CE.9E4F9CA0"/>
                    <pic:cNvPicPr>
                      <a:picLocks noChangeAspect="1" noChangeArrowheads="1"/>
                    </pic:cNvPicPr>
                  </pic:nvPicPr>
                  <pic:blipFill>
                    <a:blip r:embed="rId42" r:link="rId43" cstate="print"/>
                    <a:srcRect/>
                    <a:stretch>
                      <a:fillRect/>
                    </a:stretch>
                  </pic:blipFill>
                  <pic:spPr bwMode="auto">
                    <a:xfrm>
                      <a:off x="0" y="0"/>
                      <a:ext cx="5562600" cy="1905000"/>
                    </a:xfrm>
                    <a:prstGeom prst="rect">
                      <a:avLst/>
                    </a:prstGeom>
                    <a:noFill/>
                    <a:ln w="9525">
                      <a:noFill/>
                      <a:miter lim="800000"/>
                      <a:headEnd/>
                      <a:tailEnd/>
                    </a:ln>
                  </pic:spPr>
                </pic:pic>
              </a:graphicData>
            </a:graphic>
          </wp:inline>
        </w:drawing>
      </w:r>
    </w:p>
    <w:p w14:paraId="40E85A8D" w14:textId="77777777" w:rsidR="00D33CB8" w:rsidRPr="00422CA2" w:rsidRDefault="00011A1B" w:rsidP="003863F0">
      <w:pPr>
        <w:pStyle w:val="Prrafodelista"/>
        <w:spacing w:before="120" w:after="200" w:line="276" w:lineRule="auto"/>
        <w:ind w:left="720"/>
        <w:jc w:val="center"/>
        <w:rPr>
          <w:rFonts w:ascii="ITC Avant Garde" w:hAnsi="ITC Avant Garde"/>
          <w:sz w:val="22"/>
          <w:szCs w:val="22"/>
        </w:rPr>
      </w:pPr>
      <w:r w:rsidRPr="00422CA2">
        <w:rPr>
          <w:rFonts w:ascii="ITC Avant Garde" w:hAnsi="ITC Avant Garde"/>
          <w:sz w:val="18"/>
          <w:szCs w:val="22"/>
        </w:rPr>
        <w:t>Automática remota para el servicio de datos.</w:t>
      </w:r>
    </w:p>
    <w:p w14:paraId="40E85A8F" w14:textId="77777777" w:rsidR="00D33CB8" w:rsidRPr="00422CA2" w:rsidRDefault="00011A1B" w:rsidP="00774762">
      <w:pPr>
        <w:spacing w:before="120" w:after="200" w:line="276" w:lineRule="auto"/>
        <w:jc w:val="both"/>
        <w:rPr>
          <w:rFonts w:ascii="ITC Avant Garde" w:hAnsi="ITC Avant Garde"/>
          <w:sz w:val="22"/>
          <w:szCs w:val="22"/>
        </w:rPr>
      </w:pPr>
      <w:r w:rsidRPr="00422CA2">
        <w:rPr>
          <w:rFonts w:ascii="ITC Avant Garde" w:hAnsi="ITC Avant Garde"/>
          <w:sz w:val="22"/>
          <w:szCs w:val="22"/>
        </w:rPr>
        <w:t>En caso de que la prueba remota de datos sobre cobre no pueda ejecutarse, el técnico realiza mediciones en el domicilio del cliente (</w:t>
      </w:r>
      <w:r w:rsidR="0099383E" w:rsidRPr="00422CA2">
        <w:rPr>
          <w:rFonts w:ascii="ITC Avant Garde" w:hAnsi="ITC Avant Garde"/>
          <w:sz w:val="22"/>
          <w:szCs w:val="22"/>
        </w:rPr>
        <w:t>PCT</w:t>
      </w:r>
      <w:r w:rsidRPr="00422CA2">
        <w:rPr>
          <w:rFonts w:ascii="ITC Avant Garde" w:hAnsi="ITC Avant Garde"/>
          <w:sz w:val="22"/>
          <w:szCs w:val="22"/>
        </w:rPr>
        <w:t xml:space="preserve">) con los equipos de medición empleados por Telmex (como referencia y no limitativo se mencionan los equipos Smart Class ADSL/TPS ó Colt 250/350) a fin de consultar velocidades de </w:t>
      </w:r>
      <w:r w:rsidR="000B34FE" w:rsidRPr="00422CA2">
        <w:rPr>
          <w:rFonts w:ascii="ITC Avant Garde" w:hAnsi="ITC Avant Garde"/>
          <w:sz w:val="22"/>
          <w:szCs w:val="22"/>
        </w:rPr>
        <w:t xml:space="preserve">sincronía de </w:t>
      </w:r>
      <w:r w:rsidRPr="00422CA2">
        <w:rPr>
          <w:rFonts w:ascii="ITC Avant Garde" w:hAnsi="ITC Avant Garde"/>
          <w:sz w:val="22"/>
          <w:szCs w:val="22"/>
        </w:rPr>
        <w:t xml:space="preserve">subida y bajada cuando el medio de transmisión es cobre. </w:t>
      </w:r>
    </w:p>
    <w:p w14:paraId="40E85A91" w14:textId="77777777" w:rsidR="00D33CB8" w:rsidRPr="00422CA2" w:rsidRDefault="00011A1B" w:rsidP="007C546C">
      <w:pPr>
        <w:pStyle w:val="Prrafodelista"/>
        <w:numPr>
          <w:ilvl w:val="0"/>
          <w:numId w:val="118"/>
        </w:numPr>
        <w:spacing w:after="200" w:line="276" w:lineRule="auto"/>
        <w:ind w:left="1068"/>
        <w:jc w:val="both"/>
        <w:rPr>
          <w:rFonts w:ascii="ITC Avant Garde" w:hAnsi="ITC Avant Garde"/>
          <w:sz w:val="22"/>
          <w:szCs w:val="22"/>
        </w:rPr>
      </w:pPr>
      <w:r w:rsidRPr="00422CA2">
        <w:rPr>
          <w:rFonts w:ascii="ITC Avant Garde" w:hAnsi="ITC Avant Garde"/>
          <w:sz w:val="22"/>
          <w:szCs w:val="22"/>
        </w:rPr>
        <w:t xml:space="preserve">Para el caso de que el medio de transmisión sea por </w:t>
      </w:r>
      <w:r w:rsidRPr="00422CA2">
        <w:rPr>
          <w:rFonts w:ascii="ITC Avant Garde" w:hAnsi="ITC Avant Garde"/>
          <w:b/>
          <w:sz w:val="22"/>
          <w:szCs w:val="22"/>
        </w:rPr>
        <w:t>fibra óptica</w:t>
      </w:r>
      <w:r w:rsidRPr="00422CA2">
        <w:rPr>
          <w:rFonts w:ascii="ITC Avant Garde" w:hAnsi="ITC Avant Garde"/>
          <w:sz w:val="22"/>
          <w:szCs w:val="22"/>
        </w:rPr>
        <w:t xml:space="preserve"> se mide la potencia óptica de recepción. </w:t>
      </w:r>
    </w:p>
    <w:p w14:paraId="40E85A92" w14:textId="77777777"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caso de fibra óptica si la prueba remota no puede ejecutarse, el técnico conectará la ONT al </w:t>
      </w:r>
      <w:r w:rsidR="0099383E" w:rsidRPr="00422CA2">
        <w:rPr>
          <w:rFonts w:ascii="ITC Avant Garde" w:hAnsi="ITC Avant Garde"/>
          <w:sz w:val="22"/>
          <w:szCs w:val="22"/>
        </w:rPr>
        <w:t>PCT</w:t>
      </w:r>
      <w:r w:rsidRPr="00422CA2">
        <w:rPr>
          <w:rFonts w:ascii="ITC Avant Garde" w:hAnsi="ITC Avant Garde"/>
          <w:sz w:val="22"/>
          <w:szCs w:val="22"/>
        </w:rPr>
        <w:t xml:space="preserve"> </w:t>
      </w:r>
      <w:r w:rsidR="000B34FE" w:rsidRPr="00422CA2">
        <w:rPr>
          <w:rFonts w:ascii="ITC Avant Garde" w:hAnsi="ITC Avant Garde"/>
          <w:sz w:val="22"/>
          <w:szCs w:val="22"/>
        </w:rPr>
        <w:t xml:space="preserve">y </w:t>
      </w:r>
      <w:r w:rsidRPr="00422CA2">
        <w:rPr>
          <w:rFonts w:ascii="ITC Avant Garde" w:hAnsi="ITC Avant Garde"/>
          <w:sz w:val="22"/>
          <w:szCs w:val="22"/>
        </w:rPr>
        <w:t xml:space="preserve">con el medidor de potencia empleado en Telmex (como referencia y no limitativo se mencionan los equipos GRP-450, HP3-60 ó EPM-53-PMA-54) registrará la potencia de recepción en </w:t>
      </w:r>
      <w:r w:rsidR="000B34FE" w:rsidRPr="00422CA2">
        <w:rPr>
          <w:rFonts w:ascii="ITC Avant Garde" w:hAnsi="ITC Avant Garde"/>
          <w:sz w:val="22"/>
          <w:szCs w:val="22"/>
        </w:rPr>
        <w:t xml:space="preserve">el </w:t>
      </w:r>
      <w:r w:rsidR="0099383E" w:rsidRPr="00422CA2">
        <w:rPr>
          <w:rFonts w:ascii="ITC Avant Garde" w:hAnsi="ITC Avant Garde"/>
          <w:sz w:val="22"/>
          <w:szCs w:val="22"/>
        </w:rPr>
        <w:t>PCT</w:t>
      </w:r>
      <w:r w:rsidRPr="00422CA2">
        <w:rPr>
          <w:rFonts w:ascii="ITC Avant Garde" w:hAnsi="ITC Avant Garde"/>
          <w:sz w:val="22"/>
          <w:szCs w:val="22"/>
        </w:rPr>
        <w:t xml:space="preserve"> la cual deberá ser mayor a -28 dBm. Este parámetro está basado en el estándar G.984.2 de la UIT-T y considera una prueba funcional entre la OLT y el </w:t>
      </w:r>
      <w:r w:rsidR="0099383E" w:rsidRPr="00422CA2">
        <w:rPr>
          <w:rFonts w:ascii="ITC Avant Garde" w:hAnsi="ITC Avant Garde"/>
          <w:sz w:val="22"/>
          <w:szCs w:val="22"/>
        </w:rPr>
        <w:t>PCT</w:t>
      </w:r>
      <w:r w:rsidRPr="00422CA2">
        <w:rPr>
          <w:rFonts w:ascii="ITC Avant Garde" w:hAnsi="ITC Avant Garde"/>
          <w:sz w:val="22"/>
          <w:szCs w:val="22"/>
        </w:rPr>
        <w:t xml:space="preserve"> en la ONT.</w:t>
      </w:r>
    </w:p>
    <w:p w14:paraId="40E85A94" w14:textId="77777777" w:rsidR="00D33CB8"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Una vez asegurados los parámetros correctos en automático se reportarán los resultados de las pruebas para el servicio de datos en el Sistema de Captura o en el SEG cuando entre en operación, para que el CS pueda consultarlos.</w:t>
      </w:r>
    </w:p>
    <w:p w14:paraId="40E85A96" w14:textId="77777777" w:rsidR="00530A32" w:rsidRPr="00422CA2" w:rsidRDefault="00011A1B" w:rsidP="004129D1">
      <w:pPr>
        <w:pStyle w:val="Ttulo1"/>
      </w:pPr>
      <w:bookmarkStart w:id="332" w:name="_Toc436840894"/>
      <w:bookmarkStart w:id="333" w:name="_Toc436846331"/>
      <w:bookmarkStart w:id="334" w:name="_Toc436848281"/>
      <w:bookmarkStart w:id="335" w:name="_Toc436856529"/>
      <w:bookmarkStart w:id="336" w:name="_Toc436862675"/>
      <w:bookmarkStart w:id="337" w:name="_Toc436866325"/>
      <w:bookmarkStart w:id="338" w:name="_Toc436870904"/>
      <w:bookmarkStart w:id="339" w:name="_Toc436875896"/>
      <w:bookmarkStart w:id="340" w:name="_Toc437602084"/>
      <w:r w:rsidRPr="00422CA2">
        <w:lastRenderedPageBreak/>
        <w:t>4.10</w:t>
      </w:r>
      <w:r w:rsidRPr="00422CA2">
        <w:tab/>
        <w:t>Formato</w:t>
      </w:r>
      <w:r w:rsidR="00B828EB" w:rsidRPr="00422CA2">
        <w:t>s de los Servicios de Reventa</w:t>
      </w:r>
      <w:bookmarkEnd w:id="332"/>
      <w:bookmarkEnd w:id="333"/>
      <w:bookmarkEnd w:id="334"/>
      <w:bookmarkEnd w:id="335"/>
      <w:bookmarkEnd w:id="336"/>
      <w:bookmarkEnd w:id="337"/>
      <w:bookmarkEnd w:id="338"/>
      <w:bookmarkEnd w:id="339"/>
      <w:bookmarkEnd w:id="340"/>
    </w:p>
    <w:p w14:paraId="3AE6ADC4" w14:textId="77777777" w:rsidR="00461285" w:rsidRPr="00422CA2" w:rsidRDefault="00461285" w:rsidP="003863F0">
      <w:pPr>
        <w:pStyle w:val="CitaIFT"/>
        <w:ind w:left="0"/>
        <w:jc w:val="center"/>
        <w:rPr>
          <w:color w:val="auto"/>
          <w:lang w:eastAsia="es-MX"/>
        </w:rPr>
      </w:pPr>
      <w:r w:rsidRPr="00422CA2">
        <w:rPr>
          <w:noProof/>
          <w:color w:val="auto"/>
          <w:lang w:val="es-MX" w:eastAsia="es-MX"/>
        </w:rPr>
        <w:drawing>
          <wp:inline distT="0" distB="0" distL="0" distR="0" wp14:anchorId="1A08E0DC" wp14:editId="1525E209">
            <wp:extent cx="4785756" cy="7082257"/>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11091" cy="7119749"/>
                    </a:xfrm>
                    <a:prstGeom prst="rect">
                      <a:avLst/>
                    </a:prstGeom>
                    <a:noFill/>
                    <a:ln>
                      <a:noFill/>
                    </a:ln>
                  </pic:spPr>
                </pic:pic>
              </a:graphicData>
            </a:graphic>
          </wp:inline>
        </w:drawing>
      </w:r>
    </w:p>
    <w:p w14:paraId="3EA5132B" w14:textId="77777777" w:rsidR="00461285" w:rsidRPr="00422CA2" w:rsidRDefault="00461285" w:rsidP="00461285">
      <w:pPr>
        <w:pStyle w:val="CitaIFT"/>
        <w:ind w:left="0"/>
        <w:rPr>
          <w:color w:val="auto"/>
        </w:rPr>
      </w:pPr>
      <w:r w:rsidRPr="00422CA2">
        <w:rPr>
          <w:noProof/>
          <w:color w:val="auto"/>
          <w:lang w:val="es-MX" w:eastAsia="es-MX"/>
        </w:rPr>
        <w:lastRenderedPageBreak/>
        <w:drawing>
          <wp:inline distT="0" distB="0" distL="0" distR="0" wp14:anchorId="61E5A8C8" wp14:editId="49ECD947">
            <wp:extent cx="5064826" cy="7275842"/>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80810" cy="7298804"/>
                    </a:xfrm>
                    <a:prstGeom prst="rect">
                      <a:avLst/>
                    </a:prstGeom>
                    <a:noFill/>
                    <a:ln>
                      <a:noFill/>
                    </a:ln>
                  </pic:spPr>
                </pic:pic>
              </a:graphicData>
            </a:graphic>
          </wp:inline>
        </w:drawing>
      </w:r>
    </w:p>
    <w:p w14:paraId="5DDD1FBA" w14:textId="77777777" w:rsidR="00461285" w:rsidRPr="00422CA2" w:rsidRDefault="00461285" w:rsidP="00461285">
      <w:pPr>
        <w:pStyle w:val="CitaIFT"/>
        <w:ind w:left="0"/>
        <w:rPr>
          <w:color w:val="auto"/>
        </w:rPr>
      </w:pPr>
      <w:r w:rsidRPr="00422CA2">
        <w:rPr>
          <w:noProof/>
          <w:color w:val="auto"/>
          <w:lang w:val="es-MX" w:eastAsia="es-MX"/>
        </w:rPr>
        <w:lastRenderedPageBreak/>
        <w:drawing>
          <wp:inline distT="0" distB="0" distL="0" distR="0" wp14:anchorId="1C772F28" wp14:editId="728A50D1">
            <wp:extent cx="5296438" cy="7829536"/>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16880" cy="7859755"/>
                    </a:xfrm>
                    <a:prstGeom prst="rect">
                      <a:avLst/>
                    </a:prstGeom>
                    <a:noFill/>
                    <a:ln>
                      <a:noFill/>
                    </a:ln>
                  </pic:spPr>
                </pic:pic>
              </a:graphicData>
            </a:graphic>
          </wp:inline>
        </w:drawing>
      </w:r>
    </w:p>
    <w:p w14:paraId="07170AE0" w14:textId="77777777" w:rsidR="00461285" w:rsidRPr="00422CA2" w:rsidRDefault="00461285" w:rsidP="00461285">
      <w:pPr>
        <w:pStyle w:val="CitaIFT"/>
        <w:ind w:left="0"/>
        <w:rPr>
          <w:color w:val="auto"/>
        </w:rPr>
      </w:pPr>
      <w:r w:rsidRPr="00422CA2">
        <w:rPr>
          <w:noProof/>
          <w:color w:val="auto"/>
          <w:lang w:val="es-MX" w:eastAsia="es-MX"/>
        </w:rPr>
        <w:lastRenderedPageBreak/>
        <w:drawing>
          <wp:inline distT="0" distB="0" distL="0" distR="0" wp14:anchorId="2308A72E" wp14:editId="7B0A5065">
            <wp:extent cx="5376046" cy="7700496"/>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84650" cy="7712820"/>
                    </a:xfrm>
                    <a:prstGeom prst="rect">
                      <a:avLst/>
                    </a:prstGeom>
                    <a:noFill/>
                    <a:ln>
                      <a:noFill/>
                    </a:ln>
                  </pic:spPr>
                </pic:pic>
              </a:graphicData>
            </a:graphic>
          </wp:inline>
        </w:drawing>
      </w:r>
    </w:p>
    <w:p w14:paraId="5EFF5FFD" w14:textId="4127AC48" w:rsidR="00885DC9" w:rsidRPr="00422CA2" w:rsidRDefault="00885DC9" w:rsidP="003E0267">
      <w:pPr>
        <w:pStyle w:val="CitaIFT"/>
        <w:ind w:left="0"/>
        <w:rPr>
          <w:color w:val="auto"/>
        </w:rPr>
      </w:pPr>
    </w:p>
    <w:p w14:paraId="71DAECC1" w14:textId="4500C92F" w:rsidR="00967A5A" w:rsidRPr="00422CA2" w:rsidRDefault="0033532F" w:rsidP="00210768">
      <w:pPr>
        <w:pStyle w:val="Ttulo1"/>
      </w:pPr>
      <w:bookmarkStart w:id="341" w:name="_Toc436840895"/>
      <w:bookmarkStart w:id="342" w:name="_Toc436846332"/>
      <w:bookmarkStart w:id="343" w:name="_Toc436848282"/>
      <w:bookmarkStart w:id="344" w:name="_Toc436856530"/>
      <w:bookmarkStart w:id="345" w:name="_Toc436862676"/>
      <w:bookmarkStart w:id="346" w:name="_Toc436866326"/>
      <w:bookmarkStart w:id="347" w:name="_Toc436870905"/>
      <w:bookmarkStart w:id="348" w:name="_Toc436875897"/>
      <w:bookmarkStart w:id="349" w:name="_Toc437602085"/>
      <w:r w:rsidRPr="00422CA2">
        <w:t xml:space="preserve">5. </w:t>
      </w:r>
      <w:r w:rsidR="00394A75" w:rsidRPr="00422CA2">
        <w:t>Servicio de Acceso Indirecto al Bucle</w:t>
      </w:r>
      <w:bookmarkEnd w:id="341"/>
      <w:bookmarkEnd w:id="342"/>
      <w:bookmarkEnd w:id="343"/>
      <w:bookmarkEnd w:id="344"/>
      <w:bookmarkEnd w:id="345"/>
      <w:bookmarkEnd w:id="346"/>
      <w:bookmarkEnd w:id="347"/>
      <w:bookmarkEnd w:id="348"/>
      <w:bookmarkEnd w:id="349"/>
    </w:p>
    <w:p w14:paraId="4DD19481" w14:textId="0B6D4A71" w:rsidR="00394A75" w:rsidRPr="00422CA2" w:rsidRDefault="00967A5A" w:rsidP="00586B55">
      <w:pPr>
        <w:pStyle w:val="Ttulo1"/>
      </w:pPr>
      <w:bookmarkStart w:id="350" w:name="_Toc436840896"/>
      <w:bookmarkStart w:id="351" w:name="_Toc436846333"/>
      <w:bookmarkStart w:id="352" w:name="_Toc436848283"/>
      <w:bookmarkStart w:id="353" w:name="_Toc436856531"/>
      <w:bookmarkStart w:id="354" w:name="_Toc436862677"/>
      <w:bookmarkStart w:id="355" w:name="_Toc436866327"/>
      <w:bookmarkStart w:id="356" w:name="_Toc436870906"/>
      <w:bookmarkStart w:id="357" w:name="_Toc436875898"/>
      <w:bookmarkStart w:id="358" w:name="_Toc437602086"/>
      <w:r w:rsidRPr="00422CA2">
        <w:t xml:space="preserve">5.1. </w:t>
      </w:r>
      <w:r w:rsidR="00394A75" w:rsidRPr="00422CA2">
        <w:t>Descripción del Servicio de Acceso Indirecto al Bucle (SAIB)</w:t>
      </w:r>
      <w:bookmarkEnd w:id="350"/>
      <w:bookmarkEnd w:id="351"/>
      <w:bookmarkEnd w:id="352"/>
      <w:bookmarkEnd w:id="353"/>
      <w:bookmarkEnd w:id="354"/>
      <w:bookmarkEnd w:id="355"/>
      <w:bookmarkEnd w:id="356"/>
      <w:bookmarkEnd w:id="357"/>
      <w:bookmarkEnd w:id="358"/>
    </w:p>
    <w:p w14:paraId="7B80C071" w14:textId="5AD50B9A" w:rsidR="00394A75" w:rsidRPr="00422CA2" w:rsidRDefault="00394A75" w:rsidP="00EC75F1">
      <w:pPr>
        <w:spacing w:after="200" w:line="276" w:lineRule="auto"/>
        <w:jc w:val="both"/>
        <w:rPr>
          <w:rFonts w:ascii="ITC Avant Garde" w:eastAsia="Calibri" w:hAnsi="ITC Avant Garde" w:cs="Arial"/>
          <w:sz w:val="22"/>
          <w:szCs w:val="22"/>
        </w:rPr>
      </w:pPr>
      <w:r w:rsidRPr="00422CA2">
        <w:rPr>
          <w:rFonts w:ascii="ITC Avant Garde" w:eastAsia="Calibri" w:hAnsi="ITC Avant Garde" w:cs="Arial"/>
          <w:sz w:val="22"/>
          <w:szCs w:val="22"/>
        </w:rPr>
        <w:t>El Servicio de Acceso Indirecto al Bucle L</w:t>
      </w:r>
      <w:r w:rsidR="0032137C" w:rsidRPr="00422CA2">
        <w:rPr>
          <w:rFonts w:ascii="ITC Avant Garde" w:eastAsia="Calibri" w:hAnsi="ITC Avant Garde" w:cs="Arial"/>
          <w:sz w:val="22"/>
          <w:szCs w:val="22"/>
        </w:rPr>
        <w:t>ocal es aquel mediante el cual Telmex</w:t>
      </w:r>
      <w:r w:rsidRPr="00422CA2">
        <w:rPr>
          <w:rFonts w:ascii="ITC Avant Garde" w:eastAsia="Calibri" w:hAnsi="ITC Avant Garde" w:cs="Arial"/>
          <w:sz w:val="22"/>
          <w:szCs w:val="22"/>
        </w:rPr>
        <w:t xml:space="preserve"> pone a disposición del </w:t>
      </w:r>
      <w:r w:rsidR="00DE3AEB" w:rsidRPr="00422CA2">
        <w:rPr>
          <w:rFonts w:ascii="ITC Avant Garde" w:eastAsia="Calibri" w:hAnsi="ITC Avant Garde" w:cs="Arial"/>
          <w:sz w:val="22"/>
          <w:szCs w:val="22"/>
        </w:rPr>
        <w:t>CS</w:t>
      </w:r>
      <w:r w:rsidRPr="00422CA2">
        <w:rPr>
          <w:rFonts w:ascii="ITC Avant Garde" w:eastAsia="Calibri" w:hAnsi="ITC Avant Garde" w:cs="Arial"/>
          <w:sz w:val="22"/>
          <w:szCs w:val="22"/>
        </w:rPr>
        <w:t xml:space="preserve"> capacidad de transmisión entre el Usuario Final y un Punto de Interconexión con la red del </w:t>
      </w:r>
      <w:r w:rsidR="00DE3AEB" w:rsidRPr="00422CA2">
        <w:rPr>
          <w:rFonts w:ascii="ITC Avant Garde" w:eastAsia="Calibri" w:hAnsi="ITC Avant Garde" w:cs="Arial"/>
          <w:sz w:val="22"/>
          <w:szCs w:val="22"/>
        </w:rPr>
        <w:t>CS</w:t>
      </w:r>
      <w:r w:rsidRPr="00422CA2">
        <w:rPr>
          <w:rFonts w:ascii="ITC Avant Garde" w:eastAsia="Calibri" w:hAnsi="ITC Avant Garde" w:cs="Arial"/>
          <w:sz w:val="22"/>
          <w:szCs w:val="22"/>
        </w:rPr>
        <w:t>, de tal forma que se permita la provisión de servicios de telecomunicaciones a un Usuario Final que se conecta a la red pública de telecomunicaciones mediante una Acometida de</w:t>
      </w:r>
      <w:r w:rsidR="0032137C" w:rsidRPr="00422CA2">
        <w:rPr>
          <w:rFonts w:ascii="ITC Avant Garde" w:eastAsia="Calibri" w:hAnsi="ITC Avant Garde" w:cs="Arial"/>
          <w:sz w:val="22"/>
          <w:szCs w:val="22"/>
        </w:rPr>
        <w:t xml:space="preserve"> Telmex</w:t>
      </w:r>
      <w:r w:rsidRPr="00422CA2">
        <w:rPr>
          <w:rFonts w:ascii="ITC Avant Garde" w:eastAsia="Calibri" w:hAnsi="ITC Avant Garde" w:cs="Arial"/>
          <w:sz w:val="22"/>
          <w:szCs w:val="22"/>
        </w:rPr>
        <w:t>.</w:t>
      </w:r>
      <w:r w:rsidR="00F43EEC" w:rsidRPr="00422CA2">
        <w:rPr>
          <w:rFonts w:ascii="ITC Avant Garde" w:eastAsia="Calibri" w:hAnsi="ITC Avant Garde" w:cs="Arial"/>
          <w:sz w:val="22"/>
          <w:szCs w:val="22"/>
        </w:rPr>
        <w:t xml:space="preserve"> </w:t>
      </w:r>
      <w:r w:rsidR="00A27B8D" w:rsidRPr="00422CA2">
        <w:rPr>
          <w:rFonts w:ascii="ITC Avant Garde" w:eastAsia="Calibri" w:hAnsi="ITC Avant Garde" w:cs="Arial"/>
          <w:sz w:val="22"/>
          <w:szCs w:val="22"/>
        </w:rPr>
        <w:t>El</w:t>
      </w:r>
      <w:r w:rsidR="00F43EEC" w:rsidRPr="00422CA2">
        <w:rPr>
          <w:rFonts w:ascii="ITC Avant Garde" w:eastAsia="Calibri" w:hAnsi="ITC Avant Garde" w:cs="Arial"/>
          <w:sz w:val="22"/>
          <w:szCs w:val="22"/>
        </w:rPr>
        <w:t xml:space="preserve"> SAIB será ofrecido por Telmex de manera que permita </w:t>
      </w:r>
      <w:r w:rsidR="00A116E9" w:rsidRPr="00422CA2">
        <w:rPr>
          <w:rFonts w:ascii="ITC Avant Garde" w:eastAsia="Calibri" w:hAnsi="ITC Avant Garde" w:cs="Arial"/>
          <w:sz w:val="22"/>
          <w:szCs w:val="22"/>
        </w:rPr>
        <w:t>al CS</w:t>
      </w:r>
      <w:r w:rsidR="00F43EEC" w:rsidRPr="00422CA2">
        <w:rPr>
          <w:rFonts w:ascii="ITC Avant Garde" w:eastAsia="Calibri" w:hAnsi="ITC Avant Garde" w:cs="Arial"/>
          <w:sz w:val="22"/>
          <w:szCs w:val="22"/>
        </w:rPr>
        <w:t xml:space="preserve"> disponer del Tráfico de datos originado por el usuario, ya sea por </w:t>
      </w:r>
      <w:r w:rsidR="00220B7B" w:rsidRPr="00422CA2">
        <w:rPr>
          <w:rFonts w:ascii="ITC Avant Garde" w:eastAsia="Calibri" w:hAnsi="ITC Avant Garde" w:cs="Arial"/>
          <w:sz w:val="22"/>
          <w:szCs w:val="22"/>
        </w:rPr>
        <w:t>medio</w:t>
      </w:r>
      <w:r w:rsidR="00F43EEC" w:rsidRPr="00422CA2">
        <w:rPr>
          <w:rFonts w:ascii="ITC Avant Garde" w:eastAsia="Calibri" w:hAnsi="ITC Avant Garde" w:cs="Arial"/>
          <w:sz w:val="22"/>
          <w:szCs w:val="22"/>
        </w:rPr>
        <w:t xml:space="preserve"> de cobre o fibra óptica, desde el Punto de Conexión Terminal en el sitio del Usuario Final, transportando el Tráfico hasta una Central Telefónica o Instalación Equivalente donde radican los equipos de acceso.</w:t>
      </w:r>
    </w:p>
    <w:p w14:paraId="39C5CDDD" w14:textId="77777777" w:rsidR="00394A75" w:rsidRPr="00422CA2" w:rsidRDefault="00394A75" w:rsidP="00EC75F1">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SAIB se compone de dos conjuntos de funcionalidades:</w:t>
      </w:r>
    </w:p>
    <w:p w14:paraId="25F3A206" w14:textId="76AC7409" w:rsidR="00394A75" w:rsidRPr="00422CA2" w:rsidRDefault="00394A75" w:rsidP="00EC75F1">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primer conjunto de funcionalidades se relaciona con la conexión SAIB del usuario y la componen,  el trasporte de los datos originados por el equipo terminal del usuario sea este un modem xDSL o un  ONT </w:t>
      </w:r>
      <w:r w:rsidR="00220B7B" w:rsidRPr="00422CA2">
        <w:rPr>
          <w:rFonts w:ascii="ITC Avant Garde" w:hAnsi="ITC Avant Garde" w:cs="Arial"/>
          <w:sz w:val="22"/>
          <w:szCs w:val="22"/>
          <w:lang w:val="es-MX"/>
        </w:rPr>
        <w:t>(</w:t>
      </w:r>
      <w:r w:rsidRPr="00422CA2">
        <w:rPr>
          <w:rFonts w:ascii="ITC Avant Garde" w:hAnsi="ITC Avant Garde" w:cs="Arial"/>
          <w:i/>
          <w:sz w:val="22"/>
          <w:szCs w:val="22"/>
          <w:lang w:val="es-MX"/>
        </w:rPr>
        <w:t>Optical Network Termination</w:t>
      </w:r>
      <w:r w:rsidRPr="00422CA2">
        <w:rPr>
          <w:rFonts w:ascii="ITC Avant Garde" w:hAnsi="ITC Avant Garde" w:cs="Arial"/>
          <w:sz w:val="22"/>
          <w:szCs w:val="22"/>
          <w:lang w:val="es-MX"/>
        </w:rPr>
        <w:t> o punto de terminación óptico) y entregados en el Punto de Conexión Terminal (PCT), mediante  un bucle de cobre o de fibra óptica, hasta la central telefónica o instalación equivalente donde radican los equipos de acceso DSLAM (</w:t>
      </w:r>
      <w:r w:rsidRPr="00422CA2">
        <w:rPr>
          <w:rFonts w:ascii="ITC Avant Garde" w:hAnsi="ITC Avant Garde" w:cs="Arial"/>
          <w:i/>
          <w:sz w:val="22"/>
          <w:szCs w:val="22"/>
          <w:lang w:val="es-MX"/>
        </w:rPr>
        <w:t>Digital Subscriber Line Acces Mutliplexer</w:t>
      </w:r>
      <w:r w:rsidRPr="00422CA2">
        <w:rPr>
          <w:rFonts w:ascii="ITC Avant Garde" w:hAnsi="ITC Avant Garde" w:cs="Arial"/>
          <w:sz w:val="22"/>
          <w:szCs w:val="22"/>
          <w:lang w:val="es-MX"/>
        </w:rPr>
        <w:t>)  o módulos OLT (</w:t>
      </w:r>
      <w:r w:rsidRPr="00422CA2">
        <w:rPr>
          <w:rFonts w:ascii="ITC Avant Garde" w:hAnsi="ITC Avant Garde" w:cs="Arial"/>
          <w:i/>
          <w:sz w:val="22"/>
          <w:szCs w:val="22"/>
          <w:lang w:val="es-MX"/>
        </w:rPr>
        <w:t>Optical Line Terminal</w:t>
      </w:r>
      <w:r w:rsidRPr="00422CA2">
        <w:rPr>
          <w:rFonts w:ascii="ITC Avant Garde" w:hAnsi="ITC Avant Garde" w:cs="Arial"/>
          <w:sz w:val="22"/>
          <w:szCs w:val="22"/>
          <w:lang w:val="es-MX"/>
        </w:rPr>
        <w:t xml:space="preserve"> </w:t>
      </w:r>
      <w:r w:rsidR="00220B7B" w:rsidRPr="00422CA2">
        <w:rPr>
          <w:rFonts w:ascii="ITC Avant Garde" w:hAnsi="ITC Avant Garde" w:cs="Arial"/>
          <w:sz w:val="22"/>
          <w:szCs w:val="22"/>
          <w:lang w:val="es-MX"/>
        </w:rPr>
        <w:t>o</w:t>
      </w:r>
      <w:r w:rsidRPr="00422CA2">
        <w:rPr>
          <w:rFonts w:ascii="ITC Avant Garde" w:hAnsi="ITC Avant Garde" w:cs="Arial"/>
          <w:sz w:val="22"/>
          <w:szCs w:val="22"/>
          <w:lang w:val="es-MX"/>
        </w:rPr>
        <w:t xml:space="preserve"> Unidad Óptica Terminal de Línea). Así como las funciones de interacción entre ambos equipos necesarias para establecer y garantizar dicha transmisión con una calidad definida correspondiente al perfil y naturaleza del bucle.</w:t>
      </w:r>
    </w:p>
    <w:p w14:paraId="7D5D3DF1" w14:textId="5C6D245F" w:rsidR="00394A75" w:rsidRPr="00422CA2" w:rsidRDefault="00394A75" w:rsidP="00EC75F1">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Estas funcionalidades incluyen la recepción y posterior entrega en el puerto Ethernet del equipo de acceso (xDSL/OLT) de las señales enviadas por el modem del us</w:t>
      </w:r>
      <w:r w:rsidR="0032137C" w:rsidRPr="00422CA2">
        <w:rPr>
          <w:rFonts w:ascii="ITC Avant Garde" w:hAnsi="ITC Avant Garde" w:cs="Arial"/>
          <w:sz w:val="22"/>
          <w:szCs w:val="22"/>
          <w:lang w:val="es-MX"/>
        </w:rPr>
        <w:t>uario de acuerdo a interfaz de C</w:t>
      </w:r>
      <w:r w:rsidRPr="00422CA2">
        <w:rPr>
          <w:rFonts w:ascii="ITC Avant Garde" w:hAnsi="ITC Avant Garde" w:cs="Arial"/>
          <w:sz w:val="22"/>
          <w:szCs w:val="22"/>
          <w:lang w:val="es-MX"/>
        </w:rPr>
        <w:t>apa 2  (según el tipo de acceso xDSL o FO).</w:t>
      </w:r>
    </w:p>
    <w:p w14:paraId="0AEC8A20" w14:textId="112CE40D" w:rsidR="00394A75" w:rsidRPr="00422CA2" w:rsidRDefault="00394A75" w:rsidP="00EC75F1">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tráfico de datos d</w:t>
      </w:r>
      <w:r w:rsidR="0032137C" w:rsidRPr="00422CA2">
        <w:rPr>
          <w:rFonts w:ascii="ITC Avant Garde" w:hAnsi="ITC Avant Garde" w:cs="Arial"/>
          <w:sz w:val="22"/>
          <w:szCs w:val="22"/>
          <w:lang w:val="es-MX"/>
        </w:rPr>
        <w:t>el SAIB</w:t>
      </w:r>
      <w:r w:rsidRPr="00422CA2">
        <w:rPr>
          <w:rFonts w:ascii="ITC Avant Garde" w:hAnsi="ITC Avant Garde" w:cs="Arial"/>
          <w:sz w:val="22"/>
          <w:szCs w:val="22"/>
          <w:lang w:val="es-MX"/>
        </w:rPr>
        <w:t xml:space="preserve"> se concentra en los equipos de</w:t>
      </w:r>
      <w:r w:rsidR="0032137C" w:rsidRPr="00422CA2">
        <w:rPr>
          <w:rFonts w:ascii="ITC Avant Garde" w:hAnsi="ITC Avant Garde" w:cs="Arial"/>
          <w:sz w:val="22"/>
          <w:szCs w:val="22"/>
          <w:lang w:val="es-MX"/>
        </w:rPr>
        <w:t xml:space="preserve"> acceso de la red de Telmex de C</w:t>
      </w:r>
      <w:r w:rsidRPr="00422CA2">
        <w:rPr>
          <w:rFonts w:ascii="ITC Avant Garde" w:hAnsi="ITC Avant Garde" w:cs="Arial"/>
          <w:sz w:val="22"/>
          <w:szCs w:val="22"/>
          <w:lang w:val="es-MX"/>
        </w:rPr>
        <w:t xml:space="preserve">apa 2 </w:t>
      </w:r>
      <w:r w:rsidR="00220B7B" w:rsidRPr="00422CA2">
        <w:rPr>
          <w:rFonts w:ascii="ITC Avant Garde" w:hAnsi="ITC Avant Garde" w:cs="Arial"/>
          <w:sz w:val="22"/>
          <w:szCs w:val="22"/>
          <w:lang w:val="es-MX"/>
        </w:rPr>
        <w:t>(Ethernet)</w:t>
      </w:r>
      <w:r w:rsidRPr="00422CA2">
        <w:rPr>
          <w:rFonts w:ascii="ITC Avant Garde" w:hAnsi="ITC Avant Garde" w:cs="Arial"/>
          <w:sz w:val="22"/>
          <w:szCs w:val="22"/>
          <w:lang w:val="es-MX"/>
        </w:rPr>
        <w:t xml:space="preserve"> del modelo de interconexión de sistemas abiertos (OSI), por lo que cada servicio está etiquetado con un identificador (VLAN) único e irrepetible en una zona de cobertura dentro de un dominio administrativo Ethernet de la Red de Telmex.</w:t>
      </w:r>
    </w:p>
    <w:p w14:paraId="36A65FAF" w14:textId="4953228E" w:rsidR="00394A75" w:rsidRPr="00422CA2" w:rsidRDefault="00394A75" w:rsidP="00EC75F1">
      <w:pPr>
        <w:pStyle w:val="Texto1"/>
        <w:spacing w:after="200" w:line="276" w:lineRule="auto"/>
        <w:ind w:left="0"/>
        <w:rPr>
          <w:rFonts w:ascii="ITC Avant Garde" w:hAnsi="ITC Avant Garde"/>
          <w:sz w:val="22"/>
          <w:szCs w:val="22"/>
          <w:lang w:val="es-ES"/>
        </w:rPr>
      </w:pPr>
      <w:r w:rsidRPr="00422CA2">
        <w:rPr>
          <w:rFonts w:ascii="ITC Avant Garde" w:hAnsi="ITC Avant Garde"/>
          <w:sz w:val="22"/>
          <w:szCs w:val="22"/>
        </w:rPr>
        <w:t xml:space="preserve">En este servicio Telmex será responsable del mantenimiento del bucle local desde el Punto de Conexión Terminal (PCT) </w:t>
      </w:r>
      <w:r w:rsidRPr="00422CA2">
        <w:rPr>
          <w:rFonts w:ascii="ITC Avant Garde" w:hAnsi="ITC Avant Garde"/>
          <w:sz w:val="22"/>
          <w:szCs w:val="22"/>
          <w:lang w:val="es-ES"/>
        </w:rPr>
        <w:t xml:space="preserve">hasta el puerto de red de los equipos de acceso donde se entrega la señal proveniente de los </w:t>
      </w:r>
      <w:r w:rsidR="00220B7B" w:rsidRPr="00422CA2">
        <w:rPr>
          <w:rFonts w:ascii="ITC Avant Garde" w:hAnsi="ITC Avant Garde"/>
          <w:sz w:val="22"/>
          <w:szCs w:val="22"/>
          <w:lang w:val="es-ES"/>
        </w:rPr>
        <w:t>Usuarios F</w:t>
      </w:r>
      <w:r w:rsidRPr="00422CA2">
        <w:rPr>
          <w:rFonts w:ascii="ITC Avant Garde" w:hAnsi="ITC Avant Garde"/>
          <w:sz w:val="22"/>
          <w:szCs w:val="22"/>
          <w:lang w:val="es-ES"/>
        </w:rPr>
        <w:t xml:space="preserve">inales al CS. Después de este punto, inicia el </w:t>
      </w:r>
      <w:r w:rsidR="00D379C4" w:rsidRPr="00422CA2">
        <w:rPr>
          <w:rFonts w:ascii="ITC Avant Garde" w:hAnsi="ITC Avant Garde" w:cs="Arial"/>
          <w:sz w:val="22"/>
          <w:szCs w:val="22"/>
          <w:lang w:val="es-MX"/>
        </w:rPr>
        <w:t>SCyD</w:t>
      </w:r>
      <w:r w:rsidRPr="00422CA2">
        <w:rPr>
          <w:rFonts w:ascii="ITC Avant Garde" w:hAnsi="ITC Avant Garde"/>
          <w:sz w:val="22"/>
          <w:szCs w:val="22"/>
          <w:lang w:val="es-ES"/>
        </w:rPr>
        <w:t>.</w:t>
      </w:r>
    </w:p>
    <w:p w14:paraId="27B19704" w14:textId="77777777" w:rsidR="00394A75" w:rsidRPr="00422CA2" w:rsidRDefault="00394A75" w:rsidP="00394A75">
      <w:pPr>
        <w:autoSpaceDE w:val="0"/>
        <w:autoSpaceDN w:val="0"/>
        <w:adjustRightInd w:val="0"/>
        <w:spacing w:line="360" w:lineRule="auto"/>
        <w:contextualSpacing/>
        <w:jc w:val="both"/>
        <w:rPr>
          <w:rFonts w:ascii="ITC Avant Garde" w:hAnsi="ITC Avant Garde" w:cs="Arial"/>
          <w:sz w:val="22"/>
          <w:szCs w:val="22"/>
          <w:lang w:val="es-ES"/>
        </w:rPr>
      </w:pPr>
    </w:p>
    <w:p w14:paraId="62FB3125" w14:textId="77777777" w:rsidR="00394A75" w:rsidRPr="00422CA2" w:rsidRDefault="00394A75" w:rsidP="00394A75">
      <w:pPr>
        <w:jc w:val="both"/>
        <w:rPr>
          <w:rFonts w:ascii="ITC Avant Garde" w:hAnsi="ITC Avant Garde"/>
          <w:sz w:val="22"/>
          <w:szCs w:val="22"/>
          <w:lang w:val="es-MX"/>
        </w:rPr>
      </w:pPr>
    </w:p>
    <w:p w14:paraId="59993739" w14:textId="77777777" w:rsidR="00394A75" w:rsidRPr="00422CA2" w:rsidRDefault="00394A75" w:rsidP="00394A75">
      <w:pPr>
        <w:jc w:val="both"/>
        <w:rPr>
          <w:rFonts w:ascii="ITC Avant Garde" w:hAnsi="ITC Avant Garde"/>
          <w:sz w:val="22"/>
          <w:szCs w:val="22"/>
        </w:rPr>
      </w:pPr>
    </w:p>
    <w:p w14:paraId="65E87D4A" w14:textId="6B8BBD3F" w:rsidR="00394A75" w:rsidRPr="00422CA2" w:rsidRDefault="00C725DB" w:rsidP="00394A75">
      <w:pPr>
        <w:jc w:val="both"/>
        <w:rPr>
          <w:rFonts w:ascii="ITC Avant Garde" w:hAnsi="ITC Avant Garde"/>
          <w:sz w:val="22"/>
          <w:szCs w:val="22"/>
        </w:rPr>
      </w:pPr>
      <w:r w:rsidRPr="00422CA2">
        <w:rPr>
          <w:rFonts w:ascii="ITC Avant Garde" w:hAnsi="ITC Avant Garde"/>
          <w:sz w:val="22"/>
          <w:szCs w:val="22"/>
        </w:rPr>
        <w:t xml:space="preserve">              </w:t>
      </w:r>
      <w:r w:rsidR="00394A75" w:rsidRPr="00422CA2">
        <w:rPr>
          <w:rFonts w:ascii="ITC Avant Garde" w:hAnsi="ITC Avant Garde"/>
          <w:noProof/>
          <w:sz w:val="22"/>
          <w:szCs w:val="22"/>
          <w:lang w:val="es-MX" w:eastAsia="es-MX"/>
        </w:rPr>
        <w:drawing>
          <wp:inline distT="0" distB="0" distL="0" distR="0" wp14:anchorId="264010F7" wp14:editId="25A72477">
            <wp:extent cx="4462983" cy="2112626"/>
            <wp:effectExtent l="0" t="0" r="0" b="0"/>
            <wp:docPr id="13"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8" cstate="print"/>
                    <a:srcRect/>
                    <a:stretch>
                      <a:fillRect/>
                    </a:stretch>
                  </pic:blipFill>
                  <pic:spPr bwMode="auto">
                    <a:xfrm>
                      <a:off x="0" y="0"/>
                      <a:ext cx="4480266" cy="2120807"/>
                    </a:xfrm>
                    <a:prstGeom prst="rect">
                      <a:avLst/>
                    </a:prstGeom>
                    <a:noFill/>
                  </pic:spPr>
                </pic:pic>
              </a:graphicData>
            </a:graphic>
          </wp:inline>
        </w:drawing>
      </w:r>
    </w:p>
    <w:p w14:paraId="231B7C31" w14:textId="77777777" w:rsidR="00394A75" w:rsidRPr="00422CA2" w:rsidRDefault="00394A75" w:rsidP="00394A75">
      <w:pPr>
        <w:jc w:val="both"/>
        <w:rPr>
          <w:rFonts w:ascii="ITC Avant Garde" w:hAnsi="ITC Avant Garde"/>
          <w:sz w:val="22"/>
          <w:szCs w:val="22"/>
        </w:rPr>
      </w:pPr>
    </w:p>
    <w:p w14:paraId="4C18D9D5" w14:textId="59B309C8" w:rsidR="00394A75" w:rsidRPr="00422CA2" w:rsidRDefault="00394A75" w:rsidP="00774762">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segundo conjunto de funcionalidades corresponden </w:t>
      </w:r>
      <w:r w:rsidR="00A116E9" w:rsidRPr="00422CA2">
        <w:rPr>
          <w:rFonts w:ascii="ITC Avant Garde" w:hAnsi="ITC Avant Garde" w:cs="Arial"/>
          <w:sz w:val="22"/>
          <w:szCs w:val="22"/>
          <w:lang w:val="es-MX"/>
        </w:rPr>
        <w:t xml:space="preserve">al </w:t>
      </w:r>
      <w:r w:rsidRPr="00422CA2">
        <w:rPr>
          <w:rFonts w:ascii="ITC Avant Garde" w:hAnsi="ITC Avant Garde" w:cs="Arial"/>
          <w:sz w:val="22"/>
          <w:szCs w:val="22"/>
          <w:lang w:val="es-MX"/>
        </w:rPr>
        <w:t xml:space="preserve">SCyD, conformado por  la concentración en sentido ascendente de los flujos del </w:t>
      </w:r>
      <w:r w:rsidR="004449C9" w:rsidRPr="00422CA2">
        <w:rPr>
          <w:rFonts w:ascii="ITC Avant Garde" w:hAnsi="ITC Avant Garde" w:cs="Arial"/>
          <w:sz w:val="22"/>
          <w:szCs w:val="22"/>
          <w:lang w:val="es-MX"/>
        </w:rPr>
        <w:t>t</w:t>
      </w:r>
      <w:r w:rsidRPr="00422CA2">
        <w:rPr>
          <w:rFonts w:ascii="ITC Avant Garde" w:hAnsi="ITC Avant Garde" w:cs="Arial"/>
          <w:sz w:val="22"/>
          <w:szCs w:val="22"/>
          <w:lang w:val="es-MX"/>
        </w:rPr>
        <w:t>ráfico de datos provenientes de los distintos equipos de los Usuarios Finales que llegan a los diferentes equipos de acceso (DSLAM y</w:t>
      </w:r>
      <w:r w:rsidR="00D379C4" w:rsidRPr="00422CA2">
        <w:rPr>
          <w:rFonts w:ascii="ITC Avant Garde" w:hAnsi="ITC Avant Garde" w:cs="Arial"/>
          <w:sz w:val="22"/>
          <w:szCs w:val="22"/>
          <w:lang w:val="es-MX"/>
        </w:rPr>
        <w:t>/o</w:t>
      </w:r>
      <w:r w:rsidRPr="00422CA2">
        <w:rPr>
          <w:rFonts w:ascii="ITC Avant Garde" w:hAnsi="ITC Avant Garde" w:cs="Arial"/>
          <w:sz w:val="22"/>
          <w:szCs w:val="22"/>
          <w:lang w:val="es-MX"/>
        </w:rPr>
        <w:t xml:space="preserve"> OLT´s) de TELMEX para su posterior tr</w:t>
      </w:r>
      <w:r w:rsidR="0032137C" w:rsidRPr="00422CA2">
        <w:rPr>
          <w:rFonts w:ascii="ITC Avant Garde" w:hAnsi="ITC Avant Garde" w:cs="Arial"/>
          <w:sz w:val="22"/>
          <w:szCs w:val="22"/>
          <w:lang w:val="es-MX"/>
        </w:rPr>
        <w:t>ansporte y entrega a  nivel de C</w:t>
      </w:r>
      <w:r w:rsidRPr="00422CA2">
        <w:rPr>
          <w:rFonts w:ascii="ITC Avant Garde" w:hAnsi="ITC Avant Garde" w:cs="Arial"/>
          <w:sz w:val="22"/>
          <w:szCs w:val="22"/>
          <w:lang w:val="es-MX"/>
        </w:rPr>
        <w:t xml:space="preserve">apa 2 (Ethernet) en un Puerto de Conexión de </w:t>
      </w:r>
      <w:r w:rsidR="00A116E9" w:rsidRPr="00422CA2">
        <w:rPr>
          <w:rFonts w:ascii="ITC Avant Garde" w:hAnsi="ITC Avant Garde" w:cs="Arial"/>
          <w:sz w:val="22"/>
          <w:szCs w:val="22"/>
          <w:lang w:val="es-MX"/>
        </w:rPr>
        <w:t>A</w:t>
      </w:r>
      <w:r w:rsidRPr="00422CA2">
        <w:rPr>
          <w:rFonts w:ascii="ITC Avant Garde" w:hAnsi="ITC Avant Garde" w:cs="Arial"/>
          <w:sz w:val="22"/>
          <w:szCs w:val="22"/>
          <w:lang w:val="es-MX"/>
        </w:rPr>
        <w:t xml:space="preserve">cceso Indirecto (pCAI), ubicado en un Nodo de Conexión de Acceso Indirecto (NCAI) elegido por el </w:t>
      </w:r>
      <w:r w:rsidR="00DE3AEB" w:rsidRPr="00422CA2">
        <w:rPr>
          <w:rFonts w:ascii="ITC Avant Garde" w:hAnsi="ITC Avant Garde" w:cs="Arial"/>
          <w:sz w:val="22"/>
          <w:szCs w:val="22"/>
          <w:lang w:val="es-MX"/>
        </w:rPr>
        <w:t>CS</w:t>
      </w:r>
      <w:r w:rsidRPr="00422CA2">
        <w:rPr>
          <w:rFonts w:ascii="ITC Avant Garde" w:hAnsi="ITC Avant Garde" w:cs="Arial"/>
          <w:sz w:val="22"/>
          <w:szCs w:val="22"/>
          <w:lang w:val="es-MX"/>
        </w:rPr>
        <w:t xml:space="preserve">. </w:t>
      </w:r>
      <w:r w:rsidR="00A116E9" w:rsidRPr="00422CA2">
        <w:rPr>
          <w:rFonts w:ascii="ITC Avant Garde" w:hAnsi="ITC Avant Garde" w:cs="Arial"/>
          <w:sz w:val="22"/>
          <w:szCs w:val="22"/>
          <w:lang w:val="es-MX"/>
        </w:rPr>
        <w:t>También forman parte del SCyD</w:t>
      </w:r>
      <w:r w:rsidRPr="00422CA2">
        <w:rPr>
          <w:rFonts w:ascii="ITC Avant Garde" w:hAnsi="ITC Avant Garde" w:cs="Arial"/>
          <w:sz w:val="22"/>
          <w:szCs w:val="22"/>
          <w:lang w:val="es-MX"/>
        </w:rPr>
        <w:t xml:space="preserve"> la distribución y entrega en sentido descendente de dichos flujos de tráfico desde dicho puerto (pCAI) hasta cada uno de los equipos de acceso donde se conectan los </w:t>
      </w:r>
      <w:r w:rsidR="00965827" w:rsidRPr="00422CA2">
        <w:rPr>
          <w:rFonts w:ascii="ITC Avant Garde" w:hAnsi="ITC Avant Garde" w:cs="Arial"/>
          <w:sz w:val="22"/>
          <w:szCs w:val="22"/>
          <w:lang w:val="es-MX"/>
        </w:rPr>
        <w:t>Usuarios F</w:t>
      </w:r>
      <w:r w:rsidRPr="00422CA2">
        <w:rPr>
          <w:rFonts w:ascii="ITC Avant Garde" w:hAnsi="ITC Avant Garde" w:cs="Arial"/>
          <w:sz w:val="22"/>
          <w:szCs w:val="22"/>
          <w:lang w:val="es-MX"/>
        </w:rPr>
        <w:t>inales.</w:t>
      </w:r>
    </w:p>
    <w:p w14:paraId="1F67DB58" w14:textId="77777777" w:rsidR="00394A75" w:rsidRPr="00422CA2" w:rsidRDefault="00394A75" w:rsidP="00774762">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SCyD recibe una señal Ethernet que integra los flujos de datos agregados de cada uno de los usuarios identificados por la misma VLAN correspondientes a cada uno de los equipos de acceso y las agrega a las que provienen del resto de los equipos de acceso de la central  o instalación equivalente o de otras centrales de la misma área de agregación local para entregarlos a un puerto de un NCAI local o en su caso transportarlos y agregarlos en un NCAI regional o nacional según el nivel de agregación que corresponda al pCAI solicitado por el CS.</w:t>
      </w:r>
    </w:p>
    <w:p w14:paraId="102A30BB" w14:textId="7B80F2E4" w:rsidR="00394A75" w:rsidRPr="00422CA2" w:rsidRDefault="00394A75" w:rsidP="00E11FEA">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Telmex pone a disposición del CS el SCyD </w:t>
      </w:r>
      <w:r w:rsidR="00284C34" w:rsidRPr="00422CA2">
        <w:rPr>
          <w:rFonts w:ascii="ITC Avant Garde" w:hAnsi="ITC Avant Garde" w:cs="Arial"/>
          <w:sz w:val="22"/>
          <w:szCs w:val="22"/>
          <w:lang w:val="es-MX"/>
        </w:rPr>
        <w:t>que se describe en la sección 10</w:t>
      </w:r>
      <w:r w:rsidRPr="00422CA2">
        <w:rPr>
          <w:rFonts w:ascii="ITC Avant Garde" w:hAnsi="ITC Avant Garde" w:cs="Arial"/>
          <w:sz w:val="22"/>
          <w:szCs w:val="22"/>
          <w:lang w:val="es-MX"/>
        </w:rPr>
        <w:t xml:space="preserve"> de esta </w:t>
      </w:r>
      <w:r w:rsidR="005D7076" w:rsidRPr="00422CA2">
        <w:rPr>
          <w:rFonts w:ascii="ITC Avant Garde" w:hAnsi="ITC Avant Garde" w:cs="Arial"/>
          <w:sz w:val="22"/>
          <w:szCs w:val="22"/>
          <w:lang w:val="es-MX"/>
        </w:rPr>
        <w:t>OREDA</w:t>
      </w:r>
      <w:r w:rsidRPr="00422CA2">
        <w:rPr>
          <w:rFonts w:ascii="ITC Avant Garde" w:hAnsi="ITC Avant Garde" w:cs="Arial"/>
          <w:sz w:val="22"/>
          <w:szCs w:val="22"/>
          <w:lang w:val="es-MX"/>
        </w:rPr>
        <w:t xml:space="preserve">, por lo cual, el CS deberá observar los criterios establecidos para la solicitud de los servicios de acuerdo a la zona de cobertura y nivel de agregación correspondiente. También el CS podrá </w:t>
      </w:r>
      <w:r w:rsidR="00965827" w:rsidRPr="00422CA2">
        <w:rPr>
          <w:rFonts w:ascii="ITC Avant Garde" w:hAnsi="ITC Avant Garde" w:cs="Arial"/>
          <w:sz w:val="22"/>
          <w:szCs w:val="22"/>
          <w:lang w:val="es-MX"/>
        </w:rPr>
        <w:t>utilizar</w:t>
      </w:r>
      <w:r w:rsidRPr="00422CA2">
        <w:rPr>
          <w:rFonts w:ascii="ITC Avant Garde" w:hAnsi="ITC Avant Garde" w:cs="Arial"/>
          <w:sz w:val="22"/>
          <w:szCs w:val="22"/>
          <w:lang w:val="es-MX"/>
        </w:rPr>
        <w:t xml:space="preserve"> enlaces</w:t>
      </w:r>
      <w:r w:rsidR="00965827" w:rsidRPr="00422CA2">
        <w:rPr>
          <w:rFonts w:ascii="ITC Avant Garde" w:hAnsi="ITC Avant Garde" w:cs="Arial"/>
          <w:sz w:val="22"/>
          <w:szCs w:val="22"/>
          <w:lang w:val="es-MX"/>
        </w:rPr>
        <w:t xml:space="preserve"> </w:t>
      </w:r>
      <w:r w:rsidRPr="00422CA2">
        <w:rPr>
          <w:rFonts w:ascii="ITC Avant Garde" w:hAnsi="ITC Avant Garde" w:cs="Arial"/>
          <w:sz w:val="22"/>
          <w:szCs w:val="22"/>
          <w:lang w:val="es-MX"/>
        </w:rPr>
        <w:t xml:space="preserve">propios </w:t>
      </w:r>
      <w:r w:rsidR="00965827" w:rsidRPr="00422CA2">
        <w:rPr>
          <w:rFonts w:ascii="ITC Avant Garde" w:hAnsi="ITC Avant Garde" w:cs="Arial"/>
          <w:sz w:val="22"/>
          <w:szCs w:val="22"/>
          <w:lang w:val="es-MX"/>
        </w:rPr>
        <w:t>o arrendados</w:t>
      </w:r>
      <w:r w:rsidRPr="00422CA2">
        <w:rPr>
          <w:rFonts w:ascii="ITC Avant Garde" w:hAnsi="ITC Avant Garde" w:cs="Arial"/>
          <w:sz w:val="22"/>
          <w:szCs w:val="22"/>
          <w:lang w:val="es-MX"/>
        </w:rPr>
        <w:t xml:space="preserve"> para la conducción del tráfico proveniente de los diferentes puntos de concentración, a otro punto de interés del CS. </w:t>
      </w:r>
    </w:p>
    <w:p w14:paraId="3D9C376C" w14:textId="524D10E1" w:rsidR="00394A75" w:rsidRPr="00422CA2" w:rsidRDefault="00394A75" w:rsidP="00E11FEA">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 xml:space="preserve">Las políticas comerciales que se prestarán a los CS en este servicio estarán sujetas a los SLA’s, perfiles y anchos de banda, entre otros criterios que Telmex utiliza para prestar los servicios a sus usuarios finales. Por tanto, la configuración de velocidad de bajada y subida de datos que será configurada en los equipos de acceso será la oferta comercial, de acuerdo </w:t>
      </w:r>
      <w:r w:rsidR="00965827" w:rsidRPr="00422CA2">
        <w:rPr>
          <w:rFonts w:ascii="ITC Avant Garde" w:hAnsi="ITC Avant Garde" w:cs="Arial"/>
          <w:sz w:val="22"/>
          <w:szCs w:val="22"/>
          <w:lang w:val="es-MX"/>
        </w:rPr>
        <w:t>con</w:t>
      </w:r>
      <w:r w:rsidRPr="00422CA2">
        <w:rPr>
          <w:rFonts w:ascii="ITC Avant Garde" w:hAnsi="ITC Avant Garde" w:cs="Arial"/>
          <w:sz w:val="22"/>
          <w:szCs w:val="22"/>
          <w:lang w:val="es-MX"/>
        </w:rPr>
        <w:t xml:space="preserve"> las políticas de Telmex. </w:t>
      </w:r>
    </w:p>
    <w:p w14:paraId="7FC9EEDE" w14:textId="12B580EF" w:rsidR="00394A75" w:rsidRPr="00422CA2" w:rsidRDefault="00394A75" w:rsidP="00E11FEA">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A través de las consultas de información que el CS podrá realizar de conformidad con lo señalado en la sección 3 de esta Oferta, el CS contará con los mismos elementos con que cuenta Telmex para determinar los posibles perfiles de velocidad que podría solicitar para sus cliente</w:t>
      </w:r>
      <w:r w:rsidR="009558FA" w:rsidRPr="00422CA2">
        <w:rPr>
          <w:rFonts w:ascii="ITC Avant Garde" w:hAnsi="ITC Avant Garde" w:cs="Arial"/>
          <w:sz w:val="22"/>
          <w:szCs w:val="22"/>
          <w:lang w:val="es-MX"/>
        </w:rPr>
        <w:t>s.</w:t>
      </w:r>
      <w:r w:rsidRPr="00422CA2">
        <w:rPr>
          <w:rFonts w:ascii="ITC Avant Garde" w:hAnsi="ITC Avant Garde" w:cs="Arial"/>
          <w:sz w:val="22"/>
          <w:szCs w:val="22"/>
          <w:lang w:val="es-MX"/>
        </w:rPr>
        <w:t xml:space="preserve"> </w:t>
      </w:r>
      <w:r w:rsidR="00AC415B" w:rsidRPr="00422CA2">
        <w:rPr>
          <w:rFonts w:ascii="ITC Avant Garde" w:hAnsi="ITC Avant Garde" w:cs="Arial"/>
          <w:sz w:val="22"/>
          <w:szCs w:val="22"/>
          <w:lang w:val="es-MX"/>
        </w:rPr>
        <w:t>Incluyendo l</w:t>
      </w:r>
      <w:r w:rsidRPr="00422CA2">
        <w:rPr>
          <w:rFonts w:ascii="ITC Avant Garde" w:hAnsi="ITC Avant Garde" w:cs="Arial"/>
          <w:sz w:val="22"/>
          <w:szCs w:val="22"/>
          <w:lang w:val="es-MX"/>
        </w:rPr>
        <w:t>as características técnicas de los equipos de acceso (DSLAM-OLT) y las condiciones de los bucles</w:t>
      </w:r>
      <w:r w:rsidR="00AC415B" w:rsidRPr="00422CA2">
        <w:rPr>
          <w:rFonts w:ascii="ITC Avant Garde" w:hAnsi="ITC Avant Garde" w:cs="Arial"/>
          <w:sz w:val="22"/>
          <w:szCs w:val="22"/>
          <w:lang w:val="es-MX"/>
        </w:rPr>
        <w:t>.</w:t>
      </w:r>
    </w:p>
    <w:p w14:paraId="64B38BDE" w14:textId="2ED08385" w:rsidR="009D0876" w:rsidRPr="00422CA2" w:rsidRDefault="009D0876" w:rsidP="00BF30F8">
      <w:pPr>
        <w:pStyle w:val="IFTnormal"/>
        <w:rPr>
          <w:rFonts w:cs="Arial"/>
        </w:rPr>
      </w:pPr>
      <w:r w:rsidRPr="00422CA2">
        <w:t xml:space="preserve">El </w:t>
      </w:r>
      <w:r w:rsidR="00DE3AEB" w:rsidRPr="00422CA2">
        <w:rPr>
          <w:rFonts w:cs="Arial"/>
        </w:rPr>
        <w:t>CS</w:t>
      </w:r>
      <w:r w:rsidRPr="00422CA2">
        <w:rPr>
          <w:rFonts w:cs="Arial"/>
        </w:rPr>
        <w:t xml:space="preserve"> podrá proveer el servicio de datos al usuario final, mientras que el servicio de telefonía tradicional podrá ser proporcionado por el propio </w:t>
      </w:r>
      <w:r w:rsidR="00DE3AEB" w:rsidRPr="00422CA2">
        <w:rPr>
          <w:rFonts w:cs="Arial"/>
        </w:rPr>
        <w:t>CS</w:t>
      </w:r>
      <w:r w:rsidRPr="00422CA2">
        <w:rPr>
          <w:rFonts w:cs="Arial"/>
        </w:rPr>
        <w:t xml:space="preserve">, Telmex u otro Concesionario en la modalidad de reventa de línea. </w:t>
      </w:r>
    </w:p>
    <w:p w14:paraId="17B435BE" w14:textId="61DE5249" w:rsidR="00394A75" w:rsidRPr="00422CA2" w:rsidRDefault="00394A75" w:rsidP="00BF2AE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Dadas las limitantes técnicas y tecnológicas de la </w:t>
      </w:r>
      <w:r w:rsidR="009D0876" w:rsidRPr="00422CA2">
        <w:rPr>
          <w:rFonts w:ascii="ITC Avant Garde" w:hAnsi="ITC Avant Garde" w:cs="Arial"/>
          <w:sz w:val="22"/>
          <w:szCs w:val="22"/>
          <w:lang w:val="es-MX"/>
        </w:rPr>
        <w:t>red de Telmex</w:t>
      </w:r>
      <w:r w:rsidRPr="00422CA2">
        <w:rPr>
          <w:rFonts w:ascii="ITC Avant Garde" w:hAnsi="ITC Avant Garde" w:cs="Arial"/>
          <w:sz w:val="22"/>
          <w:szCs w:val="22"/>
          <w:lang w:val="es-MX"/>
        </w:rPr>
        <w:t xml:space="preserve">, cuando el SAIB sea provisto sobre accesos de FTTH o TBA (Terminales de Banda Ancha o también conocidas como FTTN), Telmex no podrá proveer al </w:t>
      </w:r>
      <w:r w:rsidR="00BF30F8" w:rsidRPr="00422CA2">
        <w:rPr>
          <w:rFonts w:ascii="ITC Avant Garde" w:hAnsi="ITC Avant Garde" w:cs="Arial"/>
          <w:sz w:val="22"/>
          <w:szCs w:val="22"/>
          <w:lang w:val="es-MX"/>
        </w:rPr>
        <w:t>Usuario F</w:t>
      </w:r>
      <w:r w:rsidRPr="00422CA2">
        <w:rPr>
          <w:rFonts w:ascii="ITC Avant Garde" w:hAnsi="ITC Avant Garde" w:cs="Arial"/>
          <w:sz w:val="22"/>
          <w:szCs w:val="22"/>
          <w:lang w:val="es-MX"/>
        </w:rPr>
        <w:t>inal el servicio de línea telefónica, por lo que el CS deberá de pagar la renta mensual por el SAIB sin línea telefónica.</w:t>
      </w:r>
    </w:p>
    <w:p w14:paraId="4744644B" w14:textId="3AB3E066" w:rsidR="00394A75" w:rsidRPr="00422CA2" w:rsidRDefault="00394A75" w:rsidP="00BF2AEC">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Los perfiles de los servicios de datos que podrá proporcionar el CS dependerán del medio de acceso desplegado hacia al domicilio del usuario y de los servicios que Telmex ofrece así como de las condiciones de la red. Es decir, la calificación de bucle en xDSL y los criterios técnicos serán los mismos que los que Telmex ofrece a sus propios usuarios. Para GPON la calificación del bucle no es necesaria puesto que la velocidad configurada es asegurada por las características técnicas de la fibra óptica.</w:t>
      </w:r>
    </w:p>
    <w:p w14:paraId="1AAB2C77" w14:textId="77777777" w:rsidR="00394A75" w:rsidRPr="00422CA2" w:rsidRDefault="00394A75" w:rsidP="00BF2AE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SAIB contempla las siguientes características: </w:t>
      </w:r>
    </w:p>
    <w:p w14:paraId="33D59198"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Servicio mayorista de acceso indirecto con entrega local, regional o nacional en puertos de Acceso Indirecto, en adelante pCAI´s.</w:t>
      </w:r>
    </w:p>
    <w:p w14:paraId="233F4F2F"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Una única calidad de tráfico BE (</w:t>
      </w:r>
      <w:r w:rsidRPr="00422CA2">
        <w:rPr>
          <w:rFonts w:ascii="ITC Avant Garde" w:hAnsi="ITC Avant Garde"/>
          <w:i/>
          <w:sz w:val="22"/>
          <w:szCs w:val="22"/>
          <w:lang w:val="es-ES"/>
        </w:rPr>
        <w:t>best effort</w:t>
      </w:r>
      <w:r w:rsidRPr="00422CA2">
        <w:rPr>
          <w:rFonts w:ascii="ITC Avant Garde" w:hAnsi="ITC Avant Garde"/>
          <w:sz w:val="22"/>
          <w:szCs w:val="22"/>
          <w:lang w:val="es-ES"/>
        </w:rPr>
        <w:t>)</w:t>
      </w:r>
      <w:r w:rsidRPr="00422CA2">
        <w:rPr>
          <w:rStyle w:val="Refdenotaalpie"/>
          <w:rFonts w:ascii="ITC Avant Garde" w:hAnsi="ITC Avant Garde"/>
          <w:sz w:val="22"/>
          <w:szCs w:val="22"/>
          <w:lang w:val="es-ES"/>
        </w:rPr>
        <w:footnoteReference w:id="22"/>
      </w:r>
      <w:r w:rsidRPr="00422CA2">
        <w:rPr>
          <w:rFonts w:ascii="ITC Avant Garde" w:hAnsi="ITC Avant Garde"/>
          <w:sz w:val="22"/>
          <w:szCs w:val="22"/>
          <w:lang w:val="es-ES"/>
        </w:rPr>
        <w:t xml:space="preserve">. </w:t>
      </w:r>
    </w:p>
    <w:p w14:paraId="4ECD852E"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lastRenderedPageBreak/>
        <w:t>El tráfico soportado es Unicast</w:t>
      </w:r>
      <w:r w:rsidRPr="00422CA2">
        <w:rPr>
          <w:rStyle w:val="Refdenotaalpie"/>
          <w:rFonts w:ascii="ITC Avant Garde" w:hAnsi="ITC Avant Garde"/>
          <w:sz w:val="22"/>
          <w:szCs w:val="22"/>
          <w:lang w:val="es-ES"/>
        </w:rPr>
        <w:footnoteReference w:id="23"/>
      </w:r>
      <w:r w:rsidRPr="00422CA2">
        <w:rPr>
          <w:rFonts w:ascii="ITC Avant Garde" w:hAnsi="ITC Avant Garde"/>
          <w:sz w:val="22"/>
          <w:szCs w:val="22"/>
          <w:lang w:val="es-ES"/>
        </w:rPr>
        <w:t>.</w:t>
      </w:r>
    </w:p>
    <w:p w14:paraId="3D7B1E03"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Acceso de usuario con un ancho de banda definido en contratación y de conformidad con los perfiles de funcionamiento especificados en este documento.</w:t>
      </w:r>
    </w:p>
    <w:p w14:paraId="373B2CEF"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Interfaces Ethernet entre equipo de usuario y equipo de acceso (xDSL/OLT).</w:t>
      </w:r>
    </w:p>
    <w:p w14:paraId="7437B07A"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Interfaces Ethernet en los puntos de entrega del servicio (pCAI, puntos de conexión de acceso indirecto)</w:t>
      </w:r>
    </w:p>
    <w:p w14:paraId="177A287E"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Tráfico ascendente (usuario-red) conformado por el equipo de cliente para adecuarse a las características del servicio y calidades contratadas y sobre el que el equipo de acceso ejerce las funciones de control conformes con las características del servicio contratado.</w:t>
      </w:r>
    </w:p>
    <w:p w14:paraId="44701A1A" w14:textId="77777777"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Tráfico descendente (red-usuario) conformado por el equipo de borde de red (equipo de CS).</w:t>
      </w:r>
    </w:p>
    <w:p w14:paraId="1BA6375B" w14:textId="34F0809A" w:rsidR="00394A75" w:rsidRPr="00422CA2" w:rsidRDefault="00394A75" w:rsidP="00BF2AEC">
      <w:pPr>
        <w:pStyle w:val="Prrafodelista"/>
        <w:numPr>
          <w:ilvl w:val="0"/>
          <w:numId w:val="196"/>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Medio de acceso a </w:t>
      </w:r>
      <w:r w:rsidR="002F2E1A" w:rsidRPr="00422CA2">
        <w:rPr>
          <w:rFonts w:ascii="ITC Avant Garde" w:hAnsi="ITC Avant Garde"/>
          <w:sz w:val="22"/>
          <w:szCs w:val="22"/>
          <w:lang w:val="es-ES"/>
        </w:rPr>
        <w:t>Usuarios F</w:t>
      </w:r>
      <w:r w:rsidRPr="00422CA2">
        <w:rPr>
          <w:rFonts w:ascii="ITC Avant Garde" w:hAnsi="ITC Avant Garde"/>
          <w:sz w:val="22"/>
          <w:szCs w:val="22"/>
          <w:lang w:val="es-ES"/>
        </w:rPr>
        <w:t>inales (cobre o fibra óptica).</w:t>
      </w:r>
    </w:p>
    <w:p w14:paraId="52A664B7" w14:textId="77777777" w:rsidR="00394A75" w:rsidRPr="00422CA2" w:rsidRDefault="00394A75" w:rsidP="00BF2AE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Las tecnologías de acceso sobre las que se ofrecerá el servicio son las siguientes:</w:t>
      </w:r>
    </w:p>
    <w:p w14:paraId="5472A555" w14:textId="3CF1C553" w:rsidR="00394A75" w:rsidRPr="00422CA2" w:rsidRDefault="00394A75" w:rsidP="00BF2AEC">
      <w:pPr>
        <w:pStyle w:val="Prrafodelista"/>
        <w:numPr>
          <w:ilvl w:val="0"/>
          <w:numId w:val="197"/>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xDSL/POTS.</w:t>
      </w:r>
    </w:p>
    <w:p w14:paraId="4D3D9A73" w14:textId="77777777" w:rsidR="00394A75" w:rsidRPr="00422CA2" w:rsidRDefault="00394A75" w:rsidP="00BF2AEC">
      <w:pPr>
        <w:pStyle w:val="Prrafodelista"/>
        <w:numPr>
          <w:ilvl w:val="0"/>
          <w:numId w:val="197"/>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FTTH.</w:t>
      </w:r>
    </w:p>
    <w:p w14:paraId="4F5B0F2F" w14:textId="0F2E16F3" w:rsidR="00394A75" w:rsidRPr="00422CA2" w:rsidRDefault="00394A75" w:rsidP="00BF2AEC">
      <w:pPr>
        <w:pStyle w:val="Prrafodelista"/>
        <w:numPr>
          <w:ilvl w:val="0"/>
          <w:numId w:val="197"/>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Cualquier otra que TELMEX tenga instalada en su red.</w:t>
      </w:r>
    </w:p>
    <w:p w14:paraId="1F96F4E3" w14:textId="05D966D5" w:rsidR="00394A75" w:rsidRPr="00422CA2" w:rsidRDefault="00394A75" w:rsidP="00BF2AE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Las validaciones de</w:t>
      </w:r>
      <w:r w:rsidR="002F2E1A" w:rsidRPr="00422CA2">
        <w:rPr>
          <w:rFonts w:ascii="ITC Avant Garde" w:hAnsi="ITC Avant Garde"/>
          <w:sz w:val="22"/>
          <w:szCs w:val="22"/>
          <w:lang w:val="es-ES"/>
        </w:rPr>
        <w:t>l</w:t>
      </w:r>
      <w:r w:rsidRPr="00422CA2">
        <w:rPr>
          <w:rFonts w:ascii="ITC Avant Garde" w:hAnsi="ITC Avant Garde"/>
          <w:sz w:val="22"/>
          <w:szCs w:val="22"/>
          <w:lang w:val="es-ES"/>
        </w:rPr>
        <w:t xml:space="preserve"> bucle de las modalidades xDSL estarán sujetas </w:t>
      </w:r>
      <w:r w:rsidR="00CC3CF9" w:rsidRPr="00422CA2">
        <w:rPr>
          <w:rFonts w:ascii="ITC Avant Garde" w:hAnsi="ITC Avant Garde"/>
          <w:sz w:val="22"/>
          <w:szCs w:val="22"/>
          <w:lang w:val="es-ES"/>
        </w:rPr>
        <w:t xml:space="preserve">donde sea aplicable </w:t>
      </w:r>
      <w:r w:rsidRPr="00422CA2">
        <w:rPr>
          <w:rFonts w:ascii="ITC Avant Garde" w:hAnsi="ITC Avant Garde"/>
          <w:sz w:val="22"/>
          <w:szCs w:val="22"/>
          <w:lang w:val="es-ES"/>
        </w:rPr>
        <w:t>a los mismos criterios técnicos que los servicios minoristas de TELMEX.</w:t>
      </w:r>
    </w:p>
    <w:p w14:paraId="7D3D7650" w14:textId="49F334F5" w:rsidR="00394A75" w:rsidRPr="00422CA2" w:rsidRDefault="002F2E1A" w:rsidP="00BF2AE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El</w:t>
      </w:r>
      <w:r w:rsidR="00394A75" w:rsidRPr="00422CA2">
        <w:rPr>
          <w:rFonts w:ascii="ITC Avant Garde" w:hAnsi="ITC Avant Garde"/>
          <w:sz w:val="22"/>
          <w:szCs w:val="22"/>
          <w:lang w:val="es-ES"/>
        </w:rPr>
        <w:t xml:space="preserve"> SAIB es un servicio de </w:t>
      </w:r>
      <w:r w:rsidR="00DE47D2" w:rsidRPr="00422CA2">
        <w:rPr>
          <w:rFonts w:ascii="ITC Avant Garde" w:hAnsi="ITC Avant Garde"/>
          <w:sz w:val="22"/>
          <w:szCs w:val="22"/>
          <w:lang w:val="es-ES"/>
        </w:rPr>
        <w:t>Capa</w:t>
      </w:r>
      <w:r w:rsidR="00394A75" w:rsidRPr="00422CA2">
        <w:rPr>
          <w:rFonts w:ascii="ITC Avant Garde" w:hAnsi="ITC Avant Garde"/>
          <w:sz w:val="22"/>
          <w:szCs w:val="22"/>
          <w:lang w:val="es-ES"/>
        </w:rPr>
        <w:t xml:space="preserve"> 2 de transporte de tramas Ethernet transparente a toda información transportada de protocolos de </w:t>
      </w:r>
      <w:r w:rsidR="00DE47D2" w:rsidRPr="00422CA2">
        <w:rPr>
          <w:rFonts w:ascii="ITC Avant Garde" w:hAnsi="ITC Avant Garde"/>
          <w:sz w:val="22"/>
          <w:szCs w:val="22"/>
          <w:lang w:val="es-ES"/>
        </w:rPr>
        <w:t>Capa</w:t>
      </w:r>
      <w:r w:rsidR="00394A75" w:rsidRPr="00422CA2">
        <w:rPr>
          <w:rFonts w:ascii="ITC Avant Garde" w:hAnsi="ITC Avant Garde"/>
          <w:sz w:val="22"/>
          <w:szCs w:val="22"/>
          <w:lang w:val="es-ES"/>
        </w:rPr>
        <w:t xml:space="preserve"> 3 y superior</w:t>
      </w:r>
      <w:r w:rsidRPr="00422CA2">
        <w:rPr>
          <w:rFonts w:ascii="ITC Avant Garde" w:hAnsi="ITC Avant Garde"/>
          <w:sz w:val="22"/>
          <w:szCs w:val="22"/>
          <w:lang w:val="es-ES"/>
        </w:rPr>
        <w:t>es</w:t>
      </w:r>
      <w:r w:rsidR="00394A75" w:rsidRPr="00422CA2">
        <w:rPr>
          <w:rFonts w:ascii="ITC Avant Garde" w:hAnsi="ITC Avant Garde"/>
          <w:sz w:val="22"/>
          <w:szCs w:val="22"/>
          <w:lang w:val="es-ES"/>
        </w:rPr>
        <w:t>.</w:t>
      </w:r>
    </w:p>
    <w:p w14:paraId="473FDD63" w14:textId="74C76FE9" w:rsidR="009B0E27" w:rsidRPr="00422CA2" w:rsidRDefault="00394A75" w:rsidP="00E11FEA">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ES"/>
        </w:rPr>
        <w:t xml:space="preserve">El SAIB no considera el procedimiento de portabilidad puesto que el tráfico de voz (POTS) seguirá cursando por la infraestructura de Telmex, aun cuando pueda ser </w:t>
      </w:r>
      <w:r w:rsidR="009B0E27" w:rsidRPr="00422CA2">
        <w:rPr>
          <w:rFonts w:ascii="ITC Avant Garde" w:hAnsi="ITC Avant Garde"/>
          <w:sz w:val="22"/>
          <w:szCs w:val="22"/>
          <w:lang w:val="es-ES"/>
        </w:rPr>
        <w:t xml:space="preserve">el propio </w:t>
      </w:r>
      <w:r w:rsidR="00E11FEA" w:rsidRPr="00422CA2">
        <w:rPr>
          <w:rFonts w:ascii="ITC Avant Garde" w:hAnsi="ITC Avant Garde"/>
          <w:sz w:val="22"/>
          <w:szCs w:val="22"/>
          <w:lang w:val="es-ES"/>
        </w:rPr>
        <w:t>CS</w:t>
      </w:r>
      <w:r w:rsidR="009B0E27" w:rsidRPr="00422CA2">
        <w:rPr>
          <w:rFonts w:ascii="ITC Avant Garde" w:hAnsi="ITC Avant Garde"/>
          <w:sz w:val="22"/>
          <w:szCs w:val="22"/>
          <w:lang w:val="es-ES"/>
        </w:rPr>
        <w:t xml:space="preserve"> </w:t>
      </w:r>
      <w:r w:rsidR="008931AE" w:rsidRPr="00422CA2">
        <w:rPr>
          <w:rFonts w:ascii="ITC Avant Garde" w:hAnsi="ITC Avant Garde"/>
          <w:sz w:val="22"/>
          <w:szCs w:val="22"/>
          <w:lang w:val="es-ES"/>
        </w:rPr>
        <w:t xml:space="preserve">u </w:t>
      </w:r>
      <w:r w:rsidRPr="00422CA2">
        <w:rPr>
          <w:rFonts w:ascii="ITC Avant Garde" w:hAnsi="ITC Avant Garde"/>
          <w:sz w:val="22"/>
          <w:szCs w:val="22"/>
          <w:lang w:val="es-ES"/>
        </w:rPr>
        <w:t xml:space="preserve">otro Concesionario el comercializador del servicio a través de la modalidad de Reventa y sea éste quien lo facture al usuario final. </w:t>
      </w:r>
      <w:r w:rsidR="009B0E27" w:rsidRPr="00422CA2">
        <w:rPr>
          <w:rFonts w:ascii="ITC Avant Garde" w:hAnsi="ITC Avant Garde"/>
          <w:sz w:val="22"/>
          <w:szCs w:val="22"/>
          <w:lang w:val="es-ES"/>
        </w:rPr>
        <w:t xml:space="preserve">Cuando el servicio sea provisto por FTTH Telmex no podrá proveer el servicio de voz integrado </w:t>
      </w:r>
      <w:r w:rsidR="009B0E27" w:rsidRPr="00422CA2">
        <w:rPr>
          <w:rFonts w:ascii="ITC Avant Garde" w:hAnsi="ITC Avant Garde"/>
          <w:sz w:val="22"/>
          <w:szCs w:val="22"/>
          <w:lang w:val="es-ES"/>
        </w:rPr>
        <w:lastRenderedPageBreak/>
        <w:t xml:space="preserve">en la fibra al usuario final sin ofrecerlo antes a los CS como servicio mayorista con </w:t>
      </w:r>
      <w:r w:rsidR="00DE47D2" w:rsidRPr="00422CA2">
        <w:rPr>
          <w:rFonts w:ascii="ITC Avant Garde" w:hAnsi="ITC Avant Garde"/>
          <w:sz w:val="22"/>
          <w:szCs w:val="22"/>
          <w:lang w:val="es-ES"/>
        </w:rPr>
        <w:t>tres</w:t>
      </w:r>
      <w:r w:rsidR="009B0E27" w:rsidRPr="00422CA2">
        <w:rPr>
          <w:rFonts w:ascii="ITC Avant Garde" w:hAnsi="ITC Avant Garde"/>
          <w:sz w:val="22"/>
          <w:szCs w:val="22"/>
          <w:lang w:val="es-ES"/>
        </w:rPr>
        <w:t xml:space="preserve"> meses de antelación. </w:t>
      </w:r>
    </w:p>
    <w:p w14:paraId="21D94226" w14:textId="2F21110D" w:rsidR="009B0E27" w:rsidRPr="00422CA2" w:rsidRDefault="00394A75" w:rsidP="00E11FEA">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Los perfiles para el </w:t>
      </w:r>
      <w:r w:rsidR="008931AE" w:rsidRPr="00422CA2">
        <w:rPr>
          <w:rFonts w:ascii="ITC Avant Garde" w:hAnsi="ITC Avant Garde"/>
          <w:sz w:val="22"/>
          <w:szCs w:val="22"/>
          <w:lang w:val="es-ES"/>
        </w:rPr>
        <w:t>SAIB</w:t>
      </w:r>
      <w:r w:rsidRPr="00422CA2">
        <w:rPr>
          <w:rFonts w:ascii="ITC Avant Garde" w:hAnsi="ITC Avant Garde"/>
          <w:sz w:val="22"/>
          <w:szCs w:val="22"/>
          <w:lang w:val="es-ES"/>
        </w:rPr>
        <w:t xml:space="preserve"> que podrá contratar el CS serán los desarrollados por Telmex con base en el tipo de tecnología instalada en la red</w:t>
      </w:r>
      <w:r w:rsidR="009B0E27" w:rsidRPr="00422CA2">
        <w:rPr>
          <w:rFonts w:ascii="ITC Avant Garde" w:hAnsi="ITC Avant Garde"/>
          <w:sz w:val="22"/>
          <w:szCs w:val="22"/>
          <w:lang w:val="es-ES"/>
        </w:rPr>
        <w:t xml:space="preserve"> o los que </w:t>
      </w:r>
      <w:r w:rsidR="00D63D8E" w:rsidRPr="00422CA2">
        <w:rPr>
          <w:rFonts w:ascii="ITC Avant Garde" w:hAnsi="ITC Avant Garde"/>
          <w:sz w:val="22"/>
          <w:szCs w:val="22"/>
          <w:lang w:val="es-ES"/>
        </w:rPr>
        <w:t>vayan</w:t>
      </w:r>
      <w:r w:rsidR="009B0E27" w:rsidRPr="00422CA2">
        <w:rPr>
          <w:rFonts w:ascii="ITC Avant Garde" w:hAnsi="ITC Avant Garde"/>
          <w:sz w:val="22"/>
          <w:szCs w:val="22"/>
          <w:lang w:val="es-ES"/>
        </w:rPr>
        <w:t xml:space="preserve"> </w:t>
      </w:r>
      <w:r w:rsidR="00E84966" w:rsidRPr="00422CA2">
        <w:rPr>
          <w:rFonts w:ascii="ITC Avant Garde" w:hAnsi="ITC Avant Garde"/>
          <w:sz w:val="22"/>
          <w:szCs w:val="22"/>
          <w:lang w:val="es-ES"/>
        </w:rPr>
        <w:t>a</w:t>
      </w:r>
      <w:r w:rsidR="009B0E27" w:rsidRPr="00422CA2">
        <w:rPr>
          <w:rFonts w:ascii="ITC Avant Garde" w:hAnsi="ITC Avant Garde"/>
          <w:sz w:val="22"/>
          <w:szCs w:val="22"/>
          <w:lang w:val="es-ES"/>
        </w:rPr>
        <w:t xml:space="preserve"> desarrollar que serán puestos a</w:t>
      </w:r>
      <w:r w:rsidR="0084309F" w:rsidRPr="00422CA2">
        <w:rPr>
          <w:rFonts w:ascii="ITC Avant Garde" w:hAnsi="ITC Avant Garde"/>
          <w:sz w:val="22"/>
          <w:szCs w:val="22"/>
          <w:lang w:val="es-ES"/>
        </w:rPr>
        <w:t xml:space="preserve"> disposición de los CS con tres </w:t>
      </w:r>
      <w:r w:rsidR="009B0E27" w:rsidRPr="00422CA2">
        <w:rPr>
          <w:rFonts w:ascii="ITC Avant Garde" w:hAnsi="ITC Avant Garde"/>
          <w:sz w:val="22"/>
          <w:szCs w:val="22"/>
          <w:lang w:val="es-ES"/>
        </w:rPr>
        <w:t xml:space="preserve">meses de antelación. El CS podrá solicitar el cambio de perfil </w:t>
      </w:r>
      <w:r w:rsidR="008931AE" w:rsidRPr="00422CA2">
        <w:rPr>
          <w:rFonts w:ascii="ITC Avant Garde" w:hAnsi="ITC Avant Garde"/>
          <w:sz w:val="22"/>
          <w:szCs w:val="22"/>
          <w:lang w:val="es-ES"/>
        </w:rPr>
        <w:t>que</w:t>
      </w:r>
      <w:r w:rsidR="009B0E27" w:rsidRPr="00422CA2">
        <w:rPr>
          <w:rFonts w:ascii="ITC Avant Garde" w:hAnsi="ITC Avant Garde"/>
          <w:sz w:val="22"/>
          <w:szCs w:val="22"/>
          <w:lang w:val="es-ES"/>
        </w:rPr>
        <w:t xml:space="preserve"> estará sujeto a la factibilidad técnica.</w:t>
      </w:r>
    </w:p>
    <w:p w14:paraId="5B83B7E3" w14:textId="5C2BC773" w:rsidR="00394A75" w:rsidRPr="00422CA2" w:rsidRDefault="00394A75" w:rsidP="00E11FEA">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La velocidad de sincronía se establece entre el Módem del </w:t>
      </w:r>
      <w:r w:rsidR="00E84966" w:rsidRPr="00422CA2">
        <w:rPr>
          <w:rFonts w:ascii="ITC Avant Garde" w:hAnsi="ITC Avant Garde"/>
          <w:sz w:val="22"/>
          <w:szCs w:val="22"/>
          <w:lang w:val="es-ES"/>
        </w:rPr>
        <w:t>Usuario F</w:t>
      </w:r>
      <w:r w:rsidRPr="00422CA2">
        <w:rPr>
          <w:rFonts w:ascii="ITC Avant Garde" w:hAnsi="ITC Avant Garde"/>
          <w:sz w:val="22"/>
          <w:szCs w:val="22"/>
          <w:lang w:val="es-ES"/>
        </w:rPr>
        <w:t>inal y el puerto de acceso del equipo en la central. Dependiendo de la condición física del medio de acceso la señal puede sufrir atenuación y como consecuencia puede existir una disminución en la velocidad.</w:t>
      </w:r>
    </w:p>
    <w:p w14:paraId="12E36823" w14:textId="22A36EB0" w:rsidR="00394A75" w:rsidRPr="00422CA2" w:rsidRDefault="00394A75" w:rsidP="00E11FEA">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Para el SAIB sobre un bucle de fibra óptica, </w:t>
      </w:r>
      <w:r w:rsidR="008931AE" w:rsidRPr="00422CA2">
        <w:rPr>
          <w:rFonts w:ascii="ITC Avant Garde" w:hAnsi="ITC Avant Garde"/>
          <w:sz w:val="22"/>
          <w:szCs w:val="22"/>
          <w:lang w:val="es-ES"/>
        </w:rPr>
        <w:t>para</w:t>
      </w:r>
      <w:r w:rsidRPr="00422CA2">
        <w:rPr>
          <w:rFonts w:ascii="ITC Avant Garde" w:hAnsi="ITC Avant Garde"/>
          <w:sz w:val="22"/>
          <w:szCs w:val="22"/>
          <w:lang w:val="es-ES"/>
        </w:rPr>
        <w:t xml:space="preserve"> los perfiles comerciales siempre y cuando se encuentren dentro del rango del equipo de red de acceso (OLT), la velocidad no se verá afectada. </w:t>
      </w:r>
      <w:r w:rsidRPr="00422CA2">
        <w:rPr>
          <w:rFonts w:ascii="ITC Avant Garde" w:hAnsi="ITC Avant Garde"/>
          <w:sz w:val="22"/>
          <w:szCs w:val="22"/>
        </w:rPr>
        <w:t>Las velocidades ofrecidas están limitadas a la disponibilidad de la tecnología desplegada</w:t>
      </w:r>
      <w:r w:rsidR="009B0E27" w:rsidRPr="00422CA2">
        <w:rPr>
          <w:rFonts w:ascii="ITC Avant Garde" w:hAnsi="ITC Avant Garde"/>
          <w:sz w:val="22"/>
          <w:szCs w:val="22"/>
        </w:rPr>
        <w:t>.</w:t>
      </w:r>
      <w:r w:rsidRPr="00422CA2">
        <w:rPr>
          <w:rFonts w:ascii="ITC Avant Garde" w:hAnsi="ITC Avant Garde"/>
          <w:sz w:val="22"/>
          <w:szCs w:val="22"/>
        </w:rPr>
        <w:t xml:space="preserve"> </w:t>
      </w:r>
    </w:p>
    <w:p w14:paraId="6E7FF170" w14:textId="468EC25D" w:rsidR="00394A75" w:rsidRPr="00422CA2" w:rsidRDefault="00394A75" w:rsidP="00E11FEA">
      <w:pPr>
        <w:spacing w:after="200" w:line="276" w:lineRule="auto"/>
        <w:jc w:val="both"/>
        <w:rPr>
          <w:rFonts w:ascii="ITC Avant Garde" w:hAnsi="ITC Avant Garde"/>
          <w:bCs/>
          <w:iCs/>
          <w:sz w:val="22"/>
          <w:szCs w:val="22"/>
          <w:lang w:val="es-ES"/>
        </w:rPr>
      </w:pPr>
      <w:r w:rsidRPr="00422CA2">
        <w:rPr>
          <w:rFonts w:ascii="ITC Avant Garde" w:hAnsi="ITC Avant Garde"/>
          <w:bCs/>
          <w:iCs/>
          <w:sz w:val="22"/>
          <w:szCs w:val="22"/>
          <w:lang w:val="es-ES"/>
        </w:rPr>
        <w:t xml:space="preserve">Los perfiles comerciales que podrá contratar el </w:t>
      </w:r>
      <w:r w:rsidR="009054B7" w:rsidRPr="00422CA2">
        <w:rPr>
          <w:rFonts w:ascii="ITC Avant Garde" w:hAnsi="ITC Avant Garde"/>
          <w:bCs/>
          <w:iCs/>
          <w:sz w:val="22"/>
          <w:szCs w:val="22"/>
          <w:lang w:val="es-ES"/>
        </w:rPr>
        <w:t>CS</w:t>
      </w:r>
      <w:r w:rsidRPr="00422CA2">
        <w:rPr>
          <w:rFonts w:ascii="ITC Avant Garde" w:hAnsi="ITC Avant Garde"/>
          <w:bCs/>
          <w:iCs/>
          <w:sz w:val="22"/>
          <w:szCs w:val="22"/>
          <w:lang w:val="es-ES"/>
        </w:rPr>
        <w:t xml:space="preserve"> dependerán del medio de acceso, de acuerdo con lo siguiente</w:t>
      </w:r>
      <w:r w:rsidRPr="00422CA2">
        <w:rPr>
          <w:rFonts w:ascii="ITC Avant Garde" w:hAnsi="ITC Avant Garde"/>
          <w:bCs/>
          <w:iCs/>
          <w:sz w:val="22"/>
          <w:szCs w:val="22"/>
          <w:vertAlign w:val="superscript"/>
          <w:lang w:val="es-ES"/>
        </w:rPr>
        <w:footnoteReference w:id="24"/>
      </w:r>
      <w:r w:rsidRPr="00422CA2">
        <w:rPr>
          <w:rFonts w:ascii="ITC Avant Garde" w:hAnsi="ITC Avant Garde"/>
          <w:bCs/>
          <w:iCs/>
          <w:sz w:val="22"/>
          <w:szCs w:val="22"/>
          <w:lang w:val="es-ES"/>
        </w:rPr>
        <w:t>:</w:t>
      </w:r>
    </w:p>
    <w:p w14:paraId="6781F89B" w14:textId="1E29EB36" w:rsidR="00394A75" w:rsidRPr="00422CA2" w:rsidRDefault="00394A75" w:rsidP="00E11FEA">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w:t>
      </w:r>
      <w:r w:rsidR="009054B7" w:rsidRPr="00422CA2">
        <w:rPr>
          <w:rFonts w:ascii="ITC Avant Garde" w:hAnsi="ITC Avant Garde"/>
          <w:sz w:val="22"/>
          <w:szCs w:val="22"/>
          <w:lang w:val="es-ES"/>
        </w:rPr>
        <w:t>SAIB</w:t>
      </w:r>
      <w:r w:rsidRPr="00422CA2">
        <w:rPr>
          <w:rFonts w:ascii="ITC Avant Garde" w:hAnsi="ITC Avant Garde"/>
          <w:sz w:val="22"/>
          <w:szCs w:val="22"/>
          <w:lang w:val="es-ES"/>
        </w:rPr>
        <w:t xml:space="preserve"> permite a los </w:t>
      </w:r>
      <w:r w:rsidR="009054B7" w:rsidRPr="00422CA2">
        <w:rPr>
          <w:rFonts w:ascii="ITC Avant Garde" w:hAnsi="ITC Avant Garde"/>
          <w:sz w:val="22"/>
          <w:szCs w:val="22"/>
          <w:lang w:val="es-ES"/>
        </w:rPr>
        <w:t>C</w:t>
      </w:r>
      <w:r w:rsidRPr="00422CA2">
        <w:rPr>
          <w:rFonts w:ascii="ITC Avant Garde" w:hAnsi="ITC Avant Garde"/>
          <w:sz w:val="22"/>
          <w:szCs w:val="22"/>
          <w:lang w:val="es-ES"/>
        </w:rPr>
        <w:t>S la provisión del servicio de internet que Telmex tiene registrado ante el Instituto ofrece o comercialice a usuarios residenciales y comerciales</w:t>
      </w:r>
      <w:r w:rsidRPr="00422CA2">
        <w:rPr>
          <w:rFonts w:ascii="ITC Avant Garde" w:hAnsi="ITC Avant Garde"/>
          <w:vertAlign w:val="superscript"/>
          <w:lang w:val="es-ES"/>
        </w:rPr>
        <w:footnoteReference w:id="25"/>
      </w:r>
      <w:r w:rsidRPr="00422CA2">
        <w:rPr>
          <w:rFonts w:ascii="ITC Avant Garde" w:hAnsi="ITC Avant Garde"/>
          <w:sz w:val="22"/>
          <w:szCs w:val="22"/>
          <w:lang w:val="es-ES"/>
        </w:rPr>
        <w:t xml:space="preserve"> Telmex dará a conocer a los CS las nuevas ofertas comerciales de Infinitum una vez que le hubiera autorizado el Instituto, para ello, publicará las nuevas ofertas comerciales autorizadas en el Sistema de Captura o SEG cuando esté disponible.</w:t>
      </w:r>
    </w:p>
    <w:p w14:paraId="517DC5E4" w14:textId="18CEA92E" w:rsidR="00291BD6" w:rsidRPr="00422CA2" w:rsidRDefault="00291BD6" w:rsidP="00E11FEA">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Perfiles de velocidad para cobre</w:t>
      </w:r>
    </w:p>
    <w:p w14:paraId="0A0A8703" w14:textId="322D691F" w:rsidR="00DB2CF3" w:rsidRPr="00422CA2" w:rsidRDefault="00DB2CF3" w:rsidP="00D63D8E">
      <w:pPr>
        <w:spacing w:line="360" w:lineRule="auto"/>
        <w:contextualSpacing/>
        <w:jc w:val="center"/>
        <w:rPr>
          <w:rFonts w:ascii="ITC Avant Garde" w:hAnsi="ITC Avant Garde"/>
        </w:rPr>
      </w:pPr>
      <w:r w:rsidRPr="00422CA2">
        <w:rPr>
          <w:rFonts w:ascii="ITC Avant Garde" w:hAnsi="ITC Avant Garde"/>
          <w:noProof/>
          <w:lang w:val="es-MX" w:eastAsia="es-MX"/>
        </w:rPr>
        <w:lastRenderedPageBreak/>
        <w:drawing>
          <wp:inline distT="0" distB="0" distL="0" distR="0" wp14:anchorId="5D6E6A16" wp14:editId="04685910">
            <wp:extent cx="3655197" cy="2280062"/>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58514" cy="2282131"/>
                    </a:xfrm>
                    <a:prstGeom prst="rect">
                      <a:avLst/>
                    </a:prstGeom>
                    <a:noFill/>
                    <a:ln>
                      <a:noFill/>
                    </a:ln>
                  </pic:spPr>
                </pic:pic>
              </a:graphicData>
            </a:graphic>
          </wp:inline>
        </w:drawing>
      </w:r>
    </w:p>
    <w:p w14:paraId="726C79F4" w14:textId="72DD81FF" w:rsidR="00AB0CAD" w:rsidRPr="00422CA2" w:rsidRDefault="00AB0CAD" w:rsidP="00D63D8E">
      <w:pPr>
        <w:spacing w:before="120" w:after="200" w:line="276" w:lineRule="auto"/>
        <w:jc w:val="center"/>
        <w:rPr>
          <w:rFonts w:ascii="ITC Avant Garde" w:hAnsi="ITC Avant Garde"/>
          <w:sz w:val="18"/>
          <w:szCs w:val="18"/>
          <w:lang w:val="es-ES"/>
        </w:rPr>
      </w:pPr>
      <w:r w:rsidRPr="00422CA2">
        <w:rPr>
          <w:rFonts w:ascii="ITC Avant Garde" w:hAnsi="ITC Avant Garde"/>
          <w:sz w:val="18"/>
          <w:szCs w:val="18"/>
          <w:lang w:val="es-ES"/>
        </w:rPr>
        <w:t>Tabla 14 Perfiles de velocidad para cobre</w:t>
      </w:r>
    </w:p>
    <w:p w14:paraId="4DB90C26" w14:textId="3DD1FD45" w:rsidR="00291BD6" w:rsidRPr="00422CA2" w:rsidRDefault="00291BD6" w:rsidP="00394A75">
      <w:pPr>
        <w:spacing w:line="360" w:lineRule="auto"/>
        <w:contextualSpacing/>
        <w:jc w:val="both"/>
        <w:rPr>
          <w:rFonts w:ascii="ITC Avant Garde" w:hAnsi="ITC Avant Garde"/>
          <w:sz w:val="22"/>
          <w:szCs w:val="22"/>
          <w:lang w:val="es-ES"/>
        </w:rPr>
      </w:pPr>
      <w:r w:rsidRPr="00422CA2">
        <w:rPr>
          <w:rFonts w:ascii="ITC Avant Garde" w:hAnsi="ITC Avant Garde"/>
          <w:sz w:val="22"/>
          <w:szCs w:val="22"/>
          <w:lang w:val="es-ES"/>
        </w:rPr>
        <w:t>Perfiles de velocidad sobre fibra óptica</w:t>
      </w:r>
    </w:p>
    <w:p w14:paraId="55F2441E" w14:textId="77777777" w:rsidR="00335A31" w:rsidRPr="00422CA2" w:rsidRDefault="00335A31" w:rsidP="00394A75">
      <w:pPr>
        <w:spacing w:line="360" w:lineRule="auto"/>
        <w:contextualSpacing/>
        <w:jc w:val="both"/>
        <w:rPr>
          <w:rFonts w:ascii="ITC Avant Garde" w:hAnsi="ITC Avant Garde"/>
          <w:sz w:val="22"/>
          <w:szCs w:val="22"/>
          <w:lang w:val="es-ES"/>
        </w:rPr>
      </w:pPr>
    </w:p>
    <w:p w14:paraId="1E597A2C" w14:textId="0DE90C9C" w:rsidR="00DB2CF3" w:rsidRPr="00422CA2" w:rsidRDefault="00291BD6" w:rsidP="00394A75">
      <w:pPr>
        <w:spacing w:line="360" w:lineRule="auto"/>
        <w:contextualSpacing/>
        <w:jc w:val="both"/>
        <w:rPr>
          <w:rFonts w:ascii="ITC Avant Garde" w:hAnsi="ITC Avant Garde"/>
          <w:sz w:val="22"/>
          <w:szCs w:val="22"/>
          <w:lang w:val="es-ES"/>
        </w:rPr>
      </w:pPr>
      <w:r w:rsidRPr="00422CA2">
        <w:rPr>
          <w:rFonts w:ascii="ITC Avant Garde" w:hAnsi="ITC Avant Garde"/>
          <w:sz w:val="22"/>
          <w:szCs w:val="22"/>
          <w:lang w:val="es-ES"/>
        </w:rPr>
        <w:t xml:space="preserve">                 </w:t>
      </w:r>
      <w:r w:rsidR="00FE78D7" w:rsidRPr="00422CA2">
        <w:rPr>
          <w:rFonts w:ascii="ITC Avant Garde" w:hAnsi="ITC Avant Garde"/>
          <w:noProof/>
          <w:sz w:val="22"/>
          <w:szCs w:val="22"/>
          <w:lang w:val="es-MX" w:eastAsia="es-MX"/>
        </w:rPr>
        <w:drawing>
          <wp:inline distT="0" distB="0" distL="0" distR="0" wp14:anchorId="0A42A548" wp14:editId="5921BB22">
            <wp:extent cx="3926205" cy="210312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26205" cy="2103120"/>
                    </a:xfrm>
                    <a:prstGeom prst="rect">
                      <a:avLst/>
                    </a:prstGeom>
                    <a:noFill/>
                  </pic:spPr>
                </pic:pic>
              </a:graphicData>
            </a:graphic>
          </wp:inline>
        </w:drawing>
      </w:r>
    </w:p>
    <w:p w14:paraId="20B38DCA" w14:textId="269C58C0" w:rsidR="00AB0CAD" w:rsidRPr="00422CA2" w:rsidRDefault="00AB0CAD" w:rsidP="00D63D8E">
      <w:pPr>
        <w:spacing w:before="120" w:after="200" w:line="276" w:lineRule="auto"/>
        <w:jc w:val="center"/>
        <w:rPr>
          <w:rFonts w:ascii="ITC Avant Garde" w:hAnsi="ITC Avant Garde"/>
          <w:sz w:val="18"/>
          <w:szCs w:val="18"/>
          <w:lang w:val="es-ES"/>
        </w:rPr>
      </w:pPr>
      <w:r w:rsidRPr="00422CA2">
        <w:rPr>
          <w:rFonts w:ascii="ITC Avant Garde" w:hAnsi="ITC Avant Garde"/>
          <w:sz w:val="18"/>
          <w:szCs w:val="18"/>
          <w:lang w:val="es-ES"/>
        </w:rPr>
        <w:t>Tabla 15 Perfiles de velocidad para fibra óptica</w:t>
      </w:r>
    </w:p>
    <w:p w14:paraId="4027C8BA" w14:textId="3694DE21" w:rsidR="00394A75" w:rsidRPr="00422CA2" w:rsidRDefault="00967A5A" w:rsidP="00586B55">
      <w:pPr>
        <w:pStyle w:val="Ttulo1"/>
      </w:pPr>
      <w:bookmarkStart w:id="359" w:name="_Toc436840897"/>
      <w:bookmarkStart w:id="360" w:name="_Toc436846334"/>
      <w:bookmarkStart w:id="361" w:name="_Toc436848284"/>
      <w:bookmarkStart w:id="362" w:name="_Toc436856532"/>
      <w:bookmarkStart w:id="363" w:name="_Toc436862678"/>
      <w:bookmarkStart w:id="364" w:name="_Toc436866328"/>
      <w:bookmarkStart w:id="365" w:name="_Toc436870907"/>
      <w:bookmarkStart w:id="366" w:name="_Toc436875899"/>
      <w:bookmarkStart w:id="367" w:name="_Toc437602087"/>
      <w:r w:rsidRPr="00422CA2">
        <w:t>5.2</w:t>
      </w:r>
      <w:r w:rsidR="00394A75" w:rsidRPr="00422CA2">
        <w:t>. Módem del usuario final para SAIB</w:t>
      </w:r>
      <w:bookmarkEnd w:id="359"/>
      <w:bookmarkEnd w:id="360"/>
      <w:bookmarkEnd w:id="361"/>
      <w:bookmarkEnd w:id="362"/>
      <w:bookmarkEnd w:id="363"/>
      <w:bookmarkEnd w:id="364"/>
      <w:bookmarkEnd w:id="365"/>
      <w:bookmarkEnd w:id="366"/>
      <w:bookmarkEnd w:id="367"/>
    </w:p>
    <w:p w14:paraId="1D7362FF" w14:textId="7C56B827" w:rsidR="00394A75" w:rsidRPr="00422CA2" w:rsidRDefault="00394A75" w:rsidP="00BF2AEC">
      <w:pPr>
        <w:spacing w:after="200" w:line="276" w:lineRule="auto"/>
        <w:jc w:val="both"/>
        <w:rPr>
          <w:rFonts w:ascii="ITC Avant Garde" w:hAnsi="ITC Avant Garde"/>
          <w:sz w:val="22"/>
          <w:szCs w:val="22"/>
        </w:rPr>
      </w:pPr>
      <w:r w:rsidRPr="00422CA2">
        <w:rPr>
          <w:rFonts w:ascii="ITC Avant Garde" w:hAnsi="ITC Avant Garde"/>
          <w:sz w:val="22"/>
          <w:szCs w:val="22"/>
        </w:rPr>
        <w:t>En esta sección se pone a disposición de los CS información sobre los estándares que deben cumplir los equipos y cualquier otra información necesaria para que los CS puedan especificar los equipos de cliente (módems y ONT´s) de forma que sean compatibles e inter</w:t>
      </w:r>
      <w:r w:rsidR="00091D29" w:rsidRPr="00422CA2">
        <w:rPr>
          <w:rFonts w:ascii="ITC Avant Garde" w:hAnsi="ITC Avant Garde"/>
          <w:sz w:val="22"/>
          <w:szCs w:val="22"/>
        </w:rPr>
        <w:t>operables con los DSLAM/</w:t>
      </w:r>
      <w:r w:rsidR="00874911" w:rsidRPr="00422CA2">
        <w:rPr>
          <w:rFonts w:ascii="ITC Avant Garde" w:hAnsi="ITC Avant Garde"/>
          <w:sz w:val="22"/>
          <w:szCs w:val="22"/>
        </w:rPr>
        <w:t>OLT</w:t>
      </w:r>
      <w:r w:rsidR="00091D29" w:rsidRPr="00422CA2">
        <w:rPr>
          <w:rFonts w:ascii="ITC Avant Garde" w:hAnsi="ITC Avant Garde"/>
          <w:sz w:val="22"/>
          <w:szCs w:val="22"/>
        </w:rPr>
        <w:t xml:space="preserve"> de Telmex</w:t>
      </w:r>
      <w:r w:rsidRPr="00422CA2">
        <w:rPr>
          <w:rFonts w:ascii="ITC Avant Garde" w:hAnsi="ITC Avant Garde"/>
          <w:sz w:val="22"/>
          <w:szCs w:val="22"/>
        </w:rPr>
        <w:t xml:space="preserve"> con proveedores de su elección y así efectuar las adquisiciones oportunas.</w:t>
      </w:r>
      <w:r w:rsidR="0084309F" w:rsidRPr="00422CA2">
        <w:rPr>
          <w:rFonts w:ascii="ITC Avant Garde" w:hAnsi="ITC Avant Garde"/>
          <w:sz w:val="22"/>
          <w:szCs w:val="22"/>
        </w:rPr>
        <w:t xml:space="preserve"> Telmex dispondrá en el S</w:t>
      </w:r>
      <w:r w:rsidR="00D56DC5" w:rsidRPr="00422CA2">
        <w:rPr>
          <w:rFonts w:ascii="ITC Avant Garde" w:hAnsi="ITC Avant Garde"/>
          <w:sz w:val="22"/>
          <w:szCs w:val="22"/>
        </w:rPr>
        <w:t>EG</w:t>
      </w:r>
      <w:r w:rsidR="0084309F" w:rsidRPr="00422CA2">
        <w:rPr>
          <w:rFonts w:ascii="ITC Avant Garde" w:hAnsi="ITC Avant Garde"/>
          <w:sz w:val="22"/>
          <w:szCs w:val="22"/>
        </w:rPr>
        <w:t xml:space="preserve"> o en el </w:t>
      </w:r>
      <w:r w:rsidR="00270367" w:rsidRPr="00422CA2">
        <w:rPr>
          <w:rFonts w:ascii="ITC Avant Garde" w:hAnsi="ITC Avant Garde"/>
          <w:sz w:val="22"/>
          <w:szCs w:val="22"/>
        </w:rPr>
        <w:t>Sistema</w:t>
      </w:r>
      <w:r w:rsidR="0084309F" w:rsidRPr="00422CA2">
        <w:rPr>
          <w:rFonts w:ascii="ITC Avant Garde" w:hAnsi="ITC Avant Garde"/>
          <w:sz w:val="22"/>
          <w:szCs w:val="22"/>
        </w:rPr>
        <w:t xml:space="preserve"> de </w:t>
      </w:r>
      <w:r w:rsidR="00270367" w:rsidRPr="00422CA2">
        <w:rPr>
          <w:rFonts w:ascii="ITC Avant Garde" w:hAnsi="ITC Avant Garde"/>
          <w:sz w:val="22"/>
          <w:szCs w:val="22"/>
        </w:rPr>
        <w:t>C</w:t>
      </w:r>
      <w:r w:rsidR="0084309F" w:rsidRPr="00422CA2">
        <w:rPr>
          <w:rFonts w:ascii="ITC Avant Garde" w:hAnsi="ITC Avant Garde"/>
          <w:sz w:val="22"/>
          <w:szCs w:val="22"/>
        </w:rPr>
        <w:t>aptura de datos</w:t>
      </w:r>
      <w:r w:rsidR="00D17FCC" w:rsidRPr="00422CA2">
        <w:rPr>
          <w:rFonts w:ascii="ITC Avant Garde" w:hAnsi="ITC Avant Garde"/>
          <w:sz w:val="22"/>
          <w:szCs w:val="22"/>
        </w:rPr>
        <w:t>,</w:t>
      </w:r>
      <w:r w:rsidR="0084309F" w:rsidRPr="00422CA2">
        <w:rPr>
          <w:rFonts w:ascii="ITC Avant Garde" w:hAnsi="ITC Avant Garde"/>
          <w:sz w:val="22"/>
          <w:szCs w:val="22"/>
        </w:rPr>
        <w:t xml:space="preserve"> hasta que el SE</w:t>
      </w:r>
      <w:r w:rsidR="00D17FCC" w:rsidRPr="00422CA2">
        <w:rPr>
          <w:rFonts w:ascii="ITC Avant Garde" w:hAnsi="ITC Avant Garde"/>
          <w:sz w:val="22"/>
          <w:szCs w:val="22"/>
        </w:rPr>
        <w:t>G</w:t>
      </w:r>
      <w:r w:rsidR="0084309F" w:rsidRPr="00422CA2">
        <w:rPr>
          <w:rFonts w:ascii="ITC Avant Garde" w:hAnsi="ITC Avant Garde"/>
          <w:sz w:val="22"/>
          <w:szCs w:val="22"/>
        </w:rPr>
        <w:t xml:space="preserve"> esté disponible</w:t>
      </w:r>
      <w:r w:rsidR="00D63D8E" w:rsidRPr="00422CA2">
        <w:rPr>
          <w:rFonts w:ascii="ITC Avant Garde" w:hAnsi="ITC Avant Garde"/>
          <w:sz w:val="22"/>
          <w:szCs w:val="22"/>
        </w:rPr>
        <w:t xml:space="preserve">. </w:t>
      </w:r>
      <w:r w:rsidRPr="00422CA2">
        <w:rPr>
          <w:rFonts w:ascii="ITC Avant Garde" w:hAnsi="ITC Avant Garde"/>
          <w:sz w:val="22"/>
          <w:szCs w:val="22"/>
        </w:rPr>
        <w:t>Cualquier equipo certificado/homologado respecto a dichos estándares y configurados con dichos parámetros deberá poder conectars</w:t>
      </w:r>
      <w:r w:rsidR="00091D29" w:rsidRPr="00422CA2">
        <w:rPr>
          <w:rFonts w:ascii="ITC Avant Garde" w:hAnsi="ITC Avant Garde"/>
          <w:sz w:val="22"/>
          <w:szCs w:val="22"/>
        </w:rPr>
        <w:t xml:space="preserve">e e </w:t>
      </w:r>
      <w:r w:rsidR="00D17FCC" w:rsidRPr="00422CA2">
        <w:rPr>
          <w:rFonts w:ascii="ITC Avant Garde" w:hAnsi="ITC Avant Garde"/>
          <w:sz w:val="22"/>
          <w:szCs w:val="22"/>
        </w:rPr>
        <w:t>inter</w:t>
      </w:r>
      <w:r w:rsidR="00091D29" w:rsidRPr="00422CA2">
        <w:rPr>
          <w:rFonts w:ascii="ITC Avant Garde" w:hAnsi="ITC Avant Garde"/>
          <w:sz w:val="22"/>
          <w:szCs w:val="22"/>
        </w:rPr>
        <w:t>operar con la red de Telmex</w:t>
      </w:r>
      <w:r w:rsidRPr="00422CA2">
        <w:rPr>
          <w:rFonts w:ascii="ITC Avant Garde" w:hAnsi="ITC Avant Garde"/>
          <w:sz w:val="22"/>
          <w:szCs w:val="22"/>
        </w:rPr>
        <w:t>.</w:t>
      </w:r>
      <w:r w:rsidR="00A14A44" w:rsidRPr="00422CA2">
        <w:rPr>
          <w:rFonts w:ascii="ITC Avant Garde" w:hAnsi="ITC Avant Garde"/>
          <w:sz w:val="22"/>
          <w:szCs w:val="22"/>
        </w:rPr>
        <w:t xml:space="preserve"> </w:t>
      </w:r>
      <w:r w:rsidR="00A14A44" w:rsidRPr="00422CA2">
        <w:rPr>
          <w:rFonts w:ascii="ITC Avant Garde" w:hAnsi="ITC Avant Garde"/>
          <w:sz w:val="22"/>
          <w:szCs w:val="22"/>
        </w:rPr>
        <w:lastRenderedPageBreak/>
        <w:t>Por lo que no será necesario realizar las pruebas de interoperabilidad, a menos que así lo solicite el CS.</w:t>
      </w:r>
    </w:p>
    <w:p w14:paraId="795AB167" w14:textId="77777777" w:rsidR="00394A75" w:rsidRPr="00422CA2" w:rsidRDefault="00394A75" w:rsidP="00BF2AEC">
      <w:pPr>
        <w:spacing w:after="200" w:line="276" w:lineRule="auto"/>
        <w:jc w:val="both"/>
        <w:rPr>
          <w:rFonts w:ascii="ITC Avant Garde" w:hAnsi="ITC Avant Garde"/>
          <w:sz w:val="22"/>
          <w:szCs w:val="22"/>
        </w:rPr>
      </w:pPr>
      <w:r w:rsidRPr="00422CA2">
        <w:rPr>
          <w:rFonts w:ascii="ITC Avant Garde" w:hAnsi="ITC Avant Garde"/>
          <w:sz w:val="22"/>
          <w:szCs w:val="22"/>
        </w:rPr>
        <w:t>Esta información se mantendrá accesible y actualizada respecto a cualquier cambio de configuración, actualizaciones de software o cambio tecnológico introducido en la red. Dichos cambios en su caso deberán garantizar que soportan los equipos instalados por los CS.</w:t>
      </w:r>
    </w:p>
    <w:p w14:paraId="75205C2F" w14:textId="221D3BC0" w:rsidR="00394A75" w:rsidRPr="00422CA2" w:rsidRDefault="00394A75" w:rsidP="00BF2AE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CS podrá adquirir los Módems con cualquier proveedor ofreciéndose a requerimiento del CS el servicio de interoperabilidad de Módems para que los mismos operen correctamente en la red. </w:t>
      </w:r>
      <w:r w:rsidR="00C725DB" w:rsidRPr="00422CA2">
        <w:rPr>
          <w:rFonts w:ascii="ITC Avant Garde" w:hAnsi="ITC Avant Garde"/>
          <w:sz w:val="22"/>
          <w:szCs w:val="22"/>
        </w:rPr>
        <w:t>Será responsabilidad del CS la configuración del Módem, y Telmex podrá proveer el Módem a solicitud del CS mediante un cargo específico y su instalación, incluyendo el cableado interno necesario en el domicilio del suscriptor.</w:t>
      </w:r>
    </w:p>
    <w:p w14:paraId="672529AE" w14:textId="1A3019F4" w:rsidR="00394A75" w:rsidRPr="00422CA2" w:rsidRDefault="00394A75" w:rsidP="00BF2AEC">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caso de una ONT, dado el nivel de madurez de la tecnología, es necesario que éstas sean las que Telmex pone a disposición de los CS para que sean compatibles con la red, por lo que se suministrarán por parte de </w:t>
      </w:r>
      <w:r w:rsidR="00A14A44" w:rsidRPr="00422CA2">
        <w:rPr>
          <w:rFonts w:ascii="ITC Avant Garde" w:hAnsi="ITC Avant Garde"/>
          <w:sz w:val="22"/>
          <w:szCs w:val="22"/>
        </w:rPr>
        <w:t>personal de</w:t>
      </w:r>
      <w:r w:rsidRPr="00422CA2">
        <w:rPr>
          <w:rFonts w:ascii="ITC Avant Garde" w:hAnsi="ITC Avant Garde"/>
          <w:sz w:val="22"/>
          <w:szCs w:val="22"/>
        </w:rPr>
        <w:t xml:space="preserve"> Telmex al momento de la instalación del servicio a fin de validar la conectividad, la configuración la hace el CS.</w:t>
      </w:r>
    </w:p>
    <w:p w14:paraId="4736D051"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El CS también tendrá la opción de adquirir dichas ONT directamente con los proveedores que se encuentran indicados en esta misma sección, en el punto relativo a acceso por fibra.</w:t>
      </w:r>
    </w:p>
    <w:p w14:paraId="3CC4DF2F" w14:textId="393DEBDD"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Tanto para Módems como para ONT</w:t>
      </w:r>
      <w:r w:rsidR="00A14A44" w:rsidRPr="00422CA2">
        <w:rPr>
          <w:rFonts w:ascii="ITC Avant Garde" w:hAnsi="ITC Avant Garde"/>
          <w:sz w:val="22"/>
          <w:szCs w:val="22"/>
        </w:rPr>
        <w:t>s</w:t>
      </w:r>
      <w:r w:rsidRPr="00422CA2">
        <w:rPr>
          <w:rFonts w:ascii="ITC Avant Garde" w:hAnsi="ITC Avant Garde"/>
          <w:sz w:val="22"/>
          <w:szCs w:val="22"/>
        </w:rPr>
        <w:t xml:space="preserve"> el CS deberá proveer a Telmex la información de las credenciales (versión de firmware y número de serie) de los </w:t>
      </w:r>
      <w:r w:rsidR="00A14A44" w:rsidRPr="00422CA2">
        <w:rPr>
          <w:rFonts w:ascii="ITC Avant Garde" w:hAnsi="ITC Avant Garde"/>
          <w:sz w:val="22"/>
          <w:szCs w:val="22"/>
        </w:rPr>
        <w:t>equipos</w:t>
      </w:r>
      <w:r w:rsidRPr="00422CA2">
        <w:rPr>
          <w:rFonts w:ascii="ITC Avant Garde" w:hAnsi="ITC Avant Garde"/>
          <w:sz w:val="22"/>
          <w:szCs w:val="22"/>
        </w:rPr>
        <w:t xml:space="preserve"> que </w:t>
      </w:r>
      <w:r w:rsidR="00A14A44" w:rsidRPr="00422CA2">
        <w:rPr>
          <w:rFonts w:ascii="ITC Avant Garde" w:hAnsi="ITC Avant Garde"/>
          <w:sz w:val="22"/>
          <w:szCs w:val="22"/>
        </w:rPr>
        <w:t>vaya a utilizar</w:t>
      </w:r>
      <w:r w:rsidRPr="00422CA2">
        <w:rPr>
          <w:rFonts w:ascii="ITC Avant Garde" w:hAnsi="ITC Avant Garde"/>
          <w:sz w:val="22"/>
          <w:szCs w:val="22"/>
        </w:rPr>
        <w:t>.</w:t>
      </w:r>
    </w:p>
    <w:p w14:paraId="796CFC5F" w14:textId="10D99D0E" w:rsidR="00360265" w:rsidRPr="00422CA2" w:rsidRDefault="00394A75" w:rsidP="00D17FCC">
      <w:pPr>
        <w:pStyle w:val="IFTnormal"/>
        <w:rPr>
          <w:lang w:val="es-ES"/>
        </w:rPr>
      </w:pPr>
      <w:r w:rsidRPr="00422CA2">
        <w:t>Asimismo, el CS podrá comprar los Módems/ONT’s a Telmex el cual le ofrecerá modelos blancos (sin identificadores Telmex) de las marcas con las que tenga convenio activo al momento de la compra,</w:t>
      </w:r>
      <w:r w:rsidRPr="00422CA2">
        <w:rPr>
          <w:lang w:val="es-ES"/>
        </w:rPr>
        <w:t xml:space="preserve"> </w:t>
      </w:r>
      <w:r w:rsidRPr="00422CA2">
        <w:t xml:space="preserve">pudiendo ser solicitado por parte de los CS desde la solicitud de los </w:t>
      </w:r>
      <w:r w:rsidR="00EA1872" w:rsidRPr="00422CA2">
        <w:t>S</w:t>
      </w:r>
      <w:r w:rsidRPr="00422CA2">
        <w:t xml:space="preserve">ervicios que sean </w:t>
      </w:r>
      <w:r w:rsidRPr="00422CA2">
        <w:rPr>
          <w:lang w:val="es-ES"/>
        </w:rPr>
        <w:t>entregados en el domicilio del cliente en las mismas condiciones que se entregan para los clientes Telmex, para tales fines el CS podrá elegir si la entrega será vía mensajería</w:t>
      </w:r>
      <w:r w:rsidRPr="00422CA2">
        <w:rPr>
          <w:rStyle w:val="Refdenotaalpie"/>
        </w:rPr>
        <w:footnoteReference w:id="26"/>
      </w:r>
      <w:r w:rsidRPr="00422CA2">
        <w:rPr>
          <w:lang w:val="es-ES"/>
        </w:rPr>
        <w:t xml:space="preserve"> en cuyo caso aplica una contraprestación, o tienda comercial de Telmex</w:t>
      </w:r>
      <w:r w:rsidRPr="00422CA2">
        <w:rPr>
          <w:rStyle w:val="Refdenotaalpie"/>
          <w:lang w:val="es-ES"/>
        </w:rPr>
        <w:footnoteReference w:id="27"/>
      </w:r>
      <w:r w:rsidRPr="00422CA2">
        <w:rPr>
          <w:lang w:val="es-ES"/>
        </w:rPr>
        <w:t xml:space="preserve">. La lista de las </w:t>
      </w:r>
      <w:r w:rsidR="00D17FCC" w:rsidRPr="00422CA2">
        <w:rPr>
          <w:lang w:val="es-ES"/>
        </w:rPr>
        <w:t>c</w:t>
      </w:r>
      <w:r w:rsidRPr="00422CA2">
        <w:rPr>
          <w:lang w:val="es-ES"/>
        </w:rPr>
        <w:t xml:space="preserve">iudades en </w:t>
      </w:r>
      <w:r w:rsidRPr="00422CA2">
        <w:rPr>
          <w:lang w:val="es-ES"/>
        </w:rPr>
        <w:lastRenderedPageBreak/>
        <w:t xml:space="preserve">que se podrá realizar la entrega de módems por Tienda Telmex se </w:t>
      </w:r>
      <w:r w:rsidR="00360265" w:rsidRPr="00422CA2">
        <w:rPr>
          <w:lang w:val="es-ES"/>
        </w:rPr>
        <w:t xml:space="preserve">hará pública y se actualizará en el </w:t>
      </w:r>
      <w:r w:rsidR="00EA1872" w:rsidRPr="00422CA2">
        <w:rPr>
          <w:lang w:val="es-ES"/>
        </w:rPr>
        <w:t>SEG</w:t>
      </w:r>
      <w:r w:rsidR="00360265" w:rsidRPr="00422CA2">
        <w:rPr>
          <w:lang w:val="es-ES"/>
        </w:rPr>
        <w:t xml:space="preserve"> o en el </w:t>
      </w:r>
      <w:r w:rsidR="00EA1872" w:rsidRPr="00422CA2">
        <w:rPr>
          <w:lang w:val="es-ES"/>
        </w:rPr>
        <w:t>Sistema</w:t>
      </w:r>
      <w:r w:rsidR="00360265" w:rsidRPr="00422CA2">
        <w:rPr>
          <w:lang w:val="es-ES"/>
        </w:rPr>
        <w:t xml:space="preserve"> de </w:t>
      </w:r>
      <w:r w:rsidR="00EA1872" w:rsidRPr="00422CA2">
        <w:rPr>
          <w:lang w:val="es-ES"/>
        </w:rPr>
        <w:t>Captura</w:t>
      </w:r>
      <w:r w:rsidR="00360265" w:rsidRPr="00422CA2">
        <w:rPr>
          <w:lang w:val="es-ES"/>
        </w:rPr>
        <w:t xml:space="preserve"> hasta que el </w:t>
      </w:r>
      <w:r w:rsidR="00EA1872" w:rsidRPr="00422CA2">
        <w:rPr>
          <w:lang w:val="es-ES"/>
        </w:rPr>
        <w:t>SEG</w:t>
      </w:r>
      <w:r w:rsidR="00360265" w:rsidRPr="00422CA2">
        <w:rPr>
          <w:lang w:val="es-ES"/>
        </w:rPr>
        <w:t xml:space="preserve"> esté disponible.</w:t>
      </w:r>
    </w:p>
    <w:p w14:paraId="6A23A68F" w14:textId="5359128D" w:rsidR="00394A75" w:rsidRPr="00422CA2" w:rsidRDefault="00394A75" w:rsidP="00D17FCC">
      <w:pPr>
        <w:pStyle w:val="IFTnormal"/>
      </w:pPr>
      <w:r w:rsidRPr="00422CA2">
        <w:t>Para el caso de fallas atribuibles a los módem u ONT</w:t>
      </w:r>
      <w:r w:rsidR="00D17FCC" w:rsidRPr="00422CA2">
        <w:t>´s</w:t>
      </w:r>
      <w:r w:rsidRPr="00422CA2">
        <w:t>, y derivado de que la propiedad de los mismos será del CS, Telmex otorgará un periodo de garantía de 1 año, reemplazando los equipos de la misma manera en que lo hace para sus propios clientes.</w:t>
      </w:r>
    </w:p>
    <w:p w14:paraId="13770139" w14:textId="77777777" w:rsidR="00394A75" w:rsidRPr="00422CA2" w:rsidRDefault="00394A75" w:rsidP="00BC6E66">
      <w:pPr>
        <w:spacing w:after="200" w:line="276" w:lineRule="auto"/>
        <w:jc w:val="both"/>
        <w:rPr>
          <w:rFonts w:ascii="ITC Avant Garde" w:hAnsi="ITC Avant Garde"/>
          <w:b/>
          <w:sz w:val="22"/>
          <w:szCs w:val="22"/>
        </w:rPr>
      </w:pPr>
      <w:r w:rsidRPr="00422CA2">
        <w:rPr>
          <w:rFonts w:ascii="ITC Avant Garde" w:hAnsi="ITC Avant Garde"/>
          <w:b/>
          <w:sz w:val="22"/>
          <w:szCs w:val="22"/>
        </w:rPr>
        <w:t>Parámetros del Módem/ONT</w:t>
      </w:r>
    </w:p>
    <w:p w14:paraId="5776AC44" w14:textId="076ADDBC"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En caso de que el CS decida comprar los </w:t>
      </w:r>
      <w:r w:rsidR="00EA1872" w:rsidRPr="00422CA2">
        <w:rPr>
          <w:rFonts w:ascii="ITC Avant Garde" w:hAnsi="ITC Avant Garde"/>
          <w:sz w:val="22"/>
          <w:szCs w:val="22"/>
        </w:rPr>
        <w:t>M</w:t>
      </w:r>
      <w:r w:rsidRPr="00422CA2">
        <w:rPr>
          <w:rFonts w:ascii="ITC Avant Garde" w:hAnsi="ITC Avant Garde"/>
          <w:sz w:val="22"/>
          <w:szCs w:val="22"/>
        </w:rPr>
        <w:t xml:space="preserve">ódems u ONT’s directamente con los proveedores, deberá cerciorarse de que cumplan con los siguientes estándares </w:t>
      </w:r>
      <w:r w:rsidR="00564B8C" w:rsidRPr="00422CA2">
        <w:rPr>
          <w:rFonts w:ascii="ITC Avant Garde" w:hAnsi="ITC Avant Garde"/>
          <w:sz w:val="22"/>
          <w:szCs w:val="22"/>
        </w:rPr>
        <w:t xml:space="preserve">donde apliquen </w:t>
      </w:r>
      <w:r w:rsidRPr="00422CA2">
        <w:rPr>
          <w:rFonts w:ascii="ITC Avant Garde" w:hAnsi="ITC Avant Garde"/>
          <w:sz w:val="22"/>
          <w:szCs w:val="22"/>
        </w:rPr>
        <w:t>con el fin de que sea más factible su interoperabilidad con la red de Telmex, dichos estándares se dividen para accesos por cobre o por fibra.</w:t>
      </w:r>
    </w:p>
    <w:p w14:paraId="7C4D66D8"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accesos por cobre:</w:t>
      </w:r>
    </w:p>
    <w:p w14:paraId="0D3B9926" w14:textId="77777777" w:rsidR="00394A75" w:rsidRPr="00422CA2" w:rsidRDefault="00394A75" w:rsidP="00D63D8E">
      <w:pPr>
        <w:spacing w:after="200" w:line="276" w:lineRule="auto"/>
        <w:jc w:val="both"/>
        <w:rPr>
          <w:rFonts w:ascii="ITC Avant Garde" w:hAnsi="ITC Avant Garde"/>
          <w:sz w:val="22"/>
          <w:szCs w:val="22"/>
        </w:rPr>
      </w:pPr>
      <w:r w:rsidRPr="00422CA2">
        <w:rPr>
          <w:rFonts w:ascii="ITC Avant Garde" w:hAnsi="ITC Avant Garde"/>
          <w:sz w:val="22"/>
          <w:szCs w:val="22"/>
        </w:rPr>
        <w:t>Las especificaciones técnicas y/o recomendaciones Internacionales con las cuales debe cumplir el CS para el Módem:</w:t>
      </w:r>
    </w:p>
    <w:p w14:paraId="37F73D25" w14:textId="77777777" w:rsidR="00394A75" w:rsidRPr="00422CA2" w:rsidRDefault="00394A75" w:rsidP="00D63D8E">
      <w:pPr>
        <w:pStyle w:val="Prrafodelista"/>
        <w:numPr>
          <w:ilvl w:val="0"/>
          <w:numId w:val="204"/>
        </w:numPr>
        <w:spacing w:after="200" w:line="276" w:lineRule="auto"/>
        <w:jc w:val="both"/>
        <w:rPr>
          <w:rFonts w:ascii="ITC Avant Garde" w:hAnsi="ITC Avant Garde"/>
          <w:sz w:val="22"/>
          <w:szCs w:val="22"/>
        </w:rPr>
      </w:pPr>
      <w:r w:rsidRPr="00422CA2">
        <w:rPr>
          <w:rFonts w:ascii="ITC Avant Garde" w:hAnsi="ITC Avant Garde"/>
          <w:sz w:val="22"/>
          <w:szCs w:val="22"/>
        </w:rPr>
        <w:t xml:space="preserve">Cumplir con la recomendación ITU-T G.994.1 </w:t>
      </w:r>
      <w:r w:rsidRPr="00422CA2">
        <w:rPr>
          <w:rFonts w:ascii="ITC Avant Garde" w:hAnsi="ITC Avant Garde"/>
          <w:i/>
          <w:sz w:val="22"/>
          <w:szCs w:val="22"/>
        </w:rPr>
        <w:t>Handshake procedures for digital subscriber line (DSL) transceivers</w:t>
      </w:r>
      <w:r w:rsidRPr="00422CA2">
        <w:rPr>
          <w:rFonts w:ascii="ITC Avant Garde" w:hAnsi="ITC Avant Garde"/>
          <w:sz w:val="22"/>
          <w:szCs w:val="22"/>
        </w:rPr>
        <w:t>.</w:t>
      </w:r>
    </w:p>
    <w:p w14:paraId="22F1934D" w14:textId="77777777" w:rsidR="00394A75" w:rsidRPr="00422CA2" w:rsidRDefault="00394A75" w:rsidP="00D63D8E">
      <w:pPr>
        <w:pStyle w:val="Prrafodelista"/>
        <w:numPr>
          <w:ilvl w:val="0"/>
          <w:numId w:val="204"/>
        </w:numPr>
        <w:spacing w:after="200" w:line="276" w:lineRule="auto"/>
        <w:jc w:val="both"/>
        <w:rPr>
          <w:rFonts w:ascii="ITC Avant Garde" w:hAnsi="ITC Avant Garde"/>
          <w:sz w:val="22"/>
          <w:szCs w:val="22"/>
        </w:rPr>
      </w:pPr>
      <w:r w:rsidRPr="00422CA2">
        <w:rPr>
          <w:rFonts w:ascii="ITC Avant Garde" w:hAnsi="ITC Avant Garde"/>
          <w:sz w:val="22"/>
          <w:szCs w:val="22"/>
        </w:rPr>
        <w:t xml:space="preserve">Cumplir con la recomendación ITU-T G.998.4 </w:t>
      </w:r>
      <w:r w:rsidRPr="00422CA2">
        <w:rPr>
          <w:rFonts w:ascii="ITC Avant Garde" w:hAnsi="ITC Avant Garde"/>
          <w:i/>
          <w:sz w:val="22"/>
          <w:szCs w:val="22"/>
        </w:rPr>
        <w:t>Improved impulse noise protection for DSL transceivers</w:t>
      </w:r>
      <w:r w:rsidRPr="00422CA2">
        <w:rPr>
          <w:rFonts w:ascii="ITC Avant Garde" w:hAnsi="ITC Avant Garde"/>
          <w:sz w:val="22"/>
          <w:szCs w:val="22"/>
        </w:rPr>
        <w:t>.</w:t>
      </w:r>
    </w:p>
    <w:p w14:paraId="28ACC92A" w14:textId="77777777" w:rsidR="00394A75" w:rsidRPr="00422CA2" w:rsidRDefault="00394A75" w:rsidP="00D63D8E">
      <w:pPr>
        <w:pStyle w:val="Prrafodelista"/>
        <w:numPr>
          <w:ilvl w:val="0"/>
          <w:numId w:val="204"/>
        </w:numPr>
        <w:spacing w:after="200" w:line="276" w:lineRule="auto"/>
        <w:jc w:val="both"/>
        <w:rPr>
          <w:rFonts w:ascii="ITC Avant Garde" w:hAnsi="ITC Avant Garde"/>
          <w:sz w:val="22"/>
          <w:szCs w:val="22"/>
        </w:rPr>
      </w:pPr>
      <w:r w:rsidRPr="00422CA2">
        <w:rPr>
          <w:rFonts w:ascii="ITC Avant Garde" w:hAnsi="ITC Avant Garde"/>
          <w:sz w:val="22"/>
          <w:szCs w:val="22"/>
        </w:rPr>
        <w:t>Capacidad multiDSL, el Módem debe ser capaz de censar el sistema Multi-DSL del puerto del DSLAM y sincronizar al puerto sin requerir una actualización de firmware.</w:t>
      </w:r>
    </w:p>
    <w:p w14:paraId="07AE2215" w14:textId="77777777" w:rsidR="00394A75" w:rsidRPr="00422CA2" w:rsidRDefault="00394A75" w:rsidP="00D63D8E">
      <w:pPr>
        <w:spacing w:after="200" w:line="276" w:lineRule="auto"/>
        <w:jc w:val="both"/>
        <w:rPr>
          <w:rFonts w:ascii="ITC Avant Garde" w:hAnsi="ITC Avant Garde"/>
          <w:sz w:val="22"/>
          <w:szCs w:val="22"/>
        </w:rPr>
      </w:pPr>
      <w:r w:rsidRPr="00422CA2">
        <w:rPr>
          <w:rFonts w:ascii="ITC Avant Garde" w:hAnsi="ITC Avant Garde"/>
          <w:sz w:val="22"/>
          <w:szCs w:val="22"/>
        </w:rPr>
        <w:t>Función de ahorro de potencia estado L2.</w:t>
      </w:r>
    </w:p>
    <w:p w14:paraId="3E5E4098" w14:textId="77777777" w:rsidR="00394A75" w:rsidRPr="00422CA2" w:rsidRDefault="00394A75" w:rsidP="00D63D8E">
      <w:pPr>
        <w:pStyle w:val="Prrafodelista"/>
        <w:numPr>
          <w:ilvl w:val="0"/>
          <w:numId w:val="199"/>
        </w:numPr>
        <w:spacing w:after="200" w:line="276" w:lineRule="auto"/>
        <w:ind w:hanging="357"/>
        <w:jc w:val="both"/>
        <w:rPr>
          <w:rFonts w:ascii="ITC Avant Garde" w:hAnsi="ITC Avant Garde"/>
          <w:sz w:val="22"/>
          <w:szCs w:val="22"/>
        </w:rPr>
      </w:pPr>
      <w:r w:rsidRPr="00422CA2">
        <w:rPr>
          <w:rFonts w:ascii="ITC Avant Garde" w:hAnsi="ITC Avant Garde"/>
          <w:sz w:val="22"/>
          <w:szCs w:val="22"/>
        </w:rPr>
        <w:t xml:space="preserve">El fabricante del Chipset DSL debe pertenecer al </w:t>
      </w:r>
      <w:r w:rsidRPr="00422CA2">
        <w:rPr>
          <w:rFonts w:ascii="ITC Avant Garde" w:hAnsi="ITC Avant Garde"/>
          <w:i/>
          <w:sz w:val="22"/>
          <w:szCs w:val="22"/>
        </w:rPr>
        <w:t>Broadband Forum</w:t>
      </w:r>
      <w:r w:rsidRPr="00422CA2">
        <w:rPr>
          <w:rFonts w:ascii="ITC Avant Garde" w:hAnsi="ITC Avant Garde"/>
          <w:sz w:val="22"/>
          <w:szCs w:val="22"/>
        </w:rPr>
        <w:t>, y adjuntar la correspondiente certificación vigente.</w:t>
      </w:r>
    </w:p>
    <w:p w14:paraId="40E0CD34" w14:textId="77777777" w:rsidR="00394A75" w:rsidRPr="00422CA2" w:rsidRDefault="00394A75" w:rsidP="00D63D8E">
      <w:pPr>
        <w:pStyle w:val="Prrafodelista"/>
        <w:numPr>
          <w:ilvl w:val="0"/>
          <w:numId w:val="199"/>
        </w:numPr>
        <w:spacing w:after="200" w:line="276" w:lineRule="auto"/>
        <w:ind w:hanging="357"/>
        <w:jc w:val="both"/>
        <w:rPr>
          <w:rFonts w:ascii="ITC Avant Garde" w:hAnsi="ITC Avant Garde"/>
          <w:sz w:val="22"/>
          <w:szCs w:val="22"/>
        </w:rPr>
      </w:pPr>
      <w:r w:rsidRPr="00422CA2">
        <w:rPr>
          <w:rFonts w:ascii="ITC Avant Garde" w:hAnsi="ITC Avant Garde"/>
          <w:sz w:val="22"/>
          <w:szCs w:val="22"/>
        </w:rPr>
        <w:t>Operar sobre ADSL2+, cumpliendo lo siguiente:</w:t>
      </w:r>
    </w:p>
    <w:p w14:paraId="0B2D1065" w14:textId="77777777" w:rsidR="00394A75" w:rsidRPr="00422CA2" w:rsidRDefault="00394A75" w:rsidP="00D63D8E">
      <w:pPr>
        <w:pStyle w:val="Prrafodelista"/>
        <w:numPr>
          <w:ilvl w:val="0"/>
          <w:numId w:val="259"/>
        </w:numPr>
        <w:spacing w:after="200" w:line="276" w:lineRule="auto"/>
        <w:jc w:val="both"/>
        <w:rPr>
          <w:rFonts w:ascii="ITC Avant Garde" w:hAnsi="ITC Avant Garde"/>
          <w:sz w:val="22"/>
          <w:szCs w:val="22"/>
        </w:rPr>
      </w:pPr>
      <w:r w:rsidRPr="00422CA2">
        <w:rPr>
          <w:rFonts w:ascii="ITC Avant Garde" w:hAnsi="ITC Avant Garde"/>
          <w:sz w:val="22"/>
          <w:szCs w:val="22"/>
        </w:rPr>
        <w:t>Cumplir con la recomendación ITU-T G.992.5 Transceptores para línea de abonado digital asimétrica - Línea de abonado digital asimétrica 2 de anchura de banda ampliada (ADSL2plus).</w:t>
      </w:r>
    </w:p>
    <w:p w14:paraId="5ADAB7A0" w14:textId="77777777" w:rsidR="00394A75" w:rsidRPr="00422CA2" w:rsidRDefault="00394A75" w:rsidP="00D63D8E">
      <w:pPr>
        <w:pStyle w:val="Prrafodelista"/>
        <w:numPr>
          <w:ilvl w:val="0"/>
          <w:numId w:val="259"/>
        </w:numPr>
        <w:spacing w:after="200" w:line="276" w:lineRule="auto"/>
        <w:jc w:val="both"/>
        <w:rPr>
          <w:rFonts w:ascii="ITC Avant Garde" w:hAnsi="ITC Avant Garde"/>
          <w:sz w:val="22"/>
          <w:szCs w:val="22"/>
        </w:rPr>
      </w:pPr>
      <w:r w:rsidRPr="00422CA2">
        <w:rPr>
          <w:rFonts w:ascii="ITC Avant Garde" w:hAnsi="ITC Avant Garde"/>
          <w:sz w:val="22"/>
          <w:szCs w:val="22"/>
        </w:rPr>
        <w:t>Soportar modo de operación ATM (Asynchronous Transfer Mode).</w:t>
      </w:r>
    </w:p>
    <w:p w14:paraId="13C3532A" w14:textId="77777777" w:rsidR="00394A75" w:rsidRPr="00422CA2" w:rsidRDefault="00394A75" w:rsidP="00D63D8E">
      <w:pPr>
        <w:pStyle w:val="Prrafodelista"/>
        <w:numPr>
          <w:ilvl w:val="0"/>
          <w:numId w:val="259"/>
        </w:numPr>
        <w:spacing w:after="200" w:line="276" w:lineRule="auto"/>
        <w:jc w:val="both"/>
        <w:rPr>
          <w:rFonts w:ascii="ITC Avant Garde" w:hAnsi="ITC Avant Garde"/>
          <w:sz w:val="22"/>
          <w:szCs w:val="22"/>
        </w:rPr>
      </w:pPr>
      <w:r w:rsidRPr="00422CA2">
        <w:rPr>
          <w:rFonts w:ascii="ITC Avant Garde" w:hAnsi="ITC Avant Garde"/>
          <w:sz w:val="22"/>
          <w:szCs w:val="22"/>
        </w:rPr>
        <w:t>Soportar UPBO.</w:t>
      </w:r>
    </w:p>
    <w:p w14:paraId="475A2429" w14:textId="77777777" w:rsidR="00394A75" w:rsidRPr="00422CA2" w:rsidRDefault="00394A75" w:rsidP="00D63D8E">
      <w:pPr>
        <w:pStyle w:val="Prrafodelista"/>
        <w:numPr>
          <w:ilvl w:val="0"/>
          <w:numId w:val="200"/>
        </w:numPr>
        <w:spacing w:after="200" w:line="276" w:lineRule="auto"/>
        <w:ind w:left="1418" w:hanging="357"/>
        <w:jc w:val="both"/>
        <w:rPr>
          <w:rFonts w:ascii="ITC Avant Garde" w:hAnsi="ITC Avant Garde"/>
          <w:sz w:val="22"/>
          <w:szCs w:val="22"/>
        </w:rPr>
      </w:pPr>
      <w:r w:rsidRPr="00422CA2">
        <w:rPr>
          <w:rFonts w:ascii="ITC Avant Garde" w:hAnsi="ITC Avant Garde"/>
          <w:sz w:val="22"/>
          <w:szCs w:val="22"/>
        </w:rPr>
        <w:lastRenderedPageBreak/>
        <w:t>El modo de operación ATM (Asynchronous Transfer Mode), deberá considerar:</w:t>
      </w:r>
    </w:p>
    <w:p w14:paraId="682A11AF" w14:textId="77777777" w:rsidR="00394A75" w:rsidRPr="00422CA2" w:rsidRDefault="00394A75" w:rsidP="00D63D8E">
      <w:pPr>
        <w:pStyle w:val="Prrafodelista"/>
        <w:numPr>
          <w:ilvl w:val="0"/>
          <w:numId w:val="202"/>
        </w:numPr>
        <w:spacing w:after="200" w:line="276" w:lineRule="auto"/>
        <w:ind w:left="2268" w:hanging="357"/>
        <w:jc w:val="both"/>
        <w:rPr>
          <w:rFonts w:ascii="ITC Avant Garde" w:hAnsi="ITC Avant Garde"/>
          <w:sz w:val="22"/>
          <w:szCs w:val="22"/>
        </w:rPr>
      </w:pPr>
      <w:r w:rsidRPr="00422CA2">
        <w:rPr>
          <w:rFonts w:ascii="ITC Avant Garde" w:hAnsi="ITC Avant Garde"/>
          <w:sz w:val="22"/>
          <w:szCs w:val="22"/>
        </w:rPr>
        <w:t>Manejo de clases de servicio ATM: UBR.</w:t>
      </w:r>
    </w:p>
    <w:p w14:paraId="30F549C8" w14:textId="77777777" w:rsidR="00394A75" w:rsidRPr="00422CA2" w:rsidRDefault="00394A75" w:rsidP="00D63D8E">
      <w:pPr>
        <w:pStyle w:val="Prrafodelista"/>
        <w:numPr>
          <w:ilvl w:val="0"/>
          <w:numId w:val="202"/>
        </w:numPr>
        <w:spacing w:after="200" w:line="276" w:lineRule="auto"/>
        <w:ind w:left="2268" w:hanging="357"/>
        <w:jc w:val="both"/>
        <w:rPr>
          <w:rFonts w:ascii="ITC Avant Garde" w:hAnsi="ITC Avant Garde"/>
          <w:sz w:val="22"/>
          <w:szCs w:val="22"/>
        </w:rPr>
      </w:pPr>
      <w:r w:rsidRPr="00422CA2">
        <w:rPr>
          <w:rFonts w:ascii="ITC Avant Garde" w:hAnsi="ITC Avant Garde"/>
          <w:sz w:val="22"/>
          <w:szCs w:val="22"/>
        </w:rPr>
        <w:t>Permitir la configuración de al menos 1 PVCs, uno de los cuales debe soportar la función de autodescubrimiento “Autosense (VPI/VCI)” de los accesos configurados en la red, es decir, el Módem deberá detectar el VPI/VCI que esté activo en la red y adaptarse en forma automática, para utilizarlo en cualquier momento.</w:t>
      </w:r>
    </w:p>
    <w:p w14:paraId="4D1C4403" w14:textId="77777777" w:rsidR="00394A75" w:rsidRPr="00422CA2" w:rsidRDefault="00394A75" w:rsidP="00D63D8E">
      <w:pPr>
        <w:pStyle w:val="Prrafodelista"/>
        <w:numPr>
          <w:ilvl w:val="0"/>
          <w:numId w:val="202"/>
        </w:numPr>
        <w:spacing w:after="200" w:line="276" w:lineRule="auto"/>
        <w:ind w:left="2268" w:hanging="357"/>
        <w:jc w:val="both"/>
        <w:rPr>
          <w:rFonts w:ascii="ITC Avant Garde" w:hAnsi="ITC Avant Garde"/>
          <w:sz w:val="22"/>
          <w:szCs w:val="22"/>
        </w:rPr>
      </w:pPr>
      <w:r w:rsidRPr="00422CA2">
        <w:rPr>
          <w:rFonts w:ascii="ITC Avant Garde" w:hAnsi="ITC Avant Garde"/>
          <w:sz w:val="22"/>
          <w:szCs w:val="22"/>
        </w:rPr>
        <w:t>Soportar por PVC una sesión de PPPoE/DHCP.</w:t>
      </w:r>
    </w:p>
    <w:p w14:paraId="506A166F" w14:textId="77777777" w:rsidR="00394A75" w:rsidRPr="00422CA2" w:rsidRDefault="00394A75" w:rsidP="00D63D8E">
      <w:pPr>
        <w:pStyle w:val="Prrafodelista"/>
        <w:numPr>
          <w:ilvl w:val="0"/>
          <w:numId w:val="202"/>
        </w:numPr>
        <w:spacing w:after="200" w:line="276" w:lineRule="auto"/>
        <w:ind w:left="2268" w:hanging="357"/>
        <w:jc w:val="both"/>
        <w:rPr>
          <w:rFonts w:ascii="ITC Avant Garde" w:hAnsi="ITC Avant Garde"/>
          <w:sz w:val="22"/>
          <w:szCs w:val="22"/>
        </w:rPr>
      </w:pPr>
      <w:r w:rsidRPr="00422CA2">
        <w:rPr>
          <w:rFonts w:ascii="ITC Avant Garde" w:hAnsi="ITC Avant Garde"/>
          <w:sz w:val="22"/>
          <w:szCs w:val="22"/>
        </w:rPr>
        <w:t>Los PVC´s deben permitir la configuración en forma remota, ya sea por descarga de un archivo o en forma manual sin necesidad de intervención local.</w:t>
      </w:r>
    </w:p>
    <w:p w14:paraId="10EB7705" w14:textId="77777777" w:rsidR="00394A75" w:rsidRPr="00422CA2" w:rsidRDefault="00394A75" w:rsidP="00D63D8E">
      <w:pPr>
        <w:pStyle w:val="Prrafodelista"/>
        <w:numPr>
          <w:ilvl w:val="0"/>
          <w:numId w:val="202"/>
        </w:numPr>
        <w:spacing w:after="200" w:line="276" w:lineRule="auto"/>
        <w:ind w:left="2268" w:hanging="357"/>
        <w:jc w:val="both"/>
        <w:rPr>
          <w:rFonts w:ascii="ITC Avant Garde" w:hAnsi="ITC Avant Garde"/>
          <w:sz w:val="22"/>
          <w:szCs w:val="22"/>
        </w:rPr>
      </w:pPr>
      <w:r w:rsidRPr="00422CA2">
        <w:rPr>
          <w:rFonts w:ascii="ITC Avant Garde" w:hAnsi="ITC Avant Garde"/>
          <w:sz w:val="22"/>
          <w:szCs w:val="22"/>
        </w:rPr>
        <w:t>Permitir asignar una MAC por PVC hacia la WAN: Soportar el anuncio de una dirección MAC diferente por cada PVC activo. El proveedor debe entregar la lista de direcciones MAC que puede establecer cada Módem.</w:t>
      </w:r>
    </w:p>
    <w:p w14:paraId="3441B45D" w14:textId="77777777" w:rsidR="00394A75" w:rsidRPr="00422CA2" w:rsidRDefault="00394A75" w:rsidP="00D63D8E">
      <w:pPr>
        <w:pStyle w:val="Prrafodelista"/>
        <w:numPr>
          <w:ilvl w:val="0"/>
          <w:numId w:val="199"/>
        </w:numPr>
        <w:spacing w:after="200" w:line="276" w:lineRule="auto"/>
        <w:ind w:hanging="357"/>
        <w:jc w:val="both"/>
        <w:rPr>
          <w:rFonts w:ascii="ITC Avant Garde" w:hAnsi="ITC Avant Garde"/>
          <w:sz w:val="22"/>
          <w:szCs w:val="22"/>
        </w:rPr>
      </w:pPr>
      <w:r w:rsidRPr="00422CA2">
        <w:rPr>
          <w:rFonts w:ascii="ITC Avant Garde" w:hAnsi="ITC Avant Garde"/>
          <w:sz w:val="22"/>
          <w:szCs w:val="22"/>
        </w:rPr>
        <w:t>El Módem debe cumplir con los parámetros de desempeño en cuanto a velocidad de datos y alcance de línea de cobre ADSL2+ (opcional VDSL2), así como con los siguientes puntos:</w:t>
      </w:r>
    </w:p>
    <w:p w14:paraId="57B11A71" w14:textId="77777777" w:rsidR="00394A75" w:rsidRPr="00422CA2" w:rsidRDefault="00394A75" w:rsidP="00D63D8E">
      <w:pPr>
        <w:pStyle w:val="Prrafodelista"/>
        <w:numPr>
          <w:ilvl w:val="0"/>
          <w:numId w:val="203"/>
        </w:numPr>
        <w:spacing w:after="200" w:line="276" w:lineRule="auto"/>
        <w:ind w:left="2268"/>
        <w:jc w:val="both"/>
        <w:rPr>
          <w:rFonts w:ascii="ITC Avant Garde" w:hAnsi="ITC Avant Garde"/>
          <w:sz w:val="22"/>
          <w:szCs w:val="22"/>
        </w:rPr>
      </w:pPr>
      <w:r w:rsidRPr="00422CA2">
        <w:rPr>
          <w:rFonts w:ascii="ITC Avant Garde" w:hAnsi="ITC Avant Garde"/>
          <w:sz w:val="22"/>
          <w:szCs w:val="22"/>
        </w:rPr>
        <w:t>Mantener un BER de 10 –7 con un nivel de 6 dB de margen S/N.</w:t>
      </w:r>
    </w:p>
    <w:p w14:paraId="405045E8" w14:textId="15969BC3" w:rsidR="00394A75" w:rsidRPr="00422CA2" w:rsidRDefault="00394A75" w:rsidP="00D63D8E">
      <w:pPr>
        <w:pStyle w:val="Prrafodelista"/>
        <w:numPr>
          <w:ilvl w:val="0"/>
          <w:numId w:val="203"/>
        </w:numPr>
        <w:spacing w:after="200" w:line="276" w:lineRule="auto"/>
        <w:ind w:left="2268"/>
        <w:jc w:val="both"/>
        <w:rPr>
          <w:rFonts w:ascii="ITC Avant Garde" w:hAnsi="ITC Avant Garde"/>
          <w:sz w:val="22"/>
          <w:szCs w:val="22"/>
        </w:rPr>
      </w:pPr>
      <w:r w:rsidRPr="00422CA2">
        <w:rPr>
          <w:rFonts w:ascii="ITC Avant Garde" w:hAnsi="ITC Avant Garde"/>
          <w:sz w:val="22"/>
          <w:szCs w:val="22"/>
        </w:rPr>
        <w:t>Operaciones sobre POTS con divisor o micro-filtro ITU-T G.992.5 Anexo A u operación puramente digital ITU-T G.992.5 Anexo I</w:t>
      </w:r>
    </w:p>
    <w:p w14:paraId="62969B7D" w14:textId="77777777" w:rsidR="00394A75" w:rsidRPr="00422CA2" w:rsidRDefault="00394A75" w:rsidP="00D63D8E">
      <w:pPr>
        <w:pStyle w:val="Prrafodelista"/>
        <w:numPr>
          <w:ilvl w:val="0"/>
          <w:numId w:val="203"/>
        </w:numPr>
        <w:spacing w:after="200" w:line="276" w:lineRule="auto"/>
        <w:ind w:left="2268"/>
        <w:jc w:val="both"/>
        <w:rPr>
          <w:rFonts w:ascii="ITC Avant Garde" w:hAnsi="ITC Avant Garde"/>
          <w:sz w:val="22"/>
          <w:szCs w:val="22"/>
        </w:rPr>
      </w:pPr>
      <w:r w:rsidRPr="00422CA2">
        <w:rPr>
          <w:rFonts w:ascii="ITC Avant Garde" w:hAnsi="ITC Avant Garde"/>
          <w:sz w:val="22"/>
          <w:szCs w:val="22"/>
        </w:rPr>
        <w:t>Permitir la operación en los diferentes perfiles de PSD definidos en la ITU-T G.993.2.</w:t>
      </w:r>
    </w:p>
    <w:p w14:paraId="46D7EBD1" w14:textId="77777777" w:rsidR="00394A75" w:rsidRPr="00422CA2" w:rsidRDefault="00394A75" w:rsidP="00D63D8E">
      <w:pPr>
        <w:pStyle w:val="Prrafodelista"/>
        <w:numPr>
          <w:ilvl w:val="0"/>
          <w:numId w:val="199"/>
        </w:numPr>
        <w:spacing w:after="200" w:line="276" w:lineRule="auto"/>
        <w:jc w:val="both"/>
        <w:rPr>
          <w:rFonts w:ascii="ITC Avant Garde" w:hAnsi="ITC Avant Garde"/>
          <w:sz w:val="22"/>
          <w:szCs w:val="22"/>
        </w:rPr>
      </w:pPr>
      <w:r w:rsidRPr="00422CA2">
        <w:rPr>
          <w:rFonts w:ascii="ITC Avant Garde" w:hAnsi="ITC Avant Garde"/>
          <w:sz w:val="22"/>
          <w:szCs w:val="22"/>
        </w:rPr>
        <w:t>La operación en modo entrelazado se considera obligatoria, con control del nivel de entrelazado por puerto de usuario y asignación de entrelazado por servicio para un mismo puerto DSL.</w:t>
      </w:r>
    </w:p>
    <w:p w14:paraId="647E8FDC" w14:textId="77777777" w:rsidR="00394A75" w:rsidRPr="00422CA2" w:rsidRDefault="00394A75" w:rsidP="00D63D8E">
      <w:p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Referencias:</w:t>
      </w:r>
    </w:p>
    <w:p w14:paraId="50925554"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lastRenderedPageBreak/>
        <w:t xml:space="preserve">ETSI TS 101 952-1 V1.1.1 </w:t>
      </w:r>
      <w:r w:rsidRPr="00422CA2">
        <w:rPr>
          <w:rFonts w:ascii="ITC Avant Garde" w:hAnsi="ITC Avant Garde"/>
          <w:i/>
          <w:sz w:val="22"/>
          <w:szCs w:val="22"/>
          <w:lang w:val="en-US"/>
        </w:rPr>
        <w:t>Specification of ADSL splitters for European deployment</w:t>
      </w:r>
      <w:r w:rsidRPr="00422CA2">
        <w:rPr>
          <w:rFonts w:ascii="ITC Avant Garde" w:hAnsi="ITC Avant Garde"/>
          <w:sz w:val="22"/>
          <w:szCs w:val="22"/>
          <w:lang w:val="en-US"/>
        </w:rPr>
        <w:t>.</w:t>
      </w:r>
    </w:p>
    <w:p w14:paraId="18E05F38"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ETSI -TS 101 952-2-1 V1.1.1. </w:t>
      </w:r>
      <w:r w:rsidRPr="00422CA2">
        <w:rPr>
          <w:rFonts w:ascii="ITC Avant Garde" w:hAnsi="ITC Avant Garde"/>
          <w:i/>
          <w:sz w:val="22"/>
          <w:szCs w:val="22"/>
          <w:lang w:val="en-US"/>
        </w:rPr>
        <w:t>Access network xDSL transmission filters; Part 2: VDSL splitters for European deployment; Sub-part 1: Specification of the low pass part of VDSL/POTS splitters</w:t>
      </w:r>
      <w:r w:rsidRPr="00422CA2">
        <w:rPr>
          <w:rFonts w:ascii="ITC Avant Garde" w:hAnsi="ITC Avant Garde"/>
          <w:sz w:val="22"/>
          <w:szCs w:val="22"/>
          <w:lang w:val="en-US"/>
        </w:rPr>
        <w:t>.</w:t>
      </w:r>
    </w:p>
    <w:p w14:paraId="72B1A9CD"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ETSI - TS 101 952-2-2 V1.1.1 </w:t>
      </w:r>
      <w:r w:rsidRPr="00422CA2">
        <w:rPr>
          <w:rFonts w:ascii="ITC Avant Garde" w:hAnsi="ITC Avant Garde"/>
          <w:i/>
          <w:sz w:val="22"/>
          <w:szCs w:val="22"/>
          <w:lang w:val="en-US"/>
        </w:rPr>
        <w:t>Access network xDSL transmission filters; Part 2: VDSL splitters for European deployment; Sub-part 2: Specification of the high pass part of VDSL/POTS splitters for use at the Local Exchange (LE) and the user side near the Network Termination Point (NTP)</w:t>
      </w:r>
      <w:r w:rsidRPr="00422CA2">
        <w:rPr>
          <w:rFonts w:ascii="ITC Avant Garde" w:hAnsi="ITC Avant Garde"/>
          <w:sz w:val="22"/>
          <w:szCs w:val="22"/>
          <w:lang w:val="en-US"/>
        </w:rPr>
        <w:t>.</w:t>
      </w:r>
    </w:p>
    <w:p w14:paraId="24CC2219"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G.993.1 Transceptores de línea de abonado digital de velocidad muy alta (VDSL).</w:t>
      </w:r>
    </w:p>
    <w:p w14:paraId="4644E00A"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G.993.2 Transceptores para líneas de abonado digital de velocidad muy alta 2 (VDSL2).</w:t>
      </w:r>
    </w:p>
    <w:p w14:paraId="5B53B9FF"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ETSI 300 386 </w:t>
      </w:r>
      <w:r w:rsidRPr="00422CA2">
        <w:rPr>
          <w:rFonts w:ascii="ITC Avant Garde" w:hAnsi="ITC Avant Garde"/>
          <w:i/>
          <w:sz w:val="22"/>
          <w:szCs w:val="22"/>
          <w:lang w:val="en-US"/>
        </w:rPr>
        <w:t>Electro-Magnetic Compatibility (EMC) requirements</w:t>
      </w:r>
      <w:r w:rsidRPr="00422CA2">
        <w:rPr>
          <w:rFonts w:ascii="ITC Avant Garde" w:hAnsi="ITC Avant Garde"/>
          <w:sz w:val="22"/>
          <w:szCs w:val="22"/>
          <w:lang w:val="en-US"/>
        </w:rPr>
        <w:t>.</w:t>
      </w:r>
    </w:p>
    <w:p w14:paraId="361347B9"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G.992.3 Transceptores de línea de abonado digital asimétrica—2 (ADSL2).</w:t>
      </w:r>
    </w:p>
    <w:p w14:paraId="1CB3671D"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G.992.5 Transceptores de línea de abonado digital asimétrica—2+ (ADSL2+).</w:t>
      </w:r>
    </w:p>
    <w:p w14:paraId="29879462" w14:textId="77777777" w:rsidR="00394A75" w:rsidRPr="00422CA2" w:rsidRDefault="00394A75" w:rsidP="00D63D8E">
      <w:pPr>
        <w:pStyle w:val="Prrafodelista"/>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 xml:space="preserve">ITU-T G.993.2 Transceptores para líneas de abonado digital de velocidad muy alta 2 (VDSL2). </w:t>
      </w:r>
    </w:p>
    <w:p w14:paraId="51544D11" w14:textId="77777777" w:rsidR="00394A75" w:rsidRPr="00422CA2" w:rsidRDefault="00394A75" w:rsidP="00D63D8E">
      <w:pPr>
        <w:pStyle w:val="Prrafodelista"/>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ITU-T G.993.5</w:t>
      </w:r>
      <w:r w:rsidRPr="00422CA2">
        <w:rPr>
          <w:rFonts w:ascii="ITC Avant Garde" w:hAnsi="ITC Avant Garde"/>
          <w:sz w:val="22"/>
          <w:szCs w:val="22"/>
          <w:lang w:val="en-US"/>
        </w:rPr>
        <w:tab/>
        <w:t>Self-FEXT cancellation (vectoring) for use with VDSL2 transceivers.</w:t>
      </w:r>
    </w:p>
    <w:p w14:paraId="2A1D5A5F"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G.994.1 Procedimientos de toma de contacto para transceptores DSL.</w:t>
      </w:r>
    </w:p>
    <w:p w14:paraId="4320B625"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G.997.1 Gestión de capa física para transceptores DSL.</w:t>
      </w:r>
    </w:p>
    <w:p w14:paraId="58F875CB" w14:textId="77777777" w:rsidR="00394A75" w:rsidRPr="00422CA2" w:rsidRDefault="00394A75" w:rsidP="00D63D8E">
      <w:pPr>
        <w:pStyle w:val="Prrafodelista"/>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ITU-T G.998.4</w:t>
      </w:r>
      <w:r w:rsidRPr="00422CA2">
        <w:rPr>
          <w:rFonts w:ascii="ITC Avant Garde" w:hAnsi="ITC Avant Garde"/>
          <w:sz w:val="22"/>
          <w:szCs w:val="22"/>
          <w:lang w:val="en-US"/>
        </w:rPr>
        <w:tab/>
        <w:t>Improved impulse noise protection for DSL transceivers</w:t>
      </w:r>
    </w:p>
    <w:p w14:paraId="4ECBCA1B"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ITU-T K.21 Inmunidad de los equipos de telecomunicaciones instalados en locales del usuario sobre-tensiones y el sobre-corrientes.</w:t>
      </w:r>
    </w:p>
    <w:p w14:paraId="7B155415"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TR-069 del </w:t>
      </w:r>
      <w:r w:rsidRPr="00422CA2">
        <w:rPr>
          <w:rFonts w:ascii="ITC Avant Garde" w:hAnsi="ITC Avant Garde"/>
          <w:i/>
          <w:sz w:val="22"/>
          <w:szCs w:val="22"/>
          <w:lang w:val="en-US"/>
        </w:rPr>
        <w:t>Broadband forum: CPE WAN Management Protocol</w:t>
      </w:r>
      <w:r w:rsidRPr="00422CA2">
        <w:rPr>
          <w:rFonts w:ascii="ITC Avant Garde" w:hAnsi="ITC Avant Garde"/>
          <w:sz w:val="22"/>
          <w:szCs w:val="22"/>
          <w:lang w:val="en-US"/>
        </w:rPr>
        <w:t xml:space="preserve"> (CWMP)</w:t>
      </w:r>
    </w:p>
    <w:p w14:paraId="63F2060F" w14:textId="77777777" w:rsidR="00394A75" w:rsidRPr="00422CA2" w:rsidRDefault="00394A75" w:rsidP="00D63D8E">
      <w:pPr>
        <w:numPr>
          <w:ilvl w:val="0"/>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Compatibilidad Electromagnética.</w:t>
      </w:r>
    </w:p>
    <w:p w14:paraId="56DF5393" w14:textId="531E4424"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lang w:val="es-ES"/>
        </w:rPr>
        <w:t>Los e</w:t>
      </w:r>
      <w:r w:rsidRPr="00422CA2">
        <w:rPr>
          <w:rFonts w:ascii="ITC Avant Garde" w:hAnsi="ITC Avant Garde"/>
          <w:sz w:val="22"/>
          <w:szCs w:val="22"/>
        </w:rPr>
        <w:t xml:space="preserve">quipos deben operar normalmente en los ambientes electromagnéticos definidos en la recomendación ITU-T K-34, para edificios de </w:t>
      </w:r>
      <w:r w:rsidR="00B97A90" w:rsidRPr="00422CA2">
        <w:rPr>
          <w:rFonts w:ascii="ITC Avant Garde" w:hAnsi="ITC Avant Garde"/>
          <w:sz w:val="22"/>
          <w:szCs w:val="22"/>
        </w:rPr>
        <w:t>c</w:t>
      </w:r>
      <w:r w:rsidRPr="00422CA2">
        <w:rPr>
          <w:rFonts w:ascii="ITC Avant Garde" w:hAnsi="ITC Avant Garde"/>
          <w:sz w:val="22"/>
          <w:szCs w:val="22"/>
        </w:rPr>
        <w:t>entral de telecomunicaciones (principal y secundario), en exteriores y en las instalaciones de usuario final, según sea el caso.</w:t>
      </w:r>
    </w:p>
    <w:p w14:paraId="50961E58" w14:textId="77777777" w:rsidR="00394A75" w:rsidRPr="00422CA2" w:rsidRDefault="00394A75" w:rsidP="00D63D8E">
      <w:pPr>
        <w:numPr>
          <w:ilvl w:val="1"/>
          <w:numId w:val="30"/>
        </w:numPr>
        <w:spacing w:after="200" w:line="276" w:lineRule="auto"/>
        <w:jc w:val="both"/>
        <w:rPr>
          <w:rFonts w:ascii="ITC Avant Garde" w:hAnsi="ITC Avant Garde"/>
          <w:sz w:val="22"/>
          <w:szCs w:val="22"/>
        </w:rPr>
      </w:pPr>
      <w:r w:rsidRPr="00422CA2">
        <w:rPr>
          <w:rFonts w:ascii="ITC Avant Garde" w:hAnsi="ITC Avant Garde"/>
          <w:sz w:val="22"/>
          <w:szCs w:val="22"/>
        </w:rPr>
        <w:t xml:space="preserve">Los equipos deben presentar inmunidad electromagnética de acuerdo al estándar, ETSI 300 386, </w:t>
      </w:r>
      <w:r w:rsidRPr="00422CA2">
        <w:rPr>
          <w:rFonts w:ascii="ITC Avant Garde" w:hAnsi="ITC Avant Garde"/>
          <w:i/>
          <w:sz w:val="22"/>
          <w:szCs w:val="22"/>
        </w:rPr>
        <w:t>Electro-Magnetic Compatibility (EMC)</w:t>
      </w:r>
      <w:r w:rsidRPr="00422CA2">
        <w:rPr>
          <w:rFonts w:ascii="ITC Avant Garde" w:hAnsi="ITC Avant Garde"/>
          <w:sz w:val="22"/>
          <w:szCs w:val="22"/>
        </w:rPr>
        <w:t xml:space="preserve"> requirements.</w:t>
      </w:r>
    </w:p>
    <w:p w14:paraId="4EDA40CF" w14:textId="77777777" w:rsidR="00394A75" w:rsidRPr="00422CA2" w:rsidRDefault="00394A75" w:rsidP="00D63D8E">
      <w:pPr>
        <w:spacing w:after="200" w:line="276" w:lineRule="auto"/>
        <w:jc w:val="both"/>
        <w:rPr>
          <w:rFonts w:ascii="ITC Avant Garde" w:hAnsi="ITC Avant Garde"/>
          <w:sz w:val="22"/>
          <w:szCs w:val="22"/>
        </w:rPr>
      </w:pPr>
      <w:r w:rsidRPr="00422CA2">
        <w:rPr>
          <w:rFonts w:ascii="ITC Avant Garde" w:hAnsi="ITC Avant Garde"/>
          <w:sz w:val="22"/>
          <w:szCs w:val="22"/>
        </w:rPr>
        <w:t>Para accesos por Fibra:</w:t>
      </w:r>
    </w:p>
    <w:p w14:paraId="25F511DA" w14:textId="3F7E644F" w:rsidR="00394A75" w:rsidRPr="00422CA2" w:rsidRDefault="00394A75" w:rsidP="00D63D8E">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Las especificaciones técnicas y/o recomendaciones Internacionales con las cuales debe</w:t>
      </w:r>
      <w:r w:rsidR="00F93051" w:rsidRPr="00422CA2">
        <w:rPr>
          <w:rFonts w:ascii="ITC Avant Garde" w:hAnsi="ITC Avant Garde"/>
          <w:sz w:val="22"/>
          <w:szCs w:val="22"/>
          <w:lang w:val="es-MX"/>
        </w:rPr>
        <w:t>n</w:t>
      </w:r>
      <w:r w:rsidRPr="00422CA2">
        <w:rPr>
          <w:rFonts w:ascii="ITC Avant Garde" w:hAnsi="ITC Avant Garde"/>
          <w:sz w:val="22"/>
          <w:szCs w:val="22"/>
          <w:lang w:val="es-MX"/>
        </w:rPr>
        <w:t xml:space="preserve"> cumplir el CS para la ONT son los siguientes:</w:t>
      </w:r>
    </w:p>
    <w:p w14:paraId="45BAAB11"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G.984.1Características generales de G-PON.</w:t>
      </w:r>
    </w:p>
    <w:p w14:paraId="254180F8"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ETSI 300 386 </w:t>
      </w:r>
      <w:r w:rsidRPr="00422CA2">
        <w:rPr>
          <w:rFonts w:ascii="ITC Avant Garde" w:hAnsi="ITC Avant Garde"/>
          <w:i/>
          <w:sz w:val="22"/>
          <w:szCs w:val="22"/>
          <w:lang w:val="en-US"/>
        </w:rPr>
        <w:t>Electro-Magnetic Compatibility (EMC) requirements</w:t>
      </w:r>
      <w:r w:rsidRPr="00422CA2">
        <w:rPr>
          <w:rFonts w:ascii="ITC Avant Garde" w:hAnsi="ITC Avant Garde"/>
          <w:sz w:val="22"/>
          <w:szCs w:val="22"/>
          <w:lang w:val="en-US"/>
        </w:rPr>
        <w:t>.</w:t>
      </w:r>
    </w:p>
    <w:p w14:paraId="5CFD831B"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ITU-T K.21 Inmunidad de los equipos de telecomunicaciones instalados en locales del usuario sobre-tensiones y sobre-corrientes.</w:t>
      </w:r>
    </w:p>
    <w:p w14:paraId="049B9AEC"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G.984.2 Especificación de la capa dependiente de los medios físicos de G-PON.</w:t>
      </w:r>
    </w:p>
    <w:p w14:paraId="609309BA"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G.984.2 Enmienda 1: Nuevo Apéndice III – Mejores Prácticas utilizadas en la industria para las redes ópticas pasivas con capacidad 2.488 Gbps en sentido descendente y 1.244 Gbps en sentido ascendente.</w:t>
      </w:r>
    </w:p>
    <w:p w14:paraId="03E9150B"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G.984.3 Especificación de la capa de convergencia de transmisión G-PON</w:t>
      </w:r>
    </w:p>
    <w:p w14:paraId="1FD8ECC3"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G.652 Características de las fibras y los cables ópticos monomodo.</w:t>
      </w:r>
    </w:p>
    <w:p w14:paraId="5FFFBD4B"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G.984.4 Especificación de la interfaz de control y gestión de la terminación de red óptica G-PON.</w:t>
      </w:r>
    </w:p>
    <w:p w14:paraId="710DD8E2"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TR-069 del </w:t>
      </w:r>
      <w:r w:rsidRPr="00422CA2">
        <w:rPr>
          <w:rFonts w:ascii="ITC Avant Garde" w:hAnsi="ITC Avant Garde"/>
          <w:i/>
          <w:sz w:val="22"/>
          <w:szCs w:val="22"/>
          <w:lang w:val="en-US"/>
        </w:rPr>
        <w:t>Broadband forum: CPE WAN Management Protocol</w:t>
      </w:r>
      <w:r w:rsidRPr="00422CA2">
        <w:rPr>
          <w:rFonts w:ascii="ITC Avant Garde" w:hAnsi="ITC Avant Garde"/>
          <w:sz w:val="22"/>
          <w:szCs w:val="22"/>
          <w:lang w:val="en-US"/>
        </w:rPr>
        <w:t xml:space="preserve"> (CWMP)</w:t>
      </w:r>
    </w:p>
    <w:p w14:paraId="3B4652DC" w14:textId="77777777" w:rsidR="00394A75" w:rsidRPr="00422CA2" w:rsidRDefault="00394A75" w:rsidP="00D63D8E">
      <w:pPr>
        <w:numPr>
          <w:ilvl w:val="1"/>
          <w:numId w:val="30"/>
        </w:numPr>
        <w:spacing w:after="200" w:line="276" w:lineRule="auto"/>
        <w:jc w:val="both"/>
        <w:rPr>
          <w:rFonts w:ascii="ITC Avant Garde" w:hAnsi="ITC Avant Garde"/>
          <w:sz w:val="22"/>
          <w:szCs w:val="22"/>
          <w:lang w:val="en-US"/>
        </w:rPr>
      </w:pPr>
      <w:r w:rsidRPr="00422CA2">
        <w:rPr>
          <w:rFonts w:ascii="ITC Avant Garde" w:hAnsi="ITC Avant Garde"/>
          <w:sz w:val="22"/>
          <w:szCs w:val="22"/>
          <w:lang w:val="en-US"/>
        </w:rPr>
        <w:t xml:space="preserve">TR-142 del </w:t>
      </w:r>
      <w:r w:rsidRPr="00422CA2">
        <w:rPr>
          <w:rFonts w:ascii="ITC Avant Garde" w:hAnsi="ITC Avant Garde"/>
          <w:i/>
          <w:sz w:val="22"/>
          <w:szCs w:val="22"/>
          <w:lang w:val="en-US"/>
        </w:rPr>
        <w:t>Broadband forum: Framework for TR-069 enabled PON devices</w:t>
      </w:r>
      <w:r w:rsidRPr="00422CA2">
        <w:rPr>
          <w:rFonts w:ascii="ITC Avant Garde" w:hAnsi="ITC Avant Garde"/>
          <w:sz w:val="22"/>
          <w:szCs w:val="22"/>
          <w:lang w:val="en-US"/>
        </w:rPr>
        <w:t>.</w:t>
      </w:r>
    </w:p>
    <w:p w14:paraId="6DB0A94B" w14:textId="1CFC469E" w:rsidR="00ED0FAB" w:rsidRPr="00422CA2" w:rsidRDefault="00ED0FAB" w:rsidP="00D63D8E">
      <w:pPr>
        <w:pStyle w:val="Prrafodelista"/>
        <w:numPr>
          <w:ilvl w:val="0"/>
          <w:numId w:val="30"/>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Telmex hará pública y mantendrá  actualizada en el SEG o en el Sistema de Captura</w:t>
      </w:r>
      <w:r w:rsidR="00346FF7" w:rsidRPr="00422CA2">
        <w:rPr>
          <w:rFonts w:ascii="ITC Avant Garde" w:hAnsi="ITC Avant Garde"/>
          <w:sz w:val="22"/>
          <w:szCs w:val="22"/>
          <w:lang w:val="es-MX"/>
        </w:rPr>
        <w:t>,</w:t>
      </w:r>
      <w:r w:rsidRPr="00422CA2">
        <w:rPr>
          <w:rFonts w:ascii="ITC Avant Garde" w:hAnsi="ITC Avant Garde"/>
          <w:sz w:val="22"/>
          <w:szCs w:val="22"/>
          <w:lang w:val="es-MX"/>
        </w:rPr>
        <w:t xml:space="preserve"> hasta que el SEG esté disponible, la lista de  los modelos de Módems y ONT´s que actualmente comercializa o suministra con sus servicios de acceso a Internet y la lista deberá incluir como mínimo referencias  del fabricante, comercializador, marca, modelo y versión del software. Todos estos modelos deberán cumplir con las especificaciones exigidas a los Módems y ONT´s que utilizarán los CS.</w:t>
      </w:r>
    </w:p>
    <w:p w14:paraId="07F9E759" w14:textId="135E03AD" w:rsidR="00F93051" w:rsidRPr="00422CA2" w:rsidRDefault="00394A75" w:rsidP="00BC6E66">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En el momento que sea necesario actualizar o modernizar los elementos de red con que opera actualmente Telmex, se obliga a notificar a los CS con </w:t>
      </w:r>
      <w:r w:rsidR="00495AB1">
        <w:rPr>
          <w:rFonts w:ascii="ITC Avant Garde" w:hAnsi="ITC Avant Garde"/>
          <w:sz w:val="22"/>
          <w:szCs w:val="22"/>
          <w:lang w:val="es-ES"/>
        </w:rPr>
        <w:t>6</w:t>
      </w:r>
      <w:r w:rsidRPr="00422CA2">
        <w:rPr>
          <w:rFonts w:ascii="ITC Avant Garde" w:hAnsi="ITC Avant Garde"/>
          <w:sz w:val="22"/>
          <w:szCs w:val="22"/>
          <w:lang w:val="es-ES"/>
        </w:rPr>
        <w:t xml:space="preserve"> meses de antelación en el caso de nueva tecnología o funcionalidades. Para el caso de actualizaciones de software se avisará al CS con 30 días de antelación.</w:t>
      </w:r>
      <w:r w:rsidR="00F93051" w:rsidRPr="00422CA2">
        <w:rPr>
          <w:rFonts w:ascii="ITC Avant Garde" w:hAnsi="ITC Avant Garde"/>
          <w:sz w:val="22"/>
          <w:szCs w:val="22"/>
          <w:lang w:val="es-ES"/>
        </w:rPr>
        <w:t xml:space="preserve"> Las modificaciones que introduzca </w:t>
      </w:r>
      <w:r w:rsidR="00310928" w:rsidRPr="00422CA2">
        <w:rPr>
          <w:rFonts w:ascii="ITC Avant Garde" w:hAnsi="ITC Avant Garde"/>
          <w:sz w:val="22"/>
          <w:szCs w:val="22"/>
          <w:lang w:val="es-ES"/>
        </w:rPr>
        <w:t>Telmex</w:t>
      </w:r>
      <w:r w:rsidR="00F93051" w:rsidRPr="00422CA2">
        <w:rPr>
          <w:rFonts w:ascii="ITC Avant Garde" w:hAnsi="ITC Avant Garde"/>
          <w:sz w:val="22"/>
          <w:szCs w:val="22"/>
          <w:lang w:val="es-ES"/>
        </w:rPr>
        <w:t xml:space="preserve"> en su red en todo caso garantizarán la compatibilidad con los equipos de los CS legalmente instalados</w:t>
      </w:r>
      <w:r w:rsidR="00F93051" w:rsidRPr="00422CA2">
        <w:rPr>
          <w:rStyle w:val="Refdenotaalpie"/>
          <w:rFonts w:ascii="ITC Avant Garde" w:hAnsi="ITC Avant Garde"/>
          <w:sz w:val="22"/>
          <w:szCs w:val="22"/>
          <w:lang w:val="es-ES"/>
        </w:rPr>
        <w:footnoteReference w:id="28"/>
      </w:r>
      <w:r w:rsidR="00F93051" w:rsidRPr="00422CA2">
        <w:rPr>
          <w:rFonts w:ascii="ITC Avant Garde" w:hAnsi="ITC Avant Garde"/>
          <w:sz w:val="22"/>
          <w:szCs w:val="22"/>
          <w:lang w:val="es-ES"/>
        </w:rPr>
        <w:t xml:space="preserve"> </w:t>
      </w:r>
    </w:p>
    <w:p w14:paraId="0E9B0180"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Servicio de Interoperabilidad del Módem/ONT</w:t>
      </w:r>
    </w:p>
    <w:p w14:paraId="6B953DB3" w14:textId="05FA4472" w:rsidR="00394A75" w:rsidRPr="00422CA2" w:rsidRDefault="00F93051" w:rsidP="00BC6E66">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Telmex implementará un servicio de interoperabilidad de carácter opcional. </w:t>
      </w:r>
      <w:r w:rsidR="00394A75" w:rsidRPr="00422CA2">
        <w:rPr>
          <w:rFonts w:ascii="ITC Avant Garde" w:hAnsi="ITC Avant Garde"/>
          <w:sz w:val="22"/>
          <w:szCs w:val="22"/>
          <w:lang w:val="es-ES"/>
        </w:rPr>
        <w:t xml:space="preserve">A través de este </w:t>
      </w:r>
      <w:r w:rsidRPr="00422CA2">
        <w:rPr>
          <w:rFonts w:ascii="ITC Avant Garde" w:hAnsi="ITC Avant Garde"/>
          <w:sz w:val="22"/>
          <w:szCs w:val="22"/>
          <w:lang w:val="es-ES"/>
        </w:rPr>
        <w:t>servicio</w:t>
      </w:r>
      <w:r w:rsidR="00394A75" w:rsidRPr="00422CA2">
        <w:rPr>
          <w:rFonts w:ascii="ITC Avant Garde" w:hAnsi="ITC Avant Garde"/>
          <w:sz w:val="22"/>
          <w:szCs w:val="22"/>
          <w:lang w:val="es-ES"/>
        </w:rPr>
        <w:t xml:space="preserve"> se verificará que el Módem/ONT sea interoperable con los equipos de la red de acceso de Telmex, para las tecnologías que Telmex tiene activas, para comprobar la operación del equipo en la red.</w:t>
      </w:r>
      <w:r w:rsidRPr="00422CA2">
        <w:rPr>
          <w:rFonts w:ascii="ITC Avant Garde" w:hAnsi="ITC Avant Garde"/>
          <w:sz w:val="22"/>
          <w:szCs w:val="22"/>
          <w:lang w:val="es-ES"/>
        </w:rPr>
        <w:t xml:space="preserve"> </w:t>
      </w:r>
    </w:p>
    <w:p w14:paraId="095A891A" w14:textId="38E4F515" w:rsidR="00394A75" w:rsidRPr="00422CA2" w:rsidRDefault="00394A75" w:rsidP="00BC6E66">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Los parámetros que serán verificados durante la revisión de los equipos serán</w:t>
      </w:r>
      <w:r w:rsidR="00B9658C" w:rsidRPr="00422CA2">
        <w:rPr>
          <w:rFonts w:ascii="ITC Avant Garde" w:hAnsi="ITC Avant Garde"/>
          <w:sz w:val="22"/>
          <w:szCs w:val="22"/>
          <w:lang w:val="es-ES"/>
        </w:rPr>
        <w:t xml:space="preserve"> al menos</w:t>
      </w:r>
      <w:r w:rsidRPr="00422CA2">
        <w:rPr>
          <w:rFonts w:ascii="ITC Avant Garde" w:hAnsi="ITC Avant Garde"/>
          <w:sz w:val="22"/>
          <w:szCs w:val="22"/>
          <w:lang w:val="es-ES"/>
        </w:rPr>
        <w:t>: atenuación (ATTN), señal a ruido (SNR), máxima velocidad y tiempo de sincronía, con base a la distancia y el diseño de cada perfil de línea.</w:t>
      </w:r>
    </w:p>
    <w:p w14:paraId="4B5B6B6B" w14:textId="2C29645C" w:rsidR="00394A75" w:rsidRPr="00422CA2" w:rsidRDefault="00394A75" w:rsidP="00BC6E66">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Los Módems que el CS ingrese para el procedimiento de interoperabilidad deberán cumplir con las condiciones mínimas establecidas en el Anexo </w:t>
      </w:r>
      <w:r w:rsidR="00B92638" w:rsidRPr="00422CA2">
        <w:rPr>
          <w:rFonts w:ascii="ITC Avant Garde" w:hAnsi="ITC Avant Garde"/>
          <w:sz w:val="22"/>
          <w:szCs w:val="22"/>
          <w:lang w:val="es-ES"/>
        </w:rPr>
        <w:t>E: Normativa Técnica para los servicios de desagregación</w:t>
      </w:r>
      <w:r w:rsidRPr="00422CA2">
        <w:rPr>
          <w:rFonts w:ascii="ITC Avant Garde" w:hAnsi="ITC Avant Garde"/>
          <w:sz w:val="22"/>
          <w:szCs w:val="22"/>
          <w:lang w:val="es-ES"/>
        </w:rPr>
        <w:t xml:space="preserve"> de la </w:t>
      </w:r>
      <w:r w:rsidR="005D7076" w:rsidRPr="00422CA2">
        <w:rPr>
          <w:rFonts w:ascii="ITC Avant Garde" w:hAnsi="ITC Avant Garde"/>
          <w:sz w:val="22"/>
          <w:szCs w:val="22"/>
          <w:lang w:val="es-ES"/>
        </w:rPr>
        <w:t>OREDA</w:t>
      </w:r>
      <w:r w:rsidRPr="00422CA2">
        <w:rPr>
          <w:rFonts w:ascii="ITC Avant Garde" w:hAnsi="ITC Avant Garde"/>
          <w:sz w:val="22"/>
          <w:szCs w:val="22"/>
          <w:lang w:val="es-ES"/>
        </w:rPr>
        <w:t xml:space="preserve"> (apartado </w:t>
      </w:r>
      <w:r w:rsidR="00B92638" w:rsidRPr="00422CA2">
        <w:rPr>
          <w:rFonts w:ascii="ITC Avant Garde" w:hAnsi="ITC Avant Garde"/>
          <w:sz w:val="22"/>
          <w:szCs w:val="22"/>
          <w:lang w:val="es-ES"/>
        </w:rPr>
        <w:t>de requerimientos mínimos para la interoperabilidad de los Módems de los CS con la red de acceso xDSL de Telmex</w:t>
      </w:r>
      <w:r w:rsidRPr="00422CA2">
        <w:rPr>
          <w:rFonts w:ascii="ITC Avant Garde" w:hAnsi="ITC Avant Garde"/>
          <w:sz w:val="22"/>
          <w:szCs w:val="22"/>
          <w:lang w:val="es-ES"/>
        </w:rPr>
        <w:t xml:space="preserve">). </w:t>
      </w:r>
    </w:p>
    <w:p w14:paraId="3AB64346"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interoperabilidad del Módem</w:t>
      </w:r>
    </w:p>
    <w:p w14:paraId="429AE5C2" w14:textId="1002503E" w:rsidR="00B9658C" w:rsidRPr="00422CA2" w:rsidRDefault="00B9658C" w:rsidP="00D63D8E">
      <w:pPr>
        <w:pStyle w:val="IFTnormal"/>
      </w:pPr>
      <w:r w:rsidRPr="00422CA2">
        <w:t>En caso de que el CS así lo requiera se seguirá el siguiente procedimiento:</w:t>
      </w:r>
    </w:p>
    <w:p w14:paraId="7D3FAF04" w14:textId="0FD95376" w:rsidR="00394A75" w:rsidRPr="00422CA2" w:rsidRDefault="00394A75" w:rsidP="00BC6E66">
      <w:pPr>
        <w:numPr>
          <w:ilvl w:val="0"/>
          <w:numId w:val="44"/>
        </w:numPr>
        <w:spacing w:after="200" w:line="276" w:lineRule="auto"/>
        <w:jc w:val="both"/>
        <w:rPr>
          <w:rFonts w:ascii="ITC Avant Garde" w:hAnsi="ITC Avant Garde"/>
          <w:sz w:val="22"/>
          <w:szCs w:val="22"/>
        </w:rPr>
      </w:pPr>
      <w:r w:rsidRPr="00422CA2">
        <w:rPr>
          <w:rFonts w:ascii="ITC Avant Garde" w:hAnsi="ITC Avant Garde"/>
          <w:sz w:val="22"/>
          <w:szCs w:val="22"/>
        </w:rPr>
        <w:t xml:space="preserve">El </w:t>
      </w:r>
      <w:r w:rsidR="00DE3AEB" w:rsidRPr="00422CA2">
        <w:rPr>
          <w:rFonts w:ascii="ITC Avant Garde" w:hAnsi="ITC Avant Garde"/>
          <w:sz w:val="22"/>
          <w:szCs w:val="22"/>
        </w:rPr>
        <w:t>CS</w:t>
      </w:r>
      <w:r w:rsidRPr="00422CA2">
        <w:rPr>
          <w:rFonts w:ascii="ITC Avant Garde" w:hAnsi="ITC Avant Garde"/>
          <w:sz w:val="22"/>
          <w:szCs w:val="22"/>
        </w:rPr>
        <w:t xml:space="preserve"> deberá presentar solicitud por tipo o modelo de Módem en el formato correspondiente</w:t>
      </w:r>
      <w:r w:rsidRPr="00422CA2">
        <w:rPr>
          <w:rFonts w:ascii="ITC Avant Garde" w:hAnsi="ITC Avant Garde" w:cs="Arial"/>
          <w:sz w:val="22"/>
          <w:szCs w:val="22"/>
        </w:rPr>
        <w:t xml:space="preserve"> a través del </w:t>
      </w:r>
      <w:r w:rsidRPr="00422CA2">
        <w:rPr>
          <w:rFonts w:ascii="ITC Avant Garde" w:hAnsi="ITC Avant Garde"/>
          <w:sz w:val="22"/>
          <w:szCs w:val="22"/>
        </w:rPr>
        <w:t xml:space="preserve">Sistema de Captura, </w:t>
      </w:r>
      <w:r w:rsidRPr="00422CA2">
        <w:rPr>
          <w:rFonts w:ascii="ITC Avant Garde" w:hAnsi="ITC Avant Garde" w:cs="Arial"/>
          <w:sz w:val="22"/>
          <w:szCs w:val="22"/>
          <w:lang w:val="es-MX" w:eastAsia="es-MX"/>
        </w:rPr>
        <w:t>o del SEG una vez que entre en operación.</w:t>
      </w:r>
    </w:p>
    <w:p w14:paraId="0F2A1D73" w14:textId="4AFBF04B" w:rsidR="00394A75" w:rsidRPr="00422CA2" w:rsidRDefault="00394A75" w:rsidP="00BC6E66">
      <w:pPr>
        <w:pStyle w:val="Prrafodelista"/>
        <w:numPr>
          <w:ilvl w:val="0"/>
          <w:numId w:val="4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ES"/>
        </w:rPr>
        <w:lastRenderedPageBreak/>
        <w:t xml:space="preserve">La solicitud del CS será validada en un plazo máximo de </w:t>
      </w:r>
      <w:r w:rsidR="00B9658C" w:rsidRPr="00422CA2">
        <w:rPr>
          <w:rFonts w:ascii="ITC Avant Garde" w:hAnsi="ITC Avant Garde"/>
          <w:sz w:val="22"/>
          <w:szCs w:val="22"/>
          <w:lang w:val="es-ES"/>
        </w:rPr>
        <w:t>un</w:t>
      </w:r>
      <w:r w:rsidRPr="00422CA2">
        <w:rPr>
          <w:rFonts w:ascii="ITC Avant Garde" w:hAnsi="ITC Avant Garde"/>
          <w:sz w:val="22"/>
          <w:szCs w:val="22"/>
          <w:lang w:val="es-ES"/>
        </w:rPr>
        <w:t xml:space="preserve"> día hábil, se dará seguimiento a la solicitud con un folio hasta que se asigne un NIS, si la solicitud no cumple con la información correspondiente, será devuelta al CS y se reiniciará el procedimiento.</w:t>
      </w:r>
    </w:p>
    <w:p w14:paraId="5DB874F4" w14:textId="63C5450D" w:rsidR="00394A75" w:rsidRPr="00422CA2" w:rsidRDefault="00394A75" w:rsidP="00BC6E66">
      <w:pPr>
        <w:pStyle w:val="Prrafodelista"/>
        <w:numPr>
          <w:ilvl w:val="0"/>
          <w:numId w:val="4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rPr>
        <w:t xml:space="preserve">Posterior a la validación de la solicitud, Telmex en un plazo no mayor a </w:t>
      </w:r>
      <w:r w:rsidR="00B9658C" w:rsidRPr="00422CA2">
        <w:rPr>
          <w:rFonts w:ascii="ITC Avant Garde" w:hAnsi="ITC Avant Garde"/>
          <w:sz w:val="22"/>
          <w:szCs w:val="22"/>
        </w:rPr>
        <w:t>tres</w:t>
      </w:r>
      <w:r w:rsidRPr="00422CA2">
        <w:rPr>
          <w:rFonts w:ascii="ITC Avant Garde" w:hAnsi="ITC Avant Garde"/>
          <w:sz w:val="22"/>
          <w:szCs w:val="22"/>
        </w:rPr>
        <w:t xml:space="preserve"> días hábiles notificará al CS </w:t>
      </w:r>
      <w:r w:rsidR="00B9658C" w:rsidRPr="00422CA2">
        <w:rPr>
          <w:rFonts w:ascii="ITC Avant Garde" w:hAnsi="ITC Avant Garde"/>
          <w:sz w:val="22"/>
          <w:szCs w:val="22"/>
        </w:rPr>
        <w:t>la fecha</w:t>
      </w:r>
      <w:r w:rsidRPr="00422CA2">
        <w:rPr>
          <w:rStyle w:val="Refdenotaalpie"/>
          <w:rFonts w:ascii="ITC Avant Garde" w:hAnsi="ITC Avant Garde"/>
          <w:sz w:val="22"/>
          <w:szCs w:val="22"/>
        </w:rPr>
        <w:footnoteReference w:id="29"/>
      </w:r>
      <w:r w:rsidR="00B9658C" w:rsidRPr="00422CA2">
        <w:rPr>
          <w:rFonts w:ascii="ITC Avant Garde" w:hAnsi="ITC Avant Garde"/>
          <w:sz w:val="22"/>
          <w:szCs w:val="22"/>
        </w:rPr>
        <w:t xml:space="preserve"> en la que </w:t>
      </w:r>
      <w:r w:rsidRPr="00422CA2">
        <w:rPr>
          <w:rFonts w:ascii="ITC Avant Garde" w:hAnsi="ITC Avant Garde"/>
          <w:sz w:val="22"/>
          <w:szCs w:val="22"/>
        </w:rPr>
        <w:t>podrá ingresar el Módem a Laboratorio Telmex para iniciar las pruebas.</w:t>
      </w:r>
      <w:r w:rsidR="00A06D94" w:rsidRPr="00422CA2">
        <w:rPr>
          <w:rFonts w:ascii="ITC Avant Garde" w:hAnsi="ITC Avant Garde"/>
          <w:sz w:val="22"/>
          <w:szCs w:val="22"/>
        </w:rPr>
        <w:t xml:space="preserve"> Con la notificación Telmex incluirá los parámetros de configuración requeridos para la prueba.</w:t>
      </w:r>
    </w:p>
    <w:p w14:paraId="086BACFB" w14:textId="13242475" w:rsidR="00394A75" w:rsidRPr="00422CA2" w:rsidRDefault="00394A75" w:rsidP="00BC6E66">
      <w:pPr>
        <w:pStyle w:val="Prrafodelista"/>
        <w:numPr>
          <w:ilvl w:val="0"/>
          <w:numId w:val="4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Una vez que se haya recibido el Módem, </w:t>
      </w:r>
      <w:r w:rsidR="00407CA3" w:rsidRPr="00422CA2">
        <w:rPr>
          <w:rFonts w:ascii="ITC Avant Garde" w:hAnsi="ITC Avant Garde"/>
          <w:sz w:val="22"/>
          <w:szCs w:val="22"/>
          <w:lang w:val="es-MX"/>
        </w:rPr>
        <w:t xml:space="preserve">el </w:t>
      </w:r>
      <w:r w:rsidRPr="00422CA2">
        <w:rPr>
          <w:rFonts w:ascii="ITC Avant Garde" w:hAnsi="ITC Avant Garde"/>
          <w:sz w:val="22"/>
          <w:szCs w:val="22"/>
          <w:lang w:val="es-MX"/>
        </w:rPr>
        <w:t>Laboratorio llevará a cabo las pruebas de interoperabilidad, y en un plazo máximo de 20 días hábiles dará respuesta al CS de acuerdo a lo siguiente:</w:t>
      </w:r>
    </w:p>
    <w:p w14:paraId="25D7C1B9" w14:textId="77777777" w:rsidR="00394A75" w:rsidRPr="00422CA2" w:rsidRDefault="00394A75" w:rsidP="00BC6E66">
      <w:pPr>
        <w:pStyle w:val="Prrafodelista"/>
        <w:numPr>
          <w:ilvl w:val="1"/>
          <w:numId w:val="4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Módem es interoperable</w:t>
      </w:r>
    </w:p>
    <w:p w14:paraId="5DEB4E36" w14:textId="551B960E" w:rsidR="00A06D94" w:rsidRPr="00422CA2" w:rsidRDefault="00A06D94" w:rsidP="00BC6E66">
      <w:pPr>
        <w:pStyle w:val="Prrafodelista"/>
        <w:numPr>
          <w:ilvl w:val="1"/>
          <w:numId w:val="4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Si el Módem no pasa la prueba, se enviará respuesta</w:t>
      </w:r>
      <w:r w:rsidRPr="00422CA2">
        <w:rPr>
          <w:rStyle w:val="Refdenotaalpie"/>
          <w:rFonts w:ascii="ITC Avant Garde" w:hAnsi="ITC Avant Garde"/>
          <w:sz w:val="22"/>
          <w:szCs w:val="22"/>
          <w:lang w:val="es-MX"/>
        </w:rPr>
        <w:footnoteReference w:id="30"/>
      </w:r>
      <w:r w:rsidRPr="00422CA2">
        <w:rPr>
          <w:rFonts w:ascii="ITC Avant Garde" w:hAnsi="ITC Avant Garde"/>
          <w:sz w:val="22"/>
          <w:szCs w:val="22"/>
          <w:lang w:val="es-MX"/>
        </w:rPr>
        <w:t xml:space="preserve"> incluyendo descripción pormenorizada del incumplimiento, con el objetivo de que el CS pueda realizar los ajustes necesarios al Módem, podrá reingresarlo por una ocasión siempre que la misma no exceda el plazo de 20 días hábiles, posterior a lo cual se considerará como una nueva solicitud de interoperabilidad.</w:t>
      </w:r>
    </w:p>
    <w:p w14:paraId="794B9E86" w14:textId="77777777" w:rsidR="00394A75" w:rsidRPr="00422CA2" w:rsidRDefault="00394A75" w:rsidP="00BC6E66">
      <w:pPr>
        <w:pStyle w:val="Prrafodelista"/>
        <w:numPr>
          <w:ilvl w:val="0"/>
          <w:numId w:val="44"/>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Una vez reingresado el Módem, Telmex realizará nuevamente las pruebas y en caso de que dichas pruebas sean favorables se liberará el Módem para puesta en operación.</w:t>
      </w:r>
    </w:p>
    <w:p w14:paraId="1A0220DE"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Procedimiento de Conciliación en caso de que el Módem del CS presente fallas sin haber utilizado el servicio de interoperabilidad </w:t>
      </w:r>
    </w:p>
    <w:p w14:paraId="29F41FE7"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En caso de que el CS no presentara solicitud previa para el servicio de Interoperabilidad de los Módems y éstos llegaran a presentar falla durante la operación, se procederá considerando lo siguiente:</w:t>
      </w:r>
    </w:p>
    <w:p w14:paraId="52768399" w14:textId="77777777" w:rsidR="00394A75" w:rsidRPr="00422CA2" w:rsidRDefault="00394A75" w:rsidP="00BC6E66">
      <w:pPr>
        <w:pStyle w:val="Prrafodelista"/>
        <w:numPr>
          <w:ilvl w:val="0"/>
          <w:numId w:val="13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a solicitud del CS realizará pruebas de Interoperabilidad en el Módem en donde se detectó la falla.</w:t>
      </w:r>
    </w:p>
    <w:p w14:paraId="0DFE3A2C" w14:textId="5D0344E6" w:rsidR="00A06D94" w:rsidRPr="00422CA2" w:rsidRDefault="00A06D94" w:rsidP="00BC6E66">
      <w:pPr>
        <w:pStyle w:val="Prrafodelista"/>
        <w:numPr>
          <w:ilvl w:val="0"/>
          <w:numId w:val="13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Si el Módem no pasa la prueba se le notificará incluyendo descripción pormenorizada del incumplimiento a fin de que se realicen los ajustes </w:t>
      </w:r>
      <w:r w:rsidRPr="00422CA2">
        <w:rPr>
          <w:rFonts w:ascii="ITC Avant Garde" w:hAnsi="ITC Avant Garde"/>
          <w:sz w:val="22"/>
          <w:szCs w:val="22"/>
          <w:lang w:val="es-MX"/>
        </w:rPr>
        <w:lastRenderedPageBreak/>
        <w:t xml:space="preserve">necesarios al Módem, posterior a esto el CS deberá reingresarlo a fin de comprobar que éste opere dentro de parámetros aceptables. </w:t>
      </w:r>
    </w:p>
    <w:p w14:paraId="4255DC4D" w14:textId="77777777" w:rsidR="00394A75" w:rsidRPr="00422CA2" w:rsidRDefault="00394A75" w:rsidP="00BC6E66">
      <w:pPr>
        <w:pStyle w:val="Prrafodelista"/>
        <w:numPr>
          <w:ilvl w:val="0"/>
          <w:numId w:val="134"/>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caso de que Telmex sea responsable por la falla, se realizarán los ajustes necesarios a fin de corregirla, sin realizar cobro alguno por este procedimiento.</w:t>
      </w:r>
    </w:p>
    <w:p w14:paraId="7F50357C" w14:textId="21540E77" w:rsidR="00A06D94" w:rsidRPr="00422CA2" w:rsidRDefault="005D0F6E" w:rsidP="00BC6E66">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Dichas pruebas deberán ser publicadas  y mantenerse actualizadas en el SE</w:t>
      </w:r>
      <w:r w:rsidR="001C543E" w:rsidRPr="00422CA2">
        <w:rPr>
          <w:rFonts w:ascii="ITC Avant Garde" w:hAnsi="ITC Avant Garde"/>
          <w:sz w:val="22"/>
          <w:szCs w:val="22"/>
          <w:lang w:val="es-MX"/>
        </w:rPr>
        <w:t>G,</w:t>
      </w:r>
      <w:r w:rsidRPr="00422CA2">
        <w:rPr>
          <w:rFonts w:ascii="ITC Avant Garde" w:hAnsi="ITC Avant Garde"/>
          <w:sz w:val="22"/>
          <w:szCs w:val="22"/>
          <w:lang w:val="es-MX"/>
        </w:rPr>
        <w:t xml:space="preserve"> o en el Sistema de Captura de datos</w:t>
      </w:r>
      <w:r w:rsidR="001C543E" w:rsidRPr="00422CA2">
        <w:rPr>
          <w:rFonts w:ascii="ITC Avant Garde" w:hAnsi="ITC Avant Garde"/>
          <w:sz w:val="22"/>
          <w:szCs w:val="22"/>
          <w:lang w:val="es-MX"/>
        </w:rPr>
        <w:t>,</w:t>
      </w:r>
      <w:r w:rsidRPr="00422CA2">
        <w:rPr>
          <w:rFonts w:ascii="ITC Avant Garde" w:hAnsi="ITC Avant Garde"/>
          <w:sz w:val="22"/>
          <w:szCs w:val="22"/>
          <w:lang w:val="es-MX"/>
        </w:rPr>
        <w:t xml:space="preserve"> hasta que el SE</w:t>
      </w:r>
      <w:r w:rsidR="001C543E" w:rsidRPr="00422CA2">
        <w:rPr>
          <w:rFonts w:ascii="ITC Avant Garde" w:hAnsi="ITC Avant Garde"/>
          <w:sz w:val="22"/>
          <w:szCs w:val="22"/>
          <w:lang w:val="es-MX"/>
        </w:rPr>
        <w:t>G</w:t>
      </w:r>
      <w:r w:rsidRPr="00422CA2">
        <w:rPr>
          <w:rFonts w:ascii="ITC Avant Garde" w:hAnsi="ITC Avant Garde"/>
          <w:sz w:val="22"/>
          <w:szCs w:val="22"/>
          <w:lang w:val="es-MX"/>
        </w:rPr>
        <w:t xml:space="preserve"> esté disponible. Esta información debe comprender la</w:t>
      </w:r>
      <w:r w:rsidR="00A06D94" w:rsidRPr="00422CA2">
        <w:rPr>
          <w:rFonts w:ascii="ITC Avant Garde" w:hAnsi="ITC Avant Garde"/>
          <w:sz w:val="22"/>
          <w:szCs w:val="22"/>
          <w:lang w:val="es-MX"/>
        </w:rPr>
        <w:t xml:space="preserve"> descripción detallada de las pruebas de interoperabilidad, junto con la referencia al estándar internacional en que se basan, la referencia a los equipos con los que se realizarán, los parámetros que se medirán, y los valores requeridos para su aceptación.  </w:t>
      </w:r>
    </w:p>
    <w:p w14:paraId="2F982456" w14:textId="2AE8A23C" w:rsidR="00394A75" w:rsidRPr="00422CA2" w:rsidRDefault="00394A75" w:rsidP="00586B55">
      <w:pPr>
        <w:pStyle w:val="Ttulo1"/>
      </w:pPr>
      <w:bookmarkStart w:id="368" w:name="_Toc436840898"/>
      <w:bookmarkStart w:id="369" w:name="_Toc436846335"/>
      <w:bookmarkStart w:id="370" w:name="_Toc436848285"/>
      <w:bookmarkStart w:id="371" w:name="_Toc436856533"/>
      <w:bookmarkStart w:id="372" w:name="_Toc436862679"/>
      <w:bookmarkStart w:id="373" w:name="_Toc436866329"/>
      <w:bookmarkStart w:id="374" w:name="_Toc436870908"/>
      <w:bookmarkStart w:id="375" w:name="_Toc436875900"/>
      <w:bookmarkStart w:id="376" w:name="_Toc437602088"/>
      <w:r w:rsidRPr="00422CA2">
        <w:t>5</w:t>
      </w:r>
      <w:r w:rsidR="00967A5A" w:rsidRPr="00422CA2">
        <w:t>.3</w:t>
      </w:r>
      <w:r w:rsidRPr="00422CA2">
        <w:t>. Procedimientos de contratación, modificación y baja del SAIB.</w:t>
      </w:r>
      <w:bookmarkEnd w:id="368"/>
      <w:bookmarkEnd w:id="369"/>
      <w:bookmarkEnd w:id="370"/>
      <w:bookmarkEnd w:id="371"/>
      <w:bookmarkEnd w:id="372"/>
      <w:bookmarkEnd w:id="373"/>
      <w:bookmarkEnd w:id="374"/>
      <w:bookmarkEnd w:id="375"/>
      <w:bookmarkEnd w:id="376"/>
    </w:p>
    <w:p w14:paraId="7AB6D546" w14:textId="77777777" w:rsidR="00394A75" w:rsidRPr="00422CA2" w:rsidRDefault="00394A75" w:rsidP="00BC6E66">
      <w:pPr>
        <w:spacing w:after="200" w:line="276" w:lineRule="auto"/>
        <w:ind w:left="1" w:hanging="1"/>
        <w:jc w:val="both"/>
        <w:rPr>
          <w:rFonts w:ascii="ITC Avant Garde" w:hAnsi="ITC Avant Garde"/>
          <w:sz w:val="22"/>
          <w:szCs w:val="22"/>
          <w:lang w:val="es-MX"/>
        </w:rPr>
      </w:pPr>
      <w:r w:rsidRPr="00422CA2">
        <w:rPr>
          <w:rFonts w:ascii="ITC Avant Garde" w:hAnsi="ITC Avant Garde"/>
          <w:sz w:val="22"/>
          <w:szCs w:val="22"/>
          <w:lang w:val="es-MX"/>
        </w:rPr>
        <w:t xml:space="preserve">Queda establecido que mediante el envío de la solicitud, el CS consiente en efectuar el pago por las actividades a realizar así como por los elementos de cobro que conforman el servicio, en el momento que se indique en el procedimiento. Asimismo, si el CS rechaza el servicio o decide no continuar con el procedimiento, deberá liquidar el monto generado por las actividades realizadas hasta el momento que decidió terminar el procedimiento. </w:t>
      </w:r>
    </w:p>
    <w:p w14:paraId="2ECD6164"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contratación y entrega (usuarios existentes)</w:t>
      </w:r>
    </w:p>
    <w:p w14:paraId="181E041C" w14:textId="77777777" w:rsidR="00394A75" w:rsidRPr="00422CA2" w:rsidRDefault="00394A75" w:rsidP="00BC6E66">
      <w:pPr>
        <w:spacing w:after="200" w:line="276" w:lineRule="auto"/>
        <w:jc w:val="both"/>
        <w:rPr>
          <w:rFonts w:ascii="ITC Avant Garde" w:hAnsi="ITC Avant Garde" w:cs="Arial"/>
          <w:sz w:val="22"/>
          <w:szCs w:val="22"/>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contratación y entrega del SAIB para el caso de usuarios existentes;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Análisis de Factibilidad técnica a fin de que Telmex pueda verificar que cuenta con los elementos para brindar el servicio solicitado; y (iii) Habilitación y aprovisionamiento del servicio solicitado, que detonará los procesos de pruebas de entrega y facturación.</w:t>
      </w:r>
    </w:p>
    <w:p w14:paraId="07433AB0" w14:textId="33AF3C6A" w:rsidR="00394A75" w:rsidRPr="00422CA2" w:rsidRDefault="00394A75" w:rsidP="00B340AB">
      <w:pPr>
        <w:pStyle w:val="Prrafodelista"/>
        <w:numPr>
          <w:ilvl w:val="0"/>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w:t>
      </w:r>
      <w:r w:rsidR="00EC08C7" w:rsidRPr="00422CA2">
        <w:rPr>
          <w:rFonts w:ascii="ITC Avant Garde" w:hAnsi="ITC Avant Garde" w:cs="Arial"/>
          <w:sz w:val="22"/>
          <w:szCs w:val="22"/>
        </w:rPr>
        <w:t>formato</w:t>
      </w:r>
      <w:r w:rsidRPr="00422CA2">
        <w:rPr>
          <w:rFonts w:ascii="ITC Avant Garde" w:hAnsi="ITC Avant Garde" w:cs="Arial"/>
          <w:sz w:val="22"/>
          <w:szCs w:val="22"/>
        </w:rPr>
        <w:t xml:space="preserve"> correspondiente a través del Sistema de Captura, o del SEG una vez que entre en operación, indicando si para el </w:t>
      </w:r>
      <w:r w:rsidR="00EC08C7" w:rsidRPr="00422CA2">
        <w:rPr>
          <w:rFonts w:ascii="ITC Avant Garde" w:hAnsi="ITC Avant Garde" w:cs="Arial"/>
          <w:sz w:val="22"/>
          <w:szCs w:val="22"/>
        </w:rPr>
        <w:t>suministro de los módems por parte</w:t>
      </w:r>
      <w:r w:rsidRPr="00422CA2">
        <w:rPr>
          <w:rFonts w:ascii="ITC Avant Garde" w:hAnsi="ITC Avant Garde" w:cs="Arial"/>
          <w:sz w:val="22"/>
          <w:szCs w:val="22"/>
        </w:rPr>
        <w:t xml:space="preserve"> de Telmex</w:t>
      </w:r>
      <w:r w:rsidR="00EC08C7" w:rsidRPr="00422CA2">
        <w:rPr>
          <w:rFonts w:ascii="ITC Avant Garde" w:hAnsi="ITC Avant Garde" w:cs="Arial"/>
          <w:sz w:val="22"/>
          <w:szCs w:val="22"/>
        </w:rPr>
        <w:t>, prefiere</w:t>
      </w:r>
      <w:r w:rsidRPr="00422CA2">
        <w:rPr>
          <w:rFonts w:ascii="ITC Avant Garde" w:hAnsi="ITC Avant Garde" w:cs="Arial"/>
          <w:sz w:val="22"/>
          <w:szCs w:val="22"/>
        </w:rPr>
        <w:t xml:space="preserve"> la entrega </w:t>
      </w:r>
      <w:r w:rsidR="00EC08C7" w:rsidRPr="00422CA2">
        <w:rPr>
          <w:rFonts w:ascii="ITC Avant Garde" w:hAnsi="ITC Avant Garde" w:cs="Arial"/>
          <w:sz w:val="22"/>
          <w:szCs w:val="22"/>
        </w:rPr>
        <w:t xml:space="preserve">vía mensajería </w:t>
      </w:r>
      <w:r w:rsidRPr="00422CA2">
        <w:rPr>
          <w:rFonts w:ascii="ITC Avant Garde" w:hAnsi="ITC Avant Garde" w:cs="Arial"/>
          <w:sz w:val="22"/>
          <w:szCs w:val="22"/>
        </w:rPr>
        <w:t xml:space="preserve">en el </w:t>
      </w:r>
      <w:r w:rsidR="00EC08C7" w:rsidRPr="00422CA2">
        <w:rPr>
          <w:rFonts w:ascii="ITC Avant Garde" w:hAnsi="ITC Avant Garde" w:cs="Arial"/>
          <w:sz w:val="22"/>
          <w:szCs w:val="22"/>
        </w:rPr>
        <w:t xml:space="preserve">domicilio del usuario o que sea recogido en </w:t>
      </w:r>
      <w:r w:rsidR="00B340AB" w:rsidRPr="00422CA2">
        <w:rPr>
          <w:rFonts w:ascii="ITC Avant Garde" w:hAnsi="ITC Avant Garde" w:cs="Arial"/>
          <w:sz w:val="22"/>
          <w:szCs w:val="22"/>
        </w:rPr>
        <w:t>t</w:t>
      </w:r>
      <w:r w:rsidR="00EC08C7" w:rsidRPr="00422CA2">
        <w:rPr>
          <w:rFonts w:ascii="ITC Avant Garde" w:hAnsi="ITC Avant Garde" w:cs="Arial"/>
          <w:sz w:val="22"/>
          <w:szCs w:val="22"/>
        </w:rPr>
        <w:t>ienda</w:t>
      </w:r>
      <w:r w:rsidR="00B340AB" w:rsidRPr="00422CA2">
        <w:rPr>
          <w:rFonts w:ascii="ITC Avant Garde" w:hAnsi="ITC Avant Garde" w:cs="Arial"/>
          <w:sz w:val="22"/>
          <w:szCs w:val="22"/>
        </w:rPr>
        <w:t xml:space="preserve"> Telmex de acuerdo con el procedimiento que utiliza en sus propias operaciones</w:t>
      </w:r>
      <w:r w:rsidR="00EC08C7" w:rsidRPr="00422CA2">
        <w:rPr>
          <w:rFonts w:ascii="ITC Avant Garde" w:hAnsi="ITC Avant Garde" w:cs="Arial"/>
          <w:sz w:val="22"/>
          <w:szCs w:val="22"/>
        </w:rPr>
        <w:t xml:space="preserve">. En el caso de ONT la misma se entregará </w:t>
      </w:r>
      <w:r w:rsidR="00EC08C7" w:rsidRPr="00422CA2">
        <w:rPr>
          <w:rFonts w:ascii="ITC Avant Garde" w:hAnsi="ITC Avant Garde" w:cs="Arial"/>
          <w:sz w:val="22"/>
          <w:szCs w:val="22"/>
        </w:rPr>
        <w:lastRenderedPageBreak/>
        <w:t>en el domicilio del usuario al momento de la instalación. Adicionalmente el CS indicará la fecha en la que se deberá realizar la habilitación del servicio, teniendo que ser esta después del cuarto día hábil de presentada la solicitud, para que Telmex pueda coordinar cualquier aspecto logístico.</w:t>
      </w:r>
      <w:r w:rsidR="00900743" w:rsidRPr="00422CA2">
        <w:rPr>
          <w:rFonts w:ascii="ITC Avant Garde" w:hAnsi="ITC Avant Garde" w:cs="Arial"/>
          <w:sz w:val="22"/>
          <w:szCs w:val="22"/>
        </w:rPr>
        <w:t xml:space="preserve"> Así mismo deberá indicar el tipo de medio de acceso (cobre o fibra óptica).</w:t>
      </w:r>
    </w:p>
    <w:p w14:paraId="392F28A3" w14:textId="64AD86FF" w:rsidR="00394A75" w:rsidRPr="00422CA2" w:rsidRDefault="00394A75" w:rsidP="00BC6E66">
      <w:pPr>
        <w:pStyle w:val="Prrafodelista"/>
        <w:numPr>
          <w:ilvl w:val="0"/>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 La solicitud del CS será validada en un plazo máximo de </w:t>
      </w:r>
      <w:r w:rsidR="00B340AB" w:rsidRPr="00422CA2">
        <w:rPr>
          <w:rFonts w:ascii="ITC Avant Garde" w:hAnsi="ITC Avant Garde" w:cs="Arial"/>
          <w:sz w:val="22"/>
          <w:szCs w:val="22"/>
        </w:rPr>
        <w:t>un</w:t>
      </w:r>
      <w:r w:rsidRPr="00422CA2">
        <w:rPr>
          <w:rFonts w:ascii="ITC Avant Garde" w:hAnsi="ITC Avant Garde" w:cs="Arial"/>
          <w:sz w:val="22"/>
          <w:szCs w:val="22"/>
        </w:rPr>
        <w:t xml:space="preserve"> día hábil, se dará seguimiento a la solicitud con un folio hasta que se asigne un Número de Identificación de Solicitud (NIS), si la solicitud no cumple con la información correspondiente, será devuelta al CS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rPr>
        <w:t>.</w:t>
      </w:r>
    </w:p>
    <w:p w14:paraId="0C61F867" w14:textId="7020D254" w:rsidR="00394A75" w:rsidRPr="00422CA2" w:rsidRDefault="00394A75" w:rsidP="00BC6E66">
      <w:pPr>
        <w:pStyle w:val="Prrafodelista"/>
        <w:numPr>
          <w:ilvl w:val="0"/>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validado la solicitud, se revisará la factibilidad del perfil solicitado en un plazo máximo de </w:t>
      </w:r>
      <w:r w:rsidR="00B340AB" w:rsidRPr="00422CA2">
        <w:rPr>
          <w:rFonts w:ascii="ITC Avant Garde" w:hAnsi="ITC Avant Garde" w:cs="Arial"/>
          <w:sz w:val="22"/>
          <w:szCs w:val="22"/>
        </w:rPr>
        <w:t>un</w:t>
      </w:r>
      <w:r w:rsidRPr="00422CA2">
        <w:rPr>
          <w:rFonts w:ascii="ITC Avant Garde" w:hAnsi="ITC Avant Garde" w:cs="Arial"/>
          <w:sz w:val="22"/>
          <w:szCs w:val="22"/>
        </w:rPr>
        <w:t xml:space="preserve"> día hábil y se responderá al CS conforme a lo siguiente: </w:t>
      </w:r>
    </w:p>
    <w:p w14:paraId="04E5BC57" w14:textId="3631DDB9" w:rsidR="005717DD" w:rsidRPr="00422CA2" w:rsidRDefault="005717DD" w:rsidP="00BC6E66">
      <w:pPr>
        <w:pStyle w:val="Prrafodelista"/>
        <w:autoSpaceDE w:val="0"/>
        <w:autoSpaceDN w:val="0"/>
        <w:adjustRightInd w:val="0"/>
        <w:spacing w:after="200" w:line="276" w:lineRule="auto"/>
        <w:ind w:left="1416"/>
        <w:jc w:val="both"/>
        <w:rPr>
          <w:rFonts w:ascii="ITC Avant Garde" w:hAnsi="ITC Avant Garde" w:cs="Arial"/>
          <w:sz w:val="22"/>
          <w:szCs w:val="22"/>
        </w:rPr>
      </w:pPr>
      <w:r w:rsidRPr="00422CA2">
        <w:rPr>
          <w:rFonts w:ascii="ITC Avant Garde" w:hAnsi="ITC Avant Garde" w:cs="Arial"/>
          <w:sz w:val="22"/>
          <w:szCs w:val="22"/>
        </w:rPr>
        <w:t xml:space="preserve">a) Si el perfil solicitado es factible se asignará un NIS y el servicio quedará habilitado en un plazo no mayor a </w:t>
      </w:r>
      <w:r w:rsidR="00B340AB" w:rsidRPr="00422CA2">
        <w:rPr>
          <w:rFonts w:ascii="ITC Avant Garde" w:hAnsi="ITC Avant Garde" w:cs="Arial"/>
          <w:sz w:val="22"/>
          <w:szCs w:val="22"/>
        </w:rPr>
        <w:t>cinco</w:t>
      </w:r>
      <w:r w:rsidRPr="00422CA2">
        <w:rPr>
          <w:rFonts w:ascii="ITC Avant Garde" w:hAnsi="ITC Avant Garde" w:cs="Arial"/>
          <w:sz w:val="22"/>
          <w:szCs w:val="22"/>
        </w:rPr>
        <w:t xml:space="preserve"> días hábiles contados a partir del ingreso de la solicitud en los siguientes casos:</w:t>
      </w:r>
    </w:p>
    <w:p w14:paraId="4EC92C4A" w14:textId="77777777" w:rsidR="005717DD" w:rsidRPr="00422CA2" w:rsidRDefault="005717DD" w:rsidP="00BC6E66">
      <w:pPr>
        <w:pStyle w:val="Prrafodelista"/>
        <w:autoSpaceDE w:val="0"/>
        <w:autoSpaceDN w:val="0"/>
        <w:adjustRightInd w:val="0"/>
        <w:spacing w:after="200" w:line="276" w:lineRule="auto"/>
        <w:ind w:left="2124"/>
        <w:jc w:val="both"/>
        <w:rPr>
          <w:rFonts w:ascii="ITC Avant Garde" w:hAnsi="ITC Avant Garde" w:cs="Arial"/>
          <w:sz w:val="22"/>
          <w:szCs w:val="22"/>
        </w:rPr>
      </w:pPr>
      <w:r w:rsidRPr="00422CA2">
        <w:rPr>
          <w:rFonts w:ascii="ITC Avant Garde" w:hAnsi="ITC Avant Garde" w:cs="Arial"/>
          <w:sz w:val="22"/>
          <w:szCs w:val="22"/>
        </w:rPr>
        <w:t>i) Se habilita con él módem/ONT blanco entregado por el CS para el servicio, asegurándose el CS que en el momento de la habilitación el usuario final contará con los equipos.</w:t>
      </w:r>
    </w:p>
    <w:p w14:paraId="29A6E251" w14:textId="3213C9C4" w:rsidR="00394A75" w:rsidRPr="00422CA2" w:rsidRDefault="00394A75" w:rsidP="00BC6E66">
      <w:pPr>
        <w:pStyle w:val="Prrafodelista"/>
        <w:numPr>
          <w:ilvl w:val="0"/>
          <w:numId w:val="2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el perfil solicitado es factible se asignará un NIS y el servicio quedará habilitado en un plazo no mayor a </w:t>
      </w:r>
      <w:r w:rsidR="00B340AB" w:rsidRPr="00422CA2">
        <w:rPr>
          <w:rFonts w:ascii="ITC Avant Garde" w:hAnsi="ITC Avant Garde" w:cs="Arial"/>
          <w:sz w:val="22"/>
          <w:szCs w:val="22"/>
        </w:rPr>
        <w:t>siete</w:t>
      </w:r>
      <w:r w:rsidRPr="00422CA2">
        <w:rPr>
          <w:rFonts w:ascii="ITC Avant Garde" w:hAnsi="ITC Avant Garde" w:cs="Arial"/>
          <w:sz w:val="22"/>
          <w:szCs w:val="22"/>
        </w:rPr>
        <w:t xml:space="preserve"> días hábiles contados a partir del ingreso de la solicitud en los casos en que Telmex deba entregar algún equipo a solicitud del CS.</w:t>
      </w:r>
    </w:p>
    <w:p w14:paraId="2B5EAE22" w14:textId="738F7E37" w:rsidR="00394A75" w:rsidRPr="00422CA2" w:rsidRDefault="00394A75" w:rsidP="00BC6E66">
      <w:pPr>
        <w:pStyle w:val="Prrafodelista"/>
        <w:autoSpaceDE w:val="0"/>
        <w:autoSpaceDN w:val="0"/>
        <w:adjustRightInd w:val="0"/>
        <w:spacing w:after="200" w:line="276" w:lineRule="auto"/>
        <w:ind w:left="1776"/>
        <w:jc w:val="both"/>
        <w:rPr>
          <w:rFonts w:ascii="ITC Avant Garde" w:hAnsi="ITC Avant Garde" w:cs="Arial"/>
          <w:sz w:val="22"/>
          <w:szCs w:val="22"/>
        </w:rPr>
      </w:pPr>
      <w:r w:rsidRPr="00422CA2">
        <w:rPr>
          <w:rFonts w:ascii="ITC Avant Garde" w:hAnsi="ITC Avant Garde" w:cs="Arial"/>
          <w:sz w:val="22"/>
          <w:szCs w:val="22"/>
        </w:rPr>
        <w:t>Si el perfil solicitado no es factible, se presentará al CS, a través del SC o del SEG, la justificación de los motivos, las evidencias correspondientes.</w:t>
      </w:r>
    </w:p>
    <w:p w14:paraId="6A4B147C" w14:textId="77777777" w:rsidR="00394A75" w:rsidRPr="00422CA2" w:rsidRDefault="00394A75" w:rsidP="00BC6E66">
      <w:pPr>
        <w:pStyle w:val="Prrafodelista"/>
        <w:numPr>
          <w:ilvl w:val="0"/>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habilitado el servicio, se le notificará al CS a través del Sistema de Captura o SEG para que éste acuda a realizar la configuración del Módem/ONT en el domicilio del usuario. Para dicha configuración se seguirán los siguientes pasos:</w:t>
      </w:r>
    </w:p>
    <w:p w14:paraId="5D5DCA7D" w14:textId="1EB840FA"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deberá realizar el cambio de Módem/ONT</w:t>
      </w:r>
      <w:r w:rsidR="001E1A53" w:rsidRPr="00422CA2">
        <w:rPr>
          <w:rFonts w:ascii="ITC Avant Garde" w:hAnsi="ITC Avant Garde" w:cs="Arial"/>
          <w:sz w:val="22"/>
          <w:szCs w:val="22"/>
        </w:rPr>
        <w:t xml:space="preserve"> al PCT</w:t>
      </w:r>
      <w:r w:rsidR="00A558F9" w:rsidRPr="00422CA2">
        <w:rPr>
          <w:rFonts w:ascii="ITC Avant Garde" w:hAnsi="ITC Avant Garde" w:cs="Arial"/>
          <w:sz w:val="22"/>
          <w:szCs w:val="22"/>
        </w:rPr>
        <w:t>.</w:t>
      </w:r>
    </w:p>
    <w:p w14:paraId="722DF765" w14:textId="77777777"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En el caso de la ONT, el CS llamará al 01800-4040734 en el que proporcionará el número de serie de la ONT y el número de servicio, para la crossconexión en la red de Telmex. </w:t>
      </w:r>
    </w:p>
    <w:p w14:paraId="6878E3A9" w14:textId="1EA291D8"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El servicio quedará habilitado en un plazo máximo de 30 minutos</w:t>
      </w:r>
      <w:r w:rsidR="00A558F9" w:rsidRPr="00422CA2">
        <w:rPr>
          <w:rFonts w:ascii="ITC Avant Garde" w:hAnsi="ITC Avant Garde" w:cs="Arial"/>
          <w:sz w:val="22"/>
          <w:szCs w:val="22"/>
        </w:rPr>
        <w:t>.</w:t>
      </w:r>
    </w:p>
    <w:p w14:paraId="00C2C1E9" w14:textId="77777777"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realizada la crossconexión, Telmex realizará una prueba de sincronía para la habilitación del servicio, la cual será almacenada en el Sistema de Captura o en el SEG cuando entre en operación, para que el CS pueda consultarla, y se procederá a realizar el cargo de habilitación correspondiente. </w:t>
      </w:r>
    </w:p>
    <w:p w14:paraId="7604947D" w14:textId="56468275" w:rsidR="00A06D94" w:rsidRPr="00422CA2" w:rsidRDefault="00A06D94" w:rsidP="00BC6E66">
      <w:pPr>
        <w:pStyle w:val="Prrafodelista"/>
        <w:numPr>
          <w:ilvl w:val="0"/>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Al corte del mes se comenzará a facturar la renta correspondiente al perfil habilitado de acuerdo con los precios establecidos en el anexo </w:t>
      </w:r>
      <w:r w:rsidR="005D0F6E" w:rsidRPr="00422CA2">
        <w:rPr>
          <w:rFonts w:ascii="ITC Avant Garde" w:hAnsi="ITC Avant Garde" w:cs="Arial"/>
          <w:sz w:val="22"/>
          <w:szCs w:val="22"/>
        </w:rPr>
        <w:t xml:space="preserve">de Tarifas </w:t>
      </w:r>
      <w:r w:rsidRPr="00422CA2">
        <w:rPr>
          <w:rFonts w:ascii="ITC Avant Garde" w:hAnsi="ITC Avant Garde" w:cs="Arial"/>
          <w:sz w:val="22"/>
          <w:szCs w:val="22"/>
        </w:rPr>
        <w:t>correspondiente de esta OREDA</w:t>
      </w:r>
      <w:r w:rsidR="00A558F9" w:rsidRPr="00422CA2">
        <w:rPr>
          <w:rFonts w:ascii="ITC Avant Garde" w:hAnsi="ITC Avant Garde" w:cs="Arial"/>
          <w:sz w:val="22"/>
          <w:szCs w:val="22"/>
        </w:rPr>
        <w:t>.</w:t>
      </w:r>
    </w:p>
    <w:p w14:paraId="17557A18"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Nota: </w:t>
      </w:r>
    </w:p>
    <w:p w14:paraId="4539B8A5"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La configuración del Módem/ONT y la provisión de los servicios de datos, son responsabilidad del CS.</w:t>
      </w:r>
    </w:p>
    <w:p w14:paraId="4A42AF89" w14:textId="77777777" w:rsidR="00394A75" w:rsidRPr="00422CA2" w:rsidRDefault="00394A75"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(Usuarios nuevos con y sin acometida)</w:t>
      </w:r>
    </w:p>
    <w:p w14:paraId="7B54FA26" w14:textId="77777777" w:rsidR="00394A75" w:rsidRPr="00422CA2" w:rsidRDefault="00394A75"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contratación y entrega del SAIB para el caso de</w:t>
      </w:r>
      <w:r w:rsidRPr="00422CA2">
        <w:rPr>
          <w:rFonts w:ascii="ITC Avant Garde" w:hAnsi="ITC Avant Garde" w:cs="Arial"/>
          <w:b/>
          <w:sz w:val="22"/>
          <w:szCs w:val="22"/>
          <w:lang w:val="es-ES" w:eastAsia="es-MX"/>
        </w:rPr>
        <w:t xml:space="preserve"> </w:t>
      </w:r>
      <w:r w:rsidRPr="00422CA2">
        <w:rPr>
          <w:rFonts w:ascii="ITC Avant Garde" w:hAnsi="ITC Avant Garde" w:cs="Arial"/>
          <w:sz w:val="22"/>
          <w:szCs w:val="22"/>
          <w:lang w:val="es-ES" w:eastAsia="es-MX"/>
        </w:rPr>
        <w:t xml:space="preserve">usuarios nuevos que pueden o no tener acometida;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Análisis de Factibilidad técnica a fin de que Telmex pueda verificar que cuenta con los elementos para brindar el servicio solicitado; y (iii) Habilitación y aprovisionamiento del servicio solicitado, que detonará los procesos de pruebas de entrega y facturación.</w:t>
      </w:r>
    </w:p>
    <w:p w14:paraId="50DE6344" w14:textId="6A07B6F1" w:rsidR="00394A75" w:rsidRPr="00422CA2" w:rsidRDefault="00394A75" w:rsidP="00900743">
      <w:pPr>
        <w:pStyle w:val="Prrafodelista"/>
        <w:numPr>
          <w:ilvl w:val="0"/>
          <w:numId w:val="73"/>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El CS deberá presentar solicitud por usuario final en el formato correspondiente a través del Sistema de Captura, o del SEG una vez que entre en operación, indicando si para el suministro de los módems por parte de Telmex, prefiere la entrega vía mensajería en el domicilio del usuario o que sea recogido en </w:t>
      </w:r>
      <w:r w:rsidR="00B340AB" w:rsidRPr="00422CA2">
        <w:rPr>
          <w:rFonts w:ascii="ITC Avant Garde" w:hAnsi="ITC Avant Garde"/>
          <w:sz w:val="22"/>
          <w:szCs w:val="22"/>
          <w:lang w:val="es-ES"/>
        </w:rPr>
        <w:t>t</w:t>
      </w:r>
      <w:r w:rsidRPr="00422CA2">
        <w:rPr>
          <w:rFonts w:ascii="ITC Avant Garde" w:hAnsi="ITC Avant Garde"/>
          <w:sz w:val="22"/>
          <w:szCs w:val="22"/>
          <w:lang w:val="es-ES"/>
        </w:rPr>
        <w:t>ienda</w:t>
      </w:r>
      <w:r w:rsidR="00B340AB" w:rsidRPr="00422CA2">
        <w:rPr>
          <w:rFonts w:ascii="ITC Avant Garde" w:hAnsi="ITC Avant Garde"/>
          <w:sz w:val="22"/>
          <w:szCs w:val="22"/>
          <w:lang w:val="es-ES"/>
        </w:rPr>
        <w:t xml:space="preserve"> Telmex</w:t>
      </w:r>
      <w:r w:rsidRPr="00422CA2">
        <w:rPr>
          <w:rFonts w:ascii="ITC Avant Garde" w:hAnsi="ITC Avant Garde"/>
          <w:sz w:val="22"/>
          <w:szCs w:val="22"/>
          <w:lang w:val="es-ES"/>
        </w:rPr>
        <w:t xml:space="preserve">. En el caso de ONT la misma se entregará en el domicilio del usuario al momento de la instalación. Adicionalmente el CS indicará la fecha en la que se deberá realizar la habilitación del servicio, teniendo que ser esta después del cuarto día hábil de presentada la solicitud, para que Telmex pueda coordinar cualquier aspecto logístico. </w:t>
      </w:r>
      <w:r w:rsidR="00900743" w:rsidRPr="00422CA2">
        <w:rPr>
          <w:rFonts w:ascii="ITC Avant Garde" w:hAnsi="ITC Avant Garde"/>
          <w:sz w:val="22"/>
          <w:szCs w:val="22"/>
          <w:lang w:val="es-ES"/>
        </w:rPr>
        <w:t>Así mismo deberá indicar el tipo de medio de acceso (cobre o fibra óptica).</w:t>
      </w:r>
    </w:p>
    <w:p w14:paraId="6B19075C" w14:textId="45021FBB" w:rsidR="00394A75" w:rsidRPr="00422CA2" w:rsidRDefault="00394A75" w:rsidP="00BC6E66">
      <w:pPr>
        <w:pStyle w:val="Prrafodelista"/>
        <w:numPr>
          <w:ilvl w:val="0"/>
          <w:numId w:val="7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lastRenderedPageBreak/>
        <w:t xml:space="preserve">La solicitud del CS será validada en un plazo máximo de </w:t>
      </w:r>
      <w:r w:rsidR="00B340AB" w:rsidRPr="00422CA2">
        <w:rPr>
          <w:rFonts w:ascii="ITC Avant Garde" w:hAnsi="ITC Avant Garde"/>
          <w:sz w:val="22"/>
          <w:szCs w:val="22"/>
          <w:lang w:val="es-ES"/>
        </w:rPr>
        <w:t>un</w:t>
      </w:r>
      <w:r w:rsidRPr="00422CA2">
        <w:rPr>
          <w:rFonts w:ascii="ITC Avant Garde" w:hAnsi="ITC Avant Garde"/>
          <w:sz w:val="22"/>
          <w:szCs w:val="22"/>
          <w:lang w:val="es-ES"/>
        </w:rPr>
        <w:t xml:space="preserve"> día hábil, se dará seguimiento a la solicitud con un folio hasta que se asigne un Número de Identificación de Solicitud (NIS), si la solicitud no cumple con la información correspondiente, será devuelta al CS para que sea corregida y reenviada a Telmex a fin de que vuelva a ser validada.</w:t>
      </w:r>
    </w:p>
    <w:p w14:paraId="3A3C5094" w14:textId="7D881D26" w:rsidR="00394A75" w:rsidRPr="00422CA2" w:rsidRDefault="00394A75" w:rsidP="00BC6E66">
      <w:pPr>
        <w:pStyle w:val="Prrafodelista"/>
        <w:numPr>
          <w:ilvl w:val="0"/>
          <w:numId w:val="7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validado la solicitud, se revisará la factibilidad técnica</w:t>
      </w:r>
      <w:r w:rsidRPr="00422CA2">
        <w:rPr>
          <w:rStyle w:val="Refdenotaalpie"/>
          <w:rFonts w:ascii="ITC Avant Garde" w:hAnsi="ITC Avant Garde" w:cs="Arial"/>
          <w:sz w:val="22"/>
          <w:szCs w:val="22"/>
        </w:rPr>
        <w:footnoteReference w:id="31"/>
      </w:r>
      <w:r w:rsidRPr="00422CA2">
        <w:rPr>
          <w:rFonts w:ascii="ITC Avant Garde" w:hAnsi="ITC Avant Garde" w:cs="Arial"/>
          <w:sz w:val="22"/>
          <w:szCs w:val="22"/>
        </w:rPr>
        <w:t xml:space="preserve"> en un plazo máximo de </w:t>
      </w:r>
      <w:r w:rsidR="00B340AB" w:rsidRPr="00422CA2">
        <w:rPr>
          <w:rFonts w:ascii="ITC Avant Garde" w:hAnsi="ITC Avant Garde" w:cs="Arial"/>
          <w:sz w:val="22"/>
          <w:szCs w:val="22"/>
        </w:rPr>
        <w:t>un</w:t>
      </w:r>
      <w:r w:rsidRPr="00422CA2">
        <w:rPr>
          <w:rFonts w:ascii="ITC Avant Garde" w:hAnsi="ITC Avant Garde" w:cs="Arial"/>
          <w:sz w:val="22"/>
          <w:szCs w:val="22"/>
        </w:rPr>
        <w:t xml:space="preserve"> día hábil y se responderá al CS conforme a lo siguiente: </w:t>
      </w:r>
    </w:p>
    <w:p w14:paraId="36EC16DB" w14:textId="77777777" w:rsidR="00394A75" w:rsidRPr="00422CA2" w:rsidRDefault="00394A75" w:rsidP="00BC6E66">
      <w:pPr>
        <w:pStyle w:val="Prrafodelista"/>
        <w:numPr>
          <w:ilvl w:val="0"/>
          <w:numId w:val="79"/>
        </w:numPr>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No existen facilidades asociadas, se presentará al CS, a través del SC o del SEG, la justificación de los motivos descritos en el apartado 1.4 relativo a los recursos de red asociados a los servicios, así como las evidencias correspondientes.</w:t>
      </w:r>
    </w:p>
    <w:p w14:paraId="178561AB" w14:textId="77777777" w:rsidR="00394A75" w:rsidRPr="00422CA2" w:rsidRDefault="00394A75" w:rsidP="00BC6E66">
      <w:pPr>
        <w:pStyle w:val="Prrafodelista"/>
        <w:numPr>
          <w:ilvl w:val="0"/>
          <w:numId w:val="79"/>
        </w:numPr>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Si el usuario tiene acometida o no cuenta con ella pero existen con recursos de red se asignará un NIS, se probará, se remplazará en caso de ser necesario y/o se instalará la acometida además de habilitar el servicio el día estipulado por el CS en su solicitud. Considerando lo siguiente:</w:t>
      </w:r>
    </w:p>
    <w:p w14:paraId="299F0683" w14:textId="77777777" w:rsidR="00394A75" w:rsidRPr="00422CA2" w:rsidRDefault="00394A75" w:rsidP="00BC6E66">
      <w:pPr>
        <w:pStyle w:val="Prrafodelista"/>
        <w:numPr>
          <w:ilvl w:val="0"/>
          <w:numId w:val="207"/>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Si Telmex acudió al domicilio del usuario y no fue factible probar la acometida y habilitar el servicio por razones asociadas al usuario o al CS, Telmex desde el sitio (fuera del domicilio) contactará al CS para informar que el usuario no lo atendió o no se encontró en el domicilio, Telmex esperará un tiempo máximo de 15 minutos para realizar la prueba y habilitar el servicio, el CS tendrá este tiempo para solucionar la situación con su usuario. Si durante este periodo no fue posible la prueba, el CS deberá indicar si desea realizar la reprogramación de la prueba y habilitación del servicio</w:t>
      </w:r>
      <w:r w:rsidRPr="00422CA2">
        <w:rPr>
          <w:rFonts w:ascii="ITC Avant Garde" w:hAnsi="ITC Avant Garde"/>
          <w:sz w:val="22"/>
          <w:szCs w:val="22"/>
          <w:vertAlign w:val="superscript"/>
        </w:rPr>
        <w:footnoteReference w:id="32"/>
      </w:r>
      <w:r w:rsidRPr="00422CA2">
        <w:rPr>
          <w:rFonts w:ascii="ITC Avant Garde" w:hAnsi="ITC Avant Garde" w:cs="Arial"/>
          <w:sz w:val="22"/>
          <w:szCs w:val="22"/>
          <w:vertAlign w:val="superscript"/>
        </w:rPr>
        <w:t xml:space="preserve"> </w:t>
      </w:r>
      <w:r w:rsidRPr="00422CA2">
        <w:rPr>
          <w:rFonts w:ascii="ITC Avant Garde" w:hAnsi="ITC Avant Garde" w:cs="Arial"/>
          <w:sz w:val="22"/>
          <w:szCs w:val="22"/>
        </w:rPr>
        <w:t>debiendo correr a cargo del CS los gastos por la visita en falso, o bien si el CS rechaza el servicio.</w:t>
      </w:r>
    </w:p>
    <w:p w14:paraId="54C9A4C8" w14:textId="77777777" w:rsidR="00394A75" w:rsidRPr="00422CA2" w:rsidRDefault="00394A75" w:rsidP="00BC6E66">
      <w:pPr>
        <w:pStyle w:val="Prrafodelista"/>
        <w:numPr>
          <w:ilvl w:val="0"/>
          <w:numId w:val="207"/>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por causas atribuibles a Telmex no fue factible realizar la prueba de la acometida y habilitación del servicio, se </w:t>
      </w:r>
      <w:r w:rsidRPr="00422CA2">
        <w:rPr>
          <w:rFonts w:ascii="ITC Avant Garde" w:hAnsi="ITC Avant Garde" w:cs="Arial"/>
          <w:sz w:val="22"/>
          <w:szCs w:val="22"/>
        </w:rPr>
        <w:lastRenderedPageBreak/>
        <w:t xml:space="preserve">informará al CS para que indique a Telmex la fecha de reprogramación de la misma, debiendo Telmex asumir los costos de la visita reprogramada. </w:t>
      </w:r>
    </w:p>
    <w:p w14:paraId="0BAA0E2E" w14:textId="77777777" w:rsidR="00394A75" w:rsidRPr="00422CA2" w:rsidRDefault="00394A75" w:rsidP="00BC6E66">
      <w:pPr>
        <w:pStyle w:val="Prrafodelista"/>
        <w:numPr>
          <w:ilvl w:val="0"/>
          <w:numId w:val="7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habilitado el servicio, se le notificará al CS a través del Sistema de Captura o SEG para que éste acuda a realizar la configuración del Módem/ONT en el domicilio del usuario. Para dicha configuración se seguirán los siguientes pasos:</w:t>
      </w:r>
    </w:p>
    <w:p w14:paraId="15EEBAA1" w14:textId="407D7345"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deberá conectar el Módem/ONT al PCT</w:t>
      </w:r>
      <w:r w:rsidR="00FF79FF" w:rsidRPr="00422CA2">
        <w:rPr>
          <w:rFonts w:ascii="ITC Avant Garde" w:hAnsi="ITC Avant Garde" w:cs="Arial"/>
          <w:sz w:val="22"/>
          <w:szCs w:val="22"/>
        </w:rPr>
        <w:t>.</w:t>
      </w:r>
    </w:p>
    <w:p w14:paraId="027A63A5" w14:textId="77777777"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En el caso de la ONT, el CS llamará al 01800-4040734 en el que proporcionará el número de serie de la ONT y el número de servicio, para la crossconexión en la red de Telmex. </w:t>
      </w:r>
    </w:p>
    <w:p w14:paraId="2C4D6A6A" w14:textId="12396FA9"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servicio quedará habilitado en un plazo máximo de 30 minutos</w:t>
      </w:r>
      <w:r w:rsidR="00FF79FF" w:rsidRPr="00422CA2">
        <w:rPr>
          <w:rFonts w:ascii="ITC Avant Garde" w:hAnsi="ITC Avant Garde" w:cs="Arial"/>
          <w:sz w:val="22"/>
          <w:szCs w:val="22"/>
        </w:rPr>
        <w:t>.</w:t>
      </w:r>
    </w:p>
    <w:p w14:paraId="30F82433" w14:textId="77777777" w:rsidR="00394A75" w:rsidRPr="00422CA2" w:rsidRDefault="00394A75" w:rsidP="00BC6E66">
      <w:pPr>
        <w:pStyle w:val="Prrafodelista"/>
        <w:numPr>
          <w:ilvl w:val="1"/>
          <w:numId w:val="10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realizada la crossconexión, Telmex realizará una prueba de sincronía para la habilitación del servicio, la cual será almacenada en el Sistema de Captura o en el SEG cuando entre en operación, para que el CS pueda consultarla, y se procederá a realizar el cargo de habilitación correspondiente. </w:t>
      </w:r>
    </w:p>
    <w:p w14:paraId="7DA05234" w14:textId="27BC05D8" w:rsidR="00394A75" w:rsidRPr="00422CA2" w:rsidRDefault="009D5888" w:rsidP="00BC6E66">
      <w:pPr>
        <w:pStyle w:val="Prrafodelista"/>
        <w:numPr>
          <w:ilvl w:val="0"/>
          <w:numId w:val="73"/>
        </w:numPr>
        <w:spacing w:after="200" w:line="276" w:lineRule="auto"/>
        <w:jc w:val="both"/>
        <w:rPr>
          <w:rFonts w:ascii="ITC Avant Garde" w:hAnsi="ITC Avant Garde"/>
          <w:sz w:val="22"/>
          <w:szCs w:val="22"/>
        </w:rPr>
      </w:pPr>
      <w:r w:rsidRPr="00422CA2">
        <w:rPr>
          <w:rFonts w:ascii="ITC Avant Garde" w:hAnsi="ITC Avant Garde" w:cs="Arial"/>
          <w:sz w:val="22"/>
          <w:szCs w:val="22"/>
        </w:rPr>
        <w:t>Al corte del mes se comenzará a facturar la renta correspondiente al perfil habilitado de acuerdo con los precios establecidos en el anexo de Tarifas correspondiente de esta OREDA</w:t>
      </w:r>
      <w:r w:rsidR="00FF79FF" w:rsidRPr="00422CA2">
        <w:rPr>
          <w:rFonts w:ascii="ITC Avant Garde" w:hAnsi="ITC Avant Garde" w:cs="Arial"/>
          <w:sz w:val="22"/>
          <w:szCs w:val="22"/>
        </w:rPr>
        <w:t>.</w:t>
      </w:r>
    </w:p>
    <w:p w14:paraId="0A7EA103"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Nota: </w:t>
      </w:r>
    </w:p>
    <w:p w14:paraId="36F396FA"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La configuración del Módem/ONT y la provisión de los servicios de datos, son responsabilidad del CS.</w:t>
      </w:r>
    </w:p>
    <w:p w14:paraId="5ADB8917" w14:textId="77777777" w:rsidR="00394A75" w:rsidRPr="00422CA2" w:rsidRDefault="00394A75" w:rsidP="00BC6E66">
      <w:pPr>
        <w:spacing w:after="200" w:line="276" w:lineRule="auto"/>
        <w:jc w:val="both"/>
        <w:rPr>
          <w:rFonts w:ascii="ITC Avant Garde" w:hAnsi="ITC Avant Garde"/>
          <w:b/>
          <w:sz w:val="22"/>
          <w:szCs w:val="22"/>
        </w:rPr>
      </w:pPr>
      <w:r w:rsidRPr="00422CA2">
        <w:rPr>
          <w:rFonts w:ascii="ITC Avant Garde" w:hAnsi="ITC Avant Garde"/>
          <w:b/>
          <w:sz w:val="22"/>
          <w:szCs w:val="22"/>
          <w:lang w:val="es-ES"/>
        </w:rPr>
        <w:t xml:space="preserve">Procedimiento de modificación de velocidad de </w:t>
      </w:r>
      <w:r w:rsidRPr="00422CA2">
        <w:rPr>
          <w:rFonts w:ascii="ITC Avant Garde" w:hAnsi="ITC Avant Garde"/>
          <w:b/>
          <w:sz w:val="22"/>
          <w:szCs w:val="22"/>
        </w:rPr>
        <w:t>SAIB</w:t>
      </w:r>
    </w:p>
    <w:p w14:paraId="3327135E" w14:textId="7338F8E5" w:rsidR="00394A75" w:rsidRPr="00422CA2" w:rsidRDefault="00394A75"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modificación de los anchos de banda del SAIB a petición del </w:t>
      </w:r>
      <w:r w:rsidR="00572086" w:rsidRPr="00422CA2">
        <w:rPr>
          <w:rFonts w:ascii="ITC Avant Garde" w:hAnsi="ITC Avant Garde" w:cs="Arial"/>
          <w:sz w:val="22"/>
          <w:szCs w:val="22"/>
          <w:lang w:val="es-ES" w:eastAsia="es-MX"/>
        </w:rPr>
        <w:t>CS</w:t>
      </w:r>
      <w:r w:rsidRPr="00422CA2">
        <w:rPr>
          <w:rFonts w:ascii="ITC Avant Garde" w:hAnsi="ITC Avant Garde" w:cs="Arial"/>
          <w:sz w:val="22"/>
          <w:szCs w:val="22"/>
          <w:lang w:val="es-ES" w:eastAsia="es-MX"/>
        </w:rPr>
        <w:t xml:space="preserve">; las fases en que se divide este procedimiento son: (i) Entrega y validación de la solicitud para que el CS manifieste su intención de modificar el ancho de banda del servicio, y la validación por parte de Telmex de que la solicitud cuenta con todos los elementos; (ii) </w:t>
      </w:r>
      <w:r w:rsidRPr="00422CA2">
        <w:rPr>
          <w:rFonts w:ascii="ITC Avant Garde" w:hAnsi="ITC Avant Garde" w:cs="Arial"/>
          <w:sz w:val="22"/>
          <w:szCs w:val="22"/>
        </w:rPr>
        <w:t>Análisis de Factibilidad técnica a fin de que Telmex pueda verificar que el ancho de banda solicitado</w:t>
      </w:r>
      <w:r w:rsidR="00F966D4" w:rsidRPr="00422CA2">
        <w:rPr>
          <w:rFonts w:ascii="ITC Avant Garde" w:hAnsi="ITC Avant Garde" w:cs="Arial"/>
          <w:sz w:val="22"/>
          <w:szCs w:val="22"/>
        </w:rPr>
        <w:t xml:space="preserve"> es compatible con el bucle</w:t>
      </w:r>
      <w:r w:rsidRPr="00422CA2">
        <w:rPr>
          <w:rFonts w:ascii="ITC Avant Garde" w:hAnsi="ITC Avant Garde" w:cs="Arial"/>
          <w:sz w:val="22"/>
          <w:szCs w:val="22"/>
        </w:rPr>
        <w:t xml:space="preserve">; y (iii) Habilitación y aprovisionamiento del </w:t>
      </w:r>
      <w:r w:rsidRPr="00422CA2">
        <w:rPr>
          <w:rFonts w:ascii="ITC Avant Garde" w:hAnsi="ITC Avant Garde" w:cs="Arial"/>
          <w:sz w:val="22"/>
          <w:szCs w:val="22"/>
        </w:rPr>
        <w:lastRenderedPageBreak/>
        <w:t>servicio con la modificación solicitada, que detonará los procesos de pruebas de entrega y facturación.</w:t>
      </w:r>
    </w:p>
    <w:p w14:paraId="237AF5F7" w14:textId="77777777" w:rsidR="00394A75" w:rsidRPr="00422CA2" w:rsidRDefault="00394A75" w:rsidP="00BC6E66">
      <w:pPr>
        <w:numPr>
          <w:ilvl w:val="3"/>
          <w:numId w:val="63"/>
        </w:numPr>
        <w:spacing w:after="200" w:line="276" w:lineRule="auto"/>
        <w:ind w:left="709"/>
        <w:jc w:val="both"/>
        <w:rPr>
          <w:rFonts w:ascii="ITC Avant Garde" w:hAnsi="ITC Avant Garde"/>
          <w:sz w:val="22"/>
          <w:szCs w:val="22"/>
        </w:rPr>
      </w:pPr>
      <w:r w:rsidRPr="00422CA2">
        <w:rPr>
          <w:rFonts w:ascii="ITC Avant Garde" w:hAnsi="ITC Avant Garde"/>
          <w:sz w:val="22"/>
          <w:szCs w:val="22"/>
        </w:rPr>
        <w:t xml:space="preserve">El CS deberá ingresar la solicitud correspondiente en el formato </w:t>
      </w:r>
      <w:r w:rsidRPr="00422CA2">
        <w:rPr>
          <w:rFonts w:ascii="ITC Avant Garde" w:hAnsi="ITC Avant Garde" w:cs="Arial"/>
          <w:sz w:val="22"/>
          <w:szCs w:val="22"/>
        </w:rPr>
        <w:t xml:space="preserve">a través del </w:t>
      </w:r>
      <w:r w:rsidRPr="00422CA2">
        <w:rPr>
          <w:rFonts w:ascii="ITC Avant Garde" w:hAnsi="ITC Avant Garde"/>
          <w:sz w:val="22"/>
          <w:szCs w:val="22"/>
        </w:rPr>
        <w:t>Sistema de Captura,</w:t>
      </w:r>
      <w:r w:rsidRPr="00422CA2">
        <w:rPr>
          <w:rFonts w:ascii="ITC Avant Garde" w:hAnsi="ITC Avant Garde" w:cs="Arial"/>
          <w:sz w:val="22"/>
          <w:szCs w:val="22"/>
          <w:lang w:val="es-MX" w:eastAsia="es-MX"/>
        </w:rPr>
        <w:t xml:space="preserve"> o del SEG una vez que entre en operación,</w:t>
      </w:r>
      <w:r w:rsidRPr="00422CA2">
        <w:rPr>
          <w:rFonts w:ascii="ITC Avant Garde" w:hAnsi="ITC Avant Garde"/>
          <w:sz w:val="22"/>
          <w:szCs w:val="22"/>
        </w:rPr>
        <w:t xml:space="preserve"> especificando el NIS-Referencia con el que fue contratado. </w:t>
      </w:r>
    </w:p>
    <w:p w14:paraId="3F3AB79B" w14:textId="0CA4BB53" w:rsidR="00394A75" w:rsidRPr="00422CA2" w:rsidRDefault="00394A75" w:rsidP="00BC6E66">
      <w:pPr>
        <w:numPr>
          <w:ilvl w:val="3"/>
          <w:numId w:val="63"/>
        </w:numPr>
        <w:spacing w:after="200" w:line="276" w:lineRule="auto"/>
        <w:ind w:left="709"/>
        <w:jc w:val="both"/>
        <w:rPr>
          <w:rFonts w:ascii="ITC Avant Garde" w:hAnsi="ITC Avant Garde"/>
          <w:sz w:val="22"/>
          <w:szCs w:val="22"/>
        </w:rPr>
      </w:pPr>
      <w:r w:rsidRPr="00422CA2">
        <w:rPr>
          <w:rFonts w:ascii="ITC Avant Garde" w:hAnsi="ITC Avant Garde"/>
          <w:sz w:val="22"/>
          <w:szCs w:val="22"/>
        </w:rPr>
        <w:t xml:space="preserve">La solicitud del CS será validada en un plazo máximo de </w:t>
      </w:r>
      <w:r w:rsidR="00B340AB" w:rsidRPr="00422CA2">
        <w:rPr>
          <w:rFonts w:ascii="ITC Avant Garde" w:hAnsi="ITC Avant Garde"/>
          <w:sz w:val="22"/>
          <w:szCs w:val="22"/>
        </w:rPr>
        <w:t>un</w:t>
      </w:r>
      <w:r w:rsidRPr="00422CA2">
        <w:rPr>
          <w:rFonts w:ascii="ITC Avant Garde" w:hAnsi="ITC Avant Garde"/>
          <w:sz w:val="22"/>
          <w:szCs w:val="22"/>
        </w:rPr>
        <w:t xml:space="preserve"> día hábil, se dará seguimiento a la solicitud con un folio hasta que se asigne un Número de Identificación de Solicitud (NIS), si la solicitud no cumple con la información correspondiente, será devuelta al CS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sz w:val="22"/>
          <w:szCs w:val="22"/>
        </w:rPr>
        <w:t>.</w:t>
      </w:r>
    </w:p>
    <w:p w14:paraId="4AA29BF6" w14:textId="5AC9D95D" w:rsidR="00394A75" w:rsidRPr="00422CA2" w:rsidRDefault="00394A75" w:rsidP="00BC6E66">
      <w:pPr>
        <w:numPr>
          <w:ilvl w:val="3"/>
          <w:numId w:val="63"/>
        </w:numPr>
        <w:spacing w:after="200" w:line="276" w:lineRule="auto"/>
        <w:ind w:left="709"/>
        <w:jc w:val="both"/>
        <w:rPr>
          <w:rFonts w:ascii="ITC Avant Garde" w:hAnsi="ITC Avant Garde"/>
          <w:sz w:val="22"/>
          <w:szCs w:val="22"/>
        </w:rPr>
      </w:pPr>
      <w:r w:rsidRPr="00422CA2">
        <w:rPr>
          <w:rFonts w:ascii="ITC Avant Garde" w:hAnsi="ITC Avant Garde"/>
          <w:sz w:val="22"/>
          <w:szCs w:val="22"/>
        </w:rPr>
        <w:t xml:space="preserve">Una vez que se haya validado la solicitud, se revisará la factibilidad técnica de modificación de velocidad en un plazo máximo de </w:t>
      </w:r>
      <w:r w:rsidR="00B340AB" w:rsidRPr="00422CA2">
        <w:rPr>
          <w:rFonts w:ascii="ITC Avant Garde" w:hAnsi="ITC Avant Garde"/>
          <w:sz w:val="22"/>
          <w:szCs w:val="22"/>
        </w:rPr>
        <w:t xml:space="preserve">un </w:t>
      </w:r>
      <w:r w:rsidRPr="00422CA2">
        <w:rPr>
          <w:rFonts w:ascii="ITC Avant Garde" w:hAnsi="ITC Avant Garde"/>
          <w:sz w:val="22"/>
          <w:szCs w:val="22"/>
        </w:rPr>
        <w:t xml:space="preserve">día hábil y se responderá al CS conforme a lo siguiente: </w:t>
      </w:r>
    </w:p>
    <w:p w14:paraId="5B46005C" w14:textId="2B5DAD90" w:rsidR="00394A75" w:rsidRPr="00422CA2" w:rsidRDefault="00394A75" w:rsidP="00BC6E6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a.</w:t>
      </w:r>
      <w:r w:rsidRPr="00422CA2">
        <w:rPr>
          <w:rFonts w:ascii="ITC Avant Garde" w:hAnsi="ITC Avant Garde" w:cs="Arial"/>
          <w:sz w:val="22"/>
          <w:szCs w:val="22"/>
        </w:rPr>
        <w:tab/>
        <w:t xml:space="preserve">Existen facilidades y es posible brindar la velocidad solicitada, se asignará un NIS y la velocidad solicitada será habilitada en un plazo no mayor a </w:t>
      </w:r>
      <w:r w:rsidR="00B340AB" w:rsidRPr="00422CA2">
        <w:rPr>
          <w:rFonts w:ascii="ITC Avant Garde" w:hAnsi="ITC Avant Garde" w:cs="Arial"/>
          <w:sz w:val="22"/>
          <w:szCs w:val="22"/>
        </w:rPr>
        <w:t>tres</w:t>
      </w:r>
      <w:r w:rsidRPr="00422CA2">
        <w:rPr>
          <w:rFonts w:ascii="ITC Avant Garde" w:hAnsi="ITC Avant Garde" w:cs="Arial"/>
          <w:sz w:val="22"/>
          <w:szCs w:val="22"/>
        </w:rPr>
        <w:t xml:space="preserve"> días hábiles.</w:t>
      </w:r>
    </w:p>
    <w:p w14:paraId="2788BB04" w14:textId="77777777" w:rsidR="00394A75" w:rsidRPr="00422CA2" w:rsidRDefault="00394A75" w:rsidP="00BC6E6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b.</w:t>
      </w:r>
      <w:r w:rsidRPr="00422CA2">
        <w:rPr>
          <w:rFonts w:ascii="ITC Avant Garde" w:hAnsi="ITC Avant Garde" w:cs="Arial"/>
          <w:sz w:val="22"/>
          <w:szCs w:val="22"/>
        </w:rPr>
        <w:tab/>
        <w:t xml:space="preserve">No es posible brindar la velocidad solicitada, se asignará un NIS y se le preguntará al CS si desea habilitar alguna de las velocidades técnicamente factibles. </w:t>
      </w:r>
    </w:p>
    <w:p w14:paraId="437B4A04" w14:textId="43D84487" w:rsidR="00394A75" w:rsidRPr="00422CA2" w:rsidRDefault="00394A75" w:rsidP="00BC6E6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c.</w:t>
      </w:r>
      <w:r w:rsidRPr="00422CA2">
        <w:rPr>
          <w:rFonts w:ascii="ITC Avant Garde" w:hAnsi="ITC Avant Garde" w:cs="Arial"/>
          <w:sz w:val="22"/>
          <w:szCs w:val="22"/>
        </w:rPr>
        <w:tab/>
        <w:t xml:space="preserve">El CS en un plazo máximo de </w:t>
      </w:r>
      <w:r w:rsidR="00B340AB" w:rsidRPr="00422CA2">
        <w:rPr>
          <w:rFonts w:ascii="ITC Avant Garde" w:hAnsi="ITC Avant Garde" w:cs="Arial"/>
          <w:sz w:val="22"/>
          <w:szCs w:val="22"/>
        </w:rPr>
        <w:t>cinco</w:t>
      </w:r>
      <w:r w:rsidRPr="00422CA2">
        <w:rPr>
          <w:rFonts w:ascii="ITC Avant Garde" w:hAnsi="ITC Avant Garde" w:cs="Arial"/>
          <w:sz w:val="22"/>
          <w:szCs w:val="22"/>
        </w:rPr>
        <w:t xml:space="preserve"> días hábiles deberá indicar cuál de las velocidades factibles desea que sea habilitada</w:t>
      </w:r>
      <w:r w:rsidRPr="00422CA2">
        <w:rPr>
          <w:rStyle w:val="Refdenotaalpie"/>
          <w:rFonts w:ascii="ITC Avant Garde" w:hAnsi="ITC Avant Garde" w:cs="Arial"/>
          <w:sz w:val="22"/>
          <w:szCs w:val="22"/>
        </w:rPr>
        <w:footnoteReference w:id="33"/>
      </w:r>
      <w:r w:rsidRPr="00422CA2">
        <w:rPr>
          <w:rFonts w:ascii="ITC Avant Garde" w:hAnsi="ITC Avant Garde" w:cs="Arial"/>
          <w:sz w:val="22"/>
          <w:szCs w:val="22"/>
        </w:rPr>
        <w:t>, o en caso contrario indicará si desea cancelar la modificación de velocidad del servicio.</w:t>
      </w:r>
    </w:p>
    <w:p w14:paraId="6BD352D1" w14:textId="3C729B02" w:rsidR="00394A75" w:rsidRPr="00422CA2" w:rsidRDefault="008841FB" w:rsidP="00BC6E66">
      <w:pPr>
        <w:autoSpaceDE w:val="0"/>
        <w:autoSpaceDN w:val="0"/>
        <w:adjustRightInd w:val="0"/>
        <w:spacing w:after="200" w:line="276" w:lineRule="auto"/>
        <w:ind w:left="1434" w:hanging="357"/>
        <w:jc w:val="both"/>
        <w:rPr>
          <w:rFonts w:ascii="ITC Avant Garde" w:hAnsi="ITC Avant Garde" w:cs="Arial"/>
          <w:sz w:val="22"/>
          <w:szCs w:val="22"/>
        </w:rPr>
      </w:pPr>
      <w:r w:rsidRPr="00422CA2">
        <w:rPr>
          <w:rFonts w:ascii="ITC Avant Garde" w:hAnsi="ITC Avant Garde" w:cs="Arial"/>
          <w:sz w:val="22"/>
          <w:szCs w:val="22"/>
        </w:rPr>
        <w:t>d</w:t>
      </w:r>
      <w:r w:rsidR="00394A75" w:rsidRPr="00422CA2">
        <w:rPr>
          <w:rFonts w:ascii="ITC Avant Garde" w:hAnsi="ITC Avant Garde" w:cs="Arial"/>
          <w:sz w:val="22"/>
          <w:szCs w:val="22"/>
        </w:rPr>
        <w:t>. No es posible ningún incremento de velocidad, se presentará al CS, a través del SC o del SEG, la justificación de los motivos</w:t>
      </w:r>
      <w:r w:rsidR="00B340AB" w:rsidRPr="00422CA2">
        <w:rPr>
          <w:rFonts w:ascii="ITC Avant Garde" w:hAnsi="ITC Avant Garde" w:cs="Arial"/>
          <w:sz w:val="22"/>
          <w:szCs w:val="22"/>
        </w:rPr>
        <w:t xml:space="preserve"> y criterios</w:t>
      </w:r>
      <w:r w:rsidR="00394A75" w:rsidRPr="00422CA2">
        <w:rPr>
          <w:rFonts w:ascii="ITC Avant Garde" w:hAnsi="ITC Avant Garde" w:cs="Arial"/>
          <w:sz w:val="22"/>
          <w:szCs w:val="22"/>
        </w:rPr>
        <w:t xml:space="preserve"> descritos en el apartado 1.4 relativo a los recursos de red asociados a los servicios, así como las evidencias correspondientes..</w:t>
      </w:r>
    </w:p>
    <w:p w14:paraId="251D1430" w14:textId="77777777" w:rsidR="00394A75" w:rsidRPr="00422CA2" w:rsidRDefault="00394A75" w:rsidP="00BC6E66">
      <w:pPr>
        <w:numPr>
          <w:ilvl w:val="3"/>
          <w:numId w:val="63"/>
        </w:numPr>
        <w:spacing w:after="200" w:line="276" w:lineRule="auto"/>
        <w:ind w:left="709"/>
        <w:jc w:val="both"/>
        <w:rPr>
          <w:rFonts w:ascii="ITC Avant Garde" w:hAnsi="ITC Avant Garde"/>
          <w:sz w:val="22"/>
          <w:szCs w:val="22"/>
        </w:rPr>
      </w:pPr>
      <w:r w:rsidRPr="00422CA2">
        <w:rPr>
          <w:rFonts w:ascii="ITC Avant Garde" w:hAnsi="ITC Avant Garde"/>
          <w:sz w:val="22"/>
          <w:szCs w:val="22"/>
        </w:rPr>
        <w:t>Una vez que se haya habilitado la nueva velocidad se realizarán los cargos por renta mensual y modificación del servicio.</w:t>
      </w:r>
    </w:p>
    <w:p w14:paraId="6FEE073E"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Domicilio</w:t>
      </w:r>
    </w:p>
    <w:p w14:paraId="1998C4A5"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Aplica baja y alta del servicio conforme a los procedimientos correspondientes y dicho cambio será atendido conforme las políticas actuales de los servicios.</w:t>
      </w:r>
    </w:p>
    <w:p w14:paraId="25B13EB7"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modalidad de Desagregación</w:t>
      </w:r>
    </w:p>
    <w:p w14:paraId="1BBFB3E5" w14:textId="77777777" w:rsidR="00394A75" w:rsidRPr="00422CA2" w:rsidRDefault="00394A75" w:rsidP="00BC6E66">
      <w:pPr>
        <w:spacing w:after="200" w:line="276" w:lineRule="auto"/>
        <w:jc w:val="both"/>
        <w:rPr>
          <w:rFonts w:ascii="ITC Avant Garde" w:hAnsi="ITC Avant Garde" w:cs="Arial"/>
          <w:sz w:val="22"/>
          <w:szCs w:val="22"/>
        </w:rPr>
      </w:pPr>
      <w:r w:rsidRPr="00422CA2">
        <w:rPr>
          <w:rFonts w:ascii="ITC Avant Garde" w:hAnsi="ITC Avant Garde" w:cs="Arial"/>
          <w:sz w:val="22"/>
          <w:szCs w:val="22"/>
        </w:rPr>
        <w:t>En caso de que el CS requiera modificaciones para cambiar a un servicio distinto de desagregación, deberá presentar su solicitud de alta en el formato correspondiente al nuevo servicio solicitado y la baja del servicio anterior. El nuevo servicio estará sujeto al procedimiento, plazos y cuotas de contratación descritos en el apartado correspondiente.</w:t>
      </w:r>
    </w:p>
    <w:p w14:paraId="56C7AAE6" w14:textId="77777777" w:rsidR="00394A75" w:rsidRPr="00422CA2" w:rsidRDefault="00394A75" w:rsidP="00BC6E66">
      <w:pPr>
        <w:tabs>
          <w:tab w:val="center" w:pos="4420"/>
        </w:tabs>
        <w:spacing w:after="200" w:line="276" w:lineRule="auto"/>
        <w:jc w:val="both"/>
        <w:rPr>
          <w:rFonts w:ascii="ITC Avant Garde" w:hAnsi="ITC Avant Garde" w:cs="Arial"/>
          <w:b/>
          <w:sz w:val="22"/>
          <w:szCs w:val="22"/>
        </w:rPr>
      </w:pPr>
      <w:r w:rsidRPr="00422CA2">
        <w:rPr>
          <w:rFonts w:ascii="ITC Avant Garde" w:hAnsi="ITC Avant Garde" w:cs="Arial"/>
          <w:b/>
          <w:sz w:val="22"/>
          <w:szCs w:val="22"/>
        </w:rPr>
        <w:t>Procedimiento de baja de SAIB</w:t>
      </w:r>
    </w:p>
    <w:p w14:paraId="44F4271A" w14:textId="5E5D5262" w:rsidR="00394A75" w:rsidRPr="00422CA2" w:rsidRDefault="00394A75"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baja de los servicios de Reventa; las fases en que se divide este procedimiento son: (i) Entrega y validación de la solicitud para que el CS manifieste su intención de dar de baja los servicios, y la validación por parte de Telmex de que la solicitud cuenta con todos los elementos; </w:t>
      </w:r>
      <w:r w:rsidRPr="00422CA2">
        <w:rPr>
          <w:rFonts w:ascii="ITC Avant Garde" w:hAnsi="ITC Avant Garde" w:cs="Arial"/>
          <w:sz w:val="22"/>
          <w:szCs w:val="22"/>
        </w:rPr>
        <w:t>y (ii) Baja del(los) servicio(s) y de la facturación correspondiente.</w:t>
      </w:r>
    </w:p>
    <w:p w14:paraId="677B216B" w14:textId="77777777" w:rsidR="00394A75" w:rsidRPr="00422CA2" w:rsidRDefault="00394A75" w:rsidP="00BC6E66">
      <w:pPr>
        <w:pStyle w:val="Prrafodelista"/>
        <w:numPr>
          <w:ilvl w:val="0"/>
          <w:numId w:val="8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79BDE9E6" w14:textId="26B32044" w:rsidR="00394A75" w:rsidRPr="00422CA2" w:rsidRDefault="00394A75" w:rsidP="00BC6E66">
      <w:pPr>
        <w:pStyle w:val="Prrafodelista"/>
        <w:numPr>
          <w:ilvl w:val="0"/>
          <w:numId w:val="8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Se validará que la solicitud cumpla con la información de los formatos y en un plazo máximo de </w:t>
      </w:r>
      <w:r w:rsidR="00B340AB" w:rsidRPr="00422CA2">
        <w:rPr>
          <w:rFonts w:ascii="ITC Avant Garde" w:hAnsi="ITC Avant Garde" w:cs="Arial"/>
          <w:sz w:val="22"/>
          <w:szCs w:val="22"/>
          <w:lang w:val="es-MX" w:eastAsia="es-MX"/>
        </w:rPr>
        <w:t>un</w:t>
      </w:r>
      <w:r w:rsidRPr="00422CA2">
        <w:rPr>
          <w:rFonts w:ascii="ITC Avant Garde" w:hAnsi="ITC Avant Garde" w:cs="Arial"/>
          <w:sz w:val="22"/>
          <w:szCs w:val="22"/>
          <w:lang w:val="es-MX" w:eastAsia="es-MX"/>
        </w:rPr>
        <w:t xml:space="preserve"> día hábil se contestará conforme a lo siguiente:</w:t>
      </w:r>
    </w:p>
    <w:p w14:paraId="7E550ABF" w14:textId="6BB169B1" w:rsidR="00F966D4" w:rsidRPr="00422CA2" w:rsidRDefault="00F966D4" w:rsidP="00BC6E66">
      <w:pPr>
        <w:pStyle w:val="Prrafodelista"/>
        <w:numPr>
          <w:ilvl w:val="1"/>
          <w:numId w:val="8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se llenó correctamente se dará seguimiento con un Número de Identificación de Solicitud. </w:t>
      </w:r>
    </w:p>
    <w:p w14:paraId="1F8A4F61" w14:textId="103098ED" w:rsidR="00F966D4" w:rsidRPr="00422CA2" w:rsidRDefault="00F966D4" w:rsidP="00BC6E66">
      <w:pPr>
        <w:pStyle w:val="Prrafodelista"/>
        <w:numPr>
          <w:ilvl w:val="1"/>
          <w:numId w:val="8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información </w:t>
      </w:r>
      <w:r w:rsidR="009D5888" w:rsidRPr="00422CA2">
        <w:rPr>
          <w:rFonts w:ascii="ITC Avant Garde" w:hAnsi="ITC Avant Garde" w:cs="Arial"/>
          <w:sz w:val="22"/>
          <w:szCs w:val="22"/>
          <w:lang w:val="es-MX"/>
        </w:rPr>
        <w:t xml:space="preserve">no </w:t>
      </w:r>
      <w:r w:rsidRPr="00422CA2">
        <w:rPr>
          <w:rFonts w:ascii="ITC Avant Garde" w:hAnsi="ITC Avant Garde" w:cs="Arial"/>
          <w:sz w:val="22"/>
          <w:szCs w:val="22"/>
          <w:lang w:val="es-MX"/>
        </w:rPr>
        <w:t xml:space="preserve">se llenó correctamente será devuelta al CS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lang w:val="es-MX"/>
        </w:rPr>
        <w:t>.</w:t>
      </w:r>
    </w:p>
    <w:p w14:paraId="393B2579" w14:textId="1D7D463B" w:rsidR="00394A75" w:rsidRPr="00422CA2" w:rsidRDefault="00394A75" w:rsidP="00BC6E66">
      <w:pPr>
        <w:pStyle w:val="Prrafodelista"/>
        <w:numPr>
          <w:ilvl w:val="0"/>
          <w:numId w:val="8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Una vez asignado el NIS se dará de baja el servicio correspondiente y se realizará la baja en un plazo máximo de </w:t>
      </w:r>
      <w:r w:rsidR="00B340AB" w:rsidRPr="00422CA2">
        <w:rPr>
          <w:rFonts w:ascii="ITC Avant Garde" w:hAnsi="ITC Avant Garde" w:cs="Arial"/>
          <w:sz w:val="22"/>
          <w:szCs w:val="22"/>
          <w:lang w:val="es-MX" w:eastAsia="es-MX"/>
        </w:rPr>
        <w:t>un</w:t>
      </w:r>
      <w:r w:rsidRPr="00422CA2">
        <w:rPr>
          <w:rFonts w:ascii="ITC Avant Garde" w:hAnsi="ITC Avant Garde" w:cs="Arial"/>
          <w:sz w:val="22"/>
          <w:szCs w:val="22"/>
          <w:lang w:val="es-MX" w:eastAsia="es-MX"/>
        </w:rPr>
        <w:t xml:space="preserve"> día hábil.</w:t>
      </w:r>
    </w:p>
    <w:p w14:paraId="33D5ADBA" w14:textId="52A271B6" w:rsidR="00F966D4" w:rsidRPr="00422CA2" w:rsidRDefault="00B340AB" w:rsidP="00BC6E66">
      <w:pPr>
        <w:pStyle w:val="Prrafodelista"/>
        <w:numPr>
          <w:ilvl w:val="0"/>
          <w:numId w:val="8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En un plazo máximo de dos</w:t>
      </w:r>
      <w:r w:rsidR="00F966D4" w:rsidRPr="00422CA2">
        <w:rPr>
          <w:rFonts w:ascii="ITC Avant Garde" w:hAnsi="ITC Avant Garde" w:cs="Arial"/>
          <w:sz w:val="22"/>
          <w:szCs w:val="22"/>
          <w:lang w:val="es-MX" w:eastAsia="es-MX"/>
        </w:rPr>
        <w:t xml:space="preserve"> días hábiles a partir de la solicitud de baja, Telmex dejará de generar nuevos cargos a los CS por el servicio. La liquidación de facturación que haga Telmex considerará la parte proporcional de la mensualidad hasta el día de la baja efectiva</w:t>
      </w:r>
    </w:p>
    <w:p w14:paraId="6AFF9AB2" w14:textId="618C2D2A" w:rsidR="00394A75" w:rsidRPr="00422CA2" w:rsidRDefault="00967A5A" w:rsidP="00586B55">
      <w:pPr>
        <w:pStyle w:val="Ttulo1"/>
      </w:pPr>
      <w:bookmarkStart w:id="377" w:name="_Toc436840899"/>
      <w:bookmarkStart w:id="378" w:name="_Toc436846336"/>
      <w:bookmarkStart w:id="379" w:name="_Toc436848286"/>
      <w:bookmarkStart w:id="380" w:name="_Toc436856534"/>
      <w:bookmarkStart w:id="381" w:name="_Toc436862680"/>
      <w:bookmarkStart w:id="382" w:name="_Toc436866330"/>
      <w:bookmarkStart w:id="383" w:name="_Toc436870909"/>
      <w:bookmarkStart w:id="384" w:name="_Toc436875901"/>
      <w:bookmarkStart w:id="385" w:name="_Toc437602089"/>
      <w:r w:rsidRPr="00422CA2">
        <w:lastRenderedPageBreak/>
        <w:t xml:space="preserve">5.4. </w:t>
      </w:r>
      <w:r w:rsidR="00394A75" w:rsidRPr="00422CA2">
        <w:t>Plazos de Entrega de SAIB.</w:t>
      </w:r>
      <w:bookmarkEnd w:id="377"/>
      <w:bookmarkEnd w:id="378"/>
      <w:bookmarkEnd w:id="379"/>
      <w:bookmarkEnd w:id="380"/>
      <w:bookmarkEnd w:id="381"/>
      <w:bookmarkEnd w:id="382"/>
      <w:bookmarkEnd w:id="383"/>
      <w:bookmarkEnd w:id="384"/>
      <w:bookmarkEnd w:id="385"/>
    </w:p>
    <w:p w14:paraId="379C218A" w14:textId="77777777" w:rsidR="001E1A53" w:rsidRPr="00422CA2" w:rsidRDefault="001E1A53" w:rsidP="001E1A53">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Validación de la solicitud junto con verificación de factibilidad: máximo 2 días hábiles.</w:t>
      </w:r>
    </w:p>
    <w:p w14:paraId="283A5644" w14:textId="77777777" w:rsidR="00394A75" w:rsidRPr="00422CA2" w:rsidRDefault="00394A75" w:rsidP="00BC6E66">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Entrega del servicio para usuarios existentes (habilitación): máximo 5 días hábiles que se contabilizarán a partir de la solicitud para él servicio con el módem/ONT de Telmex que estuvieran en funcionamiento.</w:t>
      </w:r>
    </w:p>
    <w:p w14:paraId="2C6DAF05" w14:textId="77777777" w:rsidR="00394A75" w:rsidRPr="00422CA2" w:rsidRDefault="00394A75" w:rsidP="00BC6E66">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Entrega del servicio para usuarios existentes (habilitación): máximo 7 días hábiles que se contabilizarán a partir de la solicitud para el servicio en que Telmex deba entregar algún equipo a solicitud del CS.</w:t>
      </w:r>
    </w:p>
    <w:p w14:paraId="5CF0AAD0" w14:textId="77777777" w:rsidR="00394A75" w:rsidRPr="00422CA2" w:rsidRDefault="00394A75" w:rsidP="00BC6E66">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Entrega del servicio para usuarios nuevos con acometida o recursos de red (habilitación): día indicado por el CS en la solicitud (del día 5 hábil en adelante a partir de la solicitud sin provisión de equipo y del día 7 hábil en adelante a partir de la solicitud con provisión de equipo) </w:t>
      </w:r>
    </w:p>
    <w:p w14:paraId="76976696" w14:textId="39A48FD8" w:rsidR="00394A75" w:rsidRPr="00422CA2" w:rsidRDefault="00967A5A" w:rsidP="00586B55">
      <w:pPr>
        <w:pStyle w:val="Ttulo1"/>
      </w:pPr>
      <w:bookmarkStart w:id="386" w:name="_Toc393983207"/>
      <w:bookmarkStart w:id="387" w:name="_Toc395116733"/>
      <w:bookmarkStart w:id="388" w:name="_Toc436840900"/>
      <w:bookmarkStart w:id="389" w:name="_Toc436846337"/>
      <w:bookmarkStart w:id="390" w:name="_Toc436848287"/>
      <w:bookmarkStart w:id="391" w:name="_Toc436856535"/>
      <w:bookmarkStart w:id="392" w:name="_Toc436862681"/>
      <w:bookmarkStart w:id="393" w:name="_Toc436866331"/>
      <w:bookmarkStart w:id="394" w:name="_Toc436870910"/>
      <w:bookmarkStart w:id="395" w:name="_Toc436875902"/>
      <w:bookmarkStart w:id="396" w:name="_Toc437602090"/>
      <w:r w:rsidRPr="00422CA2">
        <w:t>5.5.</w:t>
      </w:r>
      <w:r w:rsidR="00394A75" w:rsidRPr="00422CA2">
        <w:tab/>
        <w:t>Parámetros e indicadores de calidad</w:t>
      </w:r>
      <w:bookmarkEnd w:id="386"/>
      <w:bookmarkEnd w:id="387"/>
      <w:r w:rsidR="00394A75" w:rsidRPr="00422CA2">
        <w:t xml:space="preserve"> para SAIB</w:t>
      </w:r>
      <w:bookmarkEnd w:id="388"/>
      <w:bookmarkEnd w:id="389"/>
      <w:bookmarkEnd w:id="390"/>
      <w:bookmarkEnd w:id="391"/>
      <w:bookmarkEnd w:id="392"/>
      <w:bookmarkEnd w:id="393"/>
      <w:bookmarkEnd w:id="394"/>
      <w:bookmarkEnd w:id="395"/>
      <w:bookmarkEnd w:id="396"/>
    </w:p>
    <w:p w14:paraId="2947736B"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esta sección se muestran los parámetros e indicadores de calidad referentes a la provisión, continuidad y atención de fallas del Servicio de Acceso Indirecto al Bucle. Estos parámetros e indicadores corresponden a los utilizados en la propia operación de Telmex, y se medirán con una periodicidad trimestral por cada uno de los CS.</w:t>
      </w:r>
    </w:p>
    <w:p w14:paraId="2F9DB18E"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para Provisión del Servicio</w:t>
      </w:r>
    </w:p>
    <w:p w14:paraId="4FB16762"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lo referente a la provisión de los servicios (validación de la solicitud, verificación de factibilidad y habilitación), se tienen los siguientes indicadores:</w:t>
      </w:r>
    </w:p>
    <w:p w14:paraId="22071C8C" w14:textId="77777777" w:rsidR="00C731CA" w:rsidRPr="00422CA2" w:rsidRDefault="00C731CA" w:rsidP="00A558F9">
      <w:pPr>
        <w:pStyle w:val="Prrafodelista"/>
        <w:numPr>
          <w:ilvl w:val="0"/>
          <w:numId w:val="26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Validación de la solicitud junto con verificación de la factibilidad: 90% de las solicitudes en máximo 2 días hábiles. El 10% restante en un máximo de 3 días hábiles.</w:t>
      </w:r>
    </w:p>
    <w:p w14:paraId="05DEE308" w14:textId="77777777" w:rsidR="00C731CA" w:rsidRPr="00422CA2" w:rsidRDefault="00C731CA" w:rsidP="00A558F9">
      <w:pPr>
        <w:pStyle w:val="Prrafodelista"/>
        <w:numPr>
          <w:ilvl w:val="0"/>
          <w:numId w:val="26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Habilitación para usuarios existentes con el módem/ONT de Telmex que estuvieran en funcionamiento en tiempo: 90% en un máximo de 5 días hábiles. El 10% restante validada en un máximo de 8 días hábiles. </w:t>
      </w:r>
    </w:p>
    <w:p w14:paraId="52B857E9" w14:textId="77777777" w:rsidR="00C731CA" w:rsidRPr="00422CA2" w:rsidRDefault="00C731CA" w:rsidP="00A558F9">
      <w:pPr>
        <w:pStyle w:val="Prrafodelista"/>
        <w:numPr>
          <w:ilvl w:val="0"/>
          <w:numId w:val="26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para usuarios existentes con entrega de módem/ONT en tiempo: 90% en un máximo de 7 días hábiles. El 10% restante validada en un máximo de 11 días hábiles</w:t>
      </w:r>
    </w:p>
    <w:p w14:paraId="051173B8" w14:textId="77777777" w:rsidR="00C731CA" w:rsidRPr="00422CA2" w:rsidRDefault="00C731CA" w:rsidP="00A558F9">
      <w:pPr>
        <w:pStyle w:val="Prrafodelista"/>
        <w:numPr>
          <w:ilvl w:val="0"/>
          <w:numId w:val="26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Habilitación para usuarios nuevos con acometida o recursos de red el día indicado por el CS en la solicitud, en caso contrario aplica una pena conforme el Anexo B.</w:t>
      </w:r>
    </w:p>
    <w:p w14:paraId="7723CCEB"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33794065"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realizar la medición de los indicadores presentados, se descontarán los plazos de entrega señalados en la sección 5.4 de este documento de los días totales utilizados para la realización de dicha actividad, considerando como inicio del proceso el día en que se solicitó el servicio por parte del CS. </w:t>
      </w:r>
    </w:p>
    <w:p w14:paraId="4610AE27" w14:textId="77777777" w:rsidR="00394A75" w:rsidRPr="00422CA2" w:rsidRDefault="00394A75"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para Reparación de Fallas</w:t>
      </w:r>
    </w:p>
    <w:p w14:paraId="08F5EB75" w14:textId="77777777" w:rsidR="00394A75" w:rsidRPr="00422CA2" w:rsidRDefault="00394A75" w:rsidP="00BC6E6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En cuanto a los parámetros de calidad asociados a la reparación de fallas que afecten a los usuarios residenciales o comerciales, se tiene el siguiente alcance:</w:t>
      </w:r>
    </w:p>
    <w:p w14:paraId="5D56A073" w14:textId="7F990E48" w:rsidR="00394A75" w:rsidRPr="00422CA2" w:rsidRDefault="00394A75" w:rsidP="00BC6E66">
      <w:pPr>
        <w:pStyle w:val="Default"/>
        <w:numPr>
          <w:ilvl w:val="0"/>
          <w:numId w:val="106"/>
        </w:numPr>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Total de reparaciones atendidas dentro del día hábil siguiente a la recepción de la queja, del total de reportes levantados. Objetivo </w:t>
      </w:r>
      <w:r w:rsidR="00EA59A5" w:rsidRPr="00422CA2">
        <w:rPr>
          <w:rFonts w:ascii="ITC Avant Garde" w:hAnsi="ITC Avant Garde"/>
          <w:color w:val="auto"/>
          <w:sz w:val="22"/>
          <w:szCs w:val="22"/>
          <w:lang w:val="es-MX"/>
        </w:rPr>
        <w:t>85</w:t>
      </w:r>
      <w:r w:rsidRPr="00422CA2">
        <w:rPr>
          <w:rFonts w:ascii="ITC Avant Garde" w:hAnsi="ITC Avant Garde"/>
          <w:color w:val="auto"/>
          <w:sz w:val="22"/>
          <w:szCs w:val="22"/>
          <w:lang w:val="es-MX"/>
        </w:rPr>
        <w:t xml:space="preserve"> % </w:t>
      </w:r>
    </w:p>
    <w:p w14:paraId="5F56376A" w14:textId="26E51CD7" w:rsidR="00394A75" w:rsidRPr="00422CA2" w:rsidRDefault="00394A75" w:rsidP="00BC6E66">
      <w:pPr>
        <w:pStyle w:val="Default"/>
        <w:numPr>
          <w:ilvl w:val="0"/>
          <w:numId w:val="106"/>
        </w:numPr>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Total de reparaciones atendidas dentro de los </w:t>
      </w:r>
      <w:r w:rsidR="003138FF" w:rsidRPr="00422CA2">
        <w:rPr>
          <w:rFonts w:ascii="ITC Avant Garde" w:hAnsi="ITC Avant Garde"/>
          <w:color w:val="auto"/>
          <w:sz w:val="22"/>
          <w:szCs w:val="22"/>
          <w:lang w:val="es-MX"/>
        </w:rPr>
        <w:t>tres</w:t>
      </w:r>
      <w:r w:rsidRPr="00422CA2">
        <w:rPr>
          <w:rFonts w:ascii="ITC Avant Garde" w:hAnsi="ITC Avant Garde"/>
          <w:color w:val="auto"/>
          <w:sz w:val="22"/>
          <w:szCs w:val="22"/>
          <w:lang w:val="es-MX"/>
        </w:rPr>
        <w:t xml:space="preserve"> días hábiles siguientes a la recepción de la queja, del total de reportes levantados. Objetivo </w:t>
      </w:r>
      <w:r w:rsidR="00EA59A5" w:rsidRPr="00422CA2">
        <w:rPr>
          <w:rFonts w:ascii="ITC Avant Garde" w:hAnsi="ITC Avant Garde"/>
          <w:color w:val="auto"/>
          <w:sz w:val="22"/>
          <w:szCs w:val="22"/>
          <w:lang w:val="es-MX"/>
        </w:rPr>
        <w:t>95</w:t>
      </w:r>
      <w:r w:rsidRPr="00422CA2">
        <w:rPr>
          <w:rFonts w:ascii="ITC Avant Garde" w:hAnsi="ITC Avant Garde"/>
          <w:color w:val="auto"/>
          <w:sz w:val="22"/>
          <w:szCs w:val="22"/>
          <w:lang w:val="es-MX"/>
        </w:rPr>
        <w:t xml:space="preserve">% </w:t>
      </w:r>
    </w:p>
    <w:p w14:paraId="0998BCF8" w14:textId="7D6AA388" w:rsidR="00394A75" w:rsidRPr="00422CA2" w:rsidRDefault="00394A75" w:rsidP="00BC6E66">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Para los casos anteriores, la reparación de fallas para el </w:t>
      </w:r>
      <w:r w:rsidR="00EA59A5"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de reportes restante no excederá de 10 días hábiles siguientes a la recepción de la queja.</w:t>
      </w:r>
    </w:p>
    <w:p w14:paraId="75213C8D" w14:textId="77777777"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realizar las mediciones de estos indicadores, se considerarán los reportes levantados en un horario de 8:00 a 14:00 horas, aquellos que se reciban después de ese horario, se contabilizarán para el día hábil siguiente.</w:t>
      </w:r>
    </w:p>
    <w:p w14:paraId="171CD78C" w14:textId="77777777" w:rsidR="00394A75" w:rsidRPr="00422CA2" w:rsidRDefault="00394A75" w:rsidP="00BC6E66">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4885E61B" w14:textId="77777777" w:rsidR="00394A75" w:rsidRPr="00422CA2" w:rsidRDefault="00394A75" w:rsidP="00BC6E66">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cálculo de los indicadores de reparación de fallas, se calcula de la siguiente forma, y se mide para reparaciones en 1, 3 y 10 días hábiles posteriores a la recepción de la queja: </w:t>
      </w:r>
    </w:p>
    <w:p w14:paraId="5B4CF569" w14:textId="3E90370D" w:rsidR="00394A75" w:rsidRPr="00422CA2" w:rsidRDefault="00394A75" w:rsidP="00394A75">
      <w:pPr>
        <w:spacing w:after="200" w:line="276" w:lineRule="auto"/>
        <w:jc w:val="both"/>
        <w:rPr>
          <w:rFonts w:ascii="ITC Avant Garde" w:hAnsi="ITC Avant Garde"/>
          <w:sz w:val="22"/>
          <w:szCs w:val="22"/>
        </w:rPr>
      </w:pPr>
      <w:r w:rsidRPr="00422CA2">
        <w:rPr>
          <w:rFonts w:ascii="ITC Avant Garde" w:hAnsi="ITC Avant Garde" w:cstheme="minorHAnsi"/>
          <w:b/>
          <w:sz w:val="22"/>
          <w:szCs w:val="22"/>
        </w:rPr>
        <w:t xml:space="preserve">Reparación de líneas: </w:t>
      </w:r>
      <w:r w:rsidRPr="00422CA2">
        <w:rPr>
          <w:rFonts w:ascii="ITC Avant Garde" w:hAnsi="ITC Avant Garde" w:cstheme="minorHAnsi"/>
          <w:sz w:val="22"/>
          <w:szCs w:val="22"/>
        </w:rPr>
        <w:t>porcentaje de las fallas reportadas, que son atendidas dentro del plazo a medir (1,</w:t>
      </w:r>
      <w:r w:rsidR="00A558F9" w:rsidRPr="00422CA2">
        <w:rPr>
          <w:rFonts w:ascii="ITC Avant Garde" w:hAnsi="ITC Avant Garde" w:cstheme="minorHAnsi"/>
          <w:sz w:val="22"/>
          <w:szCs w:val="22"/>
        </w:rPr>
        <w:t xml:space="preserve"> </w:t>
      </w:r>
      <w:r w:rsidRPr="00422CA2">
        <w:rPr>
          <w:rFonts w:ascii="ITC Avant Garde" w:hAnsi="ITC Avant Garde" w:cstheme="minorHAnsi"/>
          <w:sz w:val="22"/>
          <w:szCs w:val="22"/>
        </w:rPr>
        <w:t>3, 10 días hábiles siguientes a la recepción de la queja), durante el trimestre.</w:t>
      </w:r>
    </w:p>
    <w:p w14:paraId="2481B25E" w14:textId="77777777" w:rsidR="00394A75" w:rsidRPr="00422CA2" w:rsidRDefault="00394A75" w:rsidP="00BC6E66">
      <w:pPr>
        <w:autoSpaceDE w:val="0"/>
        <w:autoSpaceDN w:val="0"/>
        <w:adjustRightInd w:val="0"/>
        <w:spacing w:line="276" w:lineRule="auto"/>
        <w:jc w:val="both"/>
        <w:rPr>
          <w:rFonts w:ascii="ITC Avant Garde" w:hAnsi="ITC Avant Garde"/>
          <w:i/>
          <w:sz w:val="22"/>
          <w:szCs w:val="22"/>
          <w:lang w:val="es-MX"/>
        </w:rPr>
      </w:pPr>
    </w:p>
    <w:p w14:paraId="0092559B" w14:textId="77777777" w:rsidR="00394A75" w:rsidRPr="00422CA2" w:rsidRDefault="00394A75" w:rsidP="00BC6E66">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i/>
          <w:sz w:val="22"/>
          <w:szCs w:val="22"/>
          <w:lang w:val="es-MX"/>
        </w:rPr>
        <w:t xml:space="preserve">Reparación de Fallas </w:t>
      </w:r>
      <w:r w:rsidRPr="00422CA2">
        <w:rPr>
          <w:rFonts w:ascii="ITC Avant Garde" w:hAnsi="ITC Avant Garde"/>
          <w:sz w:val="22"/>
          <w:szCs w:val="22"/>
          <w:lang w:val="es-MX"/>
        </w:rPr>
        <w:t xml:space="preserve">= </w:t>
      </w:r>
      <m:oMath>
        <m:f>
          <m:fPr>
            <m:ctrlPr>
              <w:rPr>
                <w:rFonts w:ascii="Cambria Math" w:hAnsi="Cambria Math"/>
                <w:i/>
                <w:sz w:val="22"/>
                <w:szCs w:val="22"/>
                <w:lang w:val="es-MX"/>
              </w:rPr>
            </m:ctrlPr>
          </m:fPr>
          <m:num>
            <m:r>
              <w:rPr>
                <w:rFonts w:ascii="Cambria Math" w:hAnsi="Cambria Math"/>
                <w:sz w:val="22"/>
                <w:szCs w:val="22"/>
                <w:lang w:val="es-MX"/>
              </w:rPr>
              <m:t>Fallas efectivas reparadas en el plazo a medir en  días hábiles</m:t>
            </m:r>
          </m:num>
          <m:den>
            <m:r>
              <w:rPr>
                <w:rFonts w:ascii="Cambria Math" w:hAnsi="Cambria Math"/>
                <w:sz w:val="22"/>
                <w:szCs w:val="22"/>
                <w:lang w:val="es-MX"/>
              </w:rPr>
              <m:t>Fallas Efectivas</m:t>
            </m:r>
          </m:den>
        </m:f>
        <m:r>
          <w:rPr>
            <w:rFonts w:ascii="Cambria Math" w:hAnsi="Cambria Math"/>
            <w:sz w:val="22"/>
            <w:szCs w:val="22"/>
            <w:lang w:val="es-MX"/>
          </w:rPr>
          <m:t xml:space="preserve"> x 100</m:t>
        </m:r>
      </m:oMath>
    </w:p>
    <w:p w14:paraId="08EADDB3" w14:textId="77777777" w:rsidR="00394A75" w:rsidRPr="00422CA2" w:rsidRDefault="00394A75" w:rsidP="00BC6E66">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Donde: </w:t>
      </w:r>
    </w:p>
    <w:p w14:paraId="11E35226" w14:textId="691AA8B2" w:rsidR="00F966D4" w:rsidRPr="00422CA2" w:rsidRDefault="00394A75" w:rsidP="00BC6E66">
      <w:pPr>
        <w:spacing w:after="200" w:line="276" w:lineRule="auto"/>
        <w:jc w:val="both"/>
        <w:rPr>
          <w:rFonts w:ascii="ITC Avant Garde" w:hAnsi="ITC Avant Garde" w:cstheme="minorHAnsi"/>
          <w:sz w:val="22"/>
          <w:szCs w:val="22"/>
        </w:rPr>
      </w:pPr>
      <w:r w:rsidRPr="00422CA2">
        <w:rPr>
          <w:rFonts w:ascii="ITC Avant Garde" w:hAnsi="ITC Avant Garde"/>
          <w:i/>
          <w:sz w:val="22"/>
          <w:szCs w:val="22"/>
          <w:lang w:val="es-MX"/>
        </w:rPr>
        <w:lastRenderedPageBreak/>
        <w:t xml:space="preserve">Fallas efectivas reparadas en el plazo a medir (días hábiles) = </w:t>
      </w:r>
      <w:r w:rsidRPr="00422CA2">
        <w:rPr>
          <w:rFonts w:ascii="ITC Avant Garde" w:hAnsi="ITC Avant Garde" w:cstheme="minorHAnsi"/>
          <w:sz w:val="22"/>
          <w:szCs w:val="22"/>
        </w:rPr>
        <w:t xml:space="preserve">Es la cantidad de fallas reparadas dentro del plazo que interesa medir, en este caso serán 1, 3 y 10 días hábiles siguientes a la recepción de la queja conforme a los procedimientos formales de Telmex. </w:t>
      </w:r>
      <w:r w:rsidR="00F966D4" w:rsidRPr="00422CA2">
        <w:rPr>
          <w:rFonts w:ascii="ITC Avant Garde" w:hAnsi="ITC Avant Garde" w:cstheme="minorHAnsi"/>
          <w:sz w:val="22"/>
          <w:szCs w:val="22"/>
        </w:rPr>
        <w:t>En esta variable se eliminan las quejas debidas a fallas provocadas por fenómenos no previsibles o de fuerza mayor</w:t>
      </w:r>
      <w:r w:rsidR="00FF79FF" w:rsidRPr="00422CA2">
        <w:rPr>
          <w:rFonts w:ascii="ITC Avant Garde" w:hAnsi="ITC Avant Garde" w:cstheme="minorHAnsi"/>
          <w:sz w:val="22"/>
          <w:szCs w:val="22"/>
        </w:rPr>
        <w:t>,</w:t>
      </w:r>
      <w:r w:rsidR="00F966D4" w:rsidRPr="00422CA2">
        <w:rPr>
          <w:rFonts w:ascii="ITC Avant Garde" w:hAnsi="ITC Avant Garde" w:cstheme="minorHAnsi"/>
          <w:sz w:val="22"/>
          <w:szCs w:val="22"/>
        </w:rPr>
        <w:t xml:space="preserve"> además de las fallas en la red bajo responsabilidad del cliente.</w:t>
      </w:r>
    </w:p>
    <w:p w14:paraId="0290545E" w14:textId="58338D0A" w:rsidR="00F966D4" w:rsidRPr="00422CA2" w:rsidRDefault="00394A75" w:rsidP="00BC6E66">
      <w:pPr>
        <w:spacing w:after="200" w:line="276" w:lineRule="auto"/>
        <w:jc w:val="both"/>
        <w:rPr>
          <w:rFonts w:ascii="ITC Avant Garde" w:hAnsi="ITC Avant Garde" w:cstheme="minorHAnsi"/>
          <w:sz w:val="22"/>
          <w:szCs w:val="22"/>
        </w:rPr>
      </w:pPr>
      <w:r w:rsidRPr="00422CA2">
        <w:rPr>
          <w:rFonts w:ascii="ITC Avant Garde" w:hAnsi="ITC Avant Garde"/>
          <w:i/>
          <w:sz w:val="22"/>
          <w:szCs w:val="22"/>
          <w:lang w:val="es-MX"/>
        </w:rPr>
        <w:t>Fallas Efectivas</w:t>
      </w:r>
      <w:r w:rsidRPr="00422CA2">
        <w:rPr>
          <w:rFonts w:ascii="ITC Avant Garde" w:hAnsi="ITC Avant Garde"/>
          <w:sz w:val="22"/>
          <w:szCs w:val="22"/>
          <w:lang w:val="es-MX"/>
        </w:rPr>
        <w:t xml:space="preserve"> = </w:t>
      </w:r>
      <w:r w:rsidRPr="00422CA2">
        <w:rPr>
          <w:rFonts w:ascii="ITC Avant Garde" w:hAnsi="ITC Avant Garde" w:cstheme="minorHAnsi"/>
          <w:sz w:val="22"/>
          <w:szCs w:val="22"/>
        </w:rPr>
        <w:t xml:space="preserve">Cantidad de reportes de fallas recibidos </w:t>
      </w:r>
      <w:r w:rsidR="00F966D4" w:rsidRPr="00422CA2">
        <w:rPr>
          <w:rFonts w:ascii="ITC Avant Garde" w:hAnsi="ITC Avant Garde" w:cstheme="minorHAnsi"/>
          <w:sz w:val="22"/>
          <w:szCs w:val="22"/>
        </w:rPr>
        <w:t>excepto las quejas debidas a fallas provocadas por fenómenos no previsibles o de fuerza mayor, además de las fallas en la red bajo responsabilidad del cliente.</w:t>
      </w:r>
    </w:p>
    <w:p w14:paraId="3D19E871" w14:textId="77777777" w:rsidR="00394A75" w:rsidRPr="00422CA2" w:rsidRDefault="00394A75" w:rsidP="00BC6E66">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Indicador para Disponibilidad</w:t>
      </w:r>
    </w:p>
    <w:p w14:paraId="25F71A8F" w14:textId="0E223AFD" w:rsidR="00394A75" w:rsidRPr="00422CA2" w:rsidRDefault="00394A75"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indicador de disponibilidad establece el porcentaje del tiempo durante el cual, el servicio se encuentra en operación normal respecto del tiempo total de medición. La meta de cumplimiento de este indicador es del </w:t>
      </w:r>
      <w:r w:rsidR="00C12B1B" w:rsidRPr="00422CA2">
        <w:rPr>
          <w:rFonts w:ascii="ITC Avant Garde" w:hAnsi="ITC Avant Garde"/>
          <w:sz w:val="22"/>
          <w:szCs w:val="22"/>
          <w:lang w:val="es-MX"/>
        </w:rPr>
        <w:t>99.5</w:t>
      </w:r>
      <w:r w:rsidRPr="00422CA2">
        <w:rPr>
          <w:rFonts w:ascii="ITC Avant Garde" w:hAnsi="ITC Avant Garde"/>
          <w:sz w:val="22"/>
          <w:szCs w:val="22"/>
          <w:lang w:val="es-MX"/>
        </w:rPr>
        <w:t>% al trimestre</w:t>
      </w:r>
      <w:r w:rsidR="00C12B1B" w:rsidRPr="00422CA2">
        <w:rPr>
          <w:rFonts w:ascii="ITC Avant Garde" w:hAnsi="ITC Avant Garde"/>
          <w:sz w:val="22"/>
          <w:szCs w:val="22"/>
          <w:lang w:val="es-MX"/>
        </w:rPr>
        <w:t>.</w:t>
      </w:r>
    </w:p>
    <w:p w14:paraId="2BE07FC9" w14:textId="77777777" w:rsidR="00394A75" w:rsidRPr="00422CA2" w:rsidRDefault="00394A75" w:rsidP="00BC6E66">
      <w:pPr>
        <w:spacing w:after="200" w:line="276" w:lineRule="auto"/>
        <w:jc w:val="both"/>
        <w:rPr>
          <w:rFonts w:ascii="ITC Avant Garde" w:hAnsi="ITC Avant Garde"/>
          <w:b/>
          <w:bCs/>
          <w:sz w:val="22"/>
          <w:szCs w:val="22"/>
        </w:rPr>
      </w:pPr>
      <w:r w:rsidRPr="00422CA2">
        <w:rPr>
          <w:rFonts w:ascii="ITC Avant Garde" w:hAnsi="ITC Avant Garde"/>
          <w:b/>
          <w:bCs/>
          <w:sz w:val="22"/>
          <w:szCs w:val="22"/>
        </w:rPr>
        <w:t>Metodología</w:t>
      </w:r>
    </w:p>
    <w:p w14:paraId="5E931A35"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El indicador se calcula considerando el número de líneas en servicio durante el periodo de medición, menos las fallas efectivas reportadas por el tiempo de interrupción del servicio, respecto del total de líneas en servicio durante dicho período de medición.</w:t>
      </w:r>
    </w:p>
    <w:p w14:paraId="4C615B70" w14:textId="77777777" w:rsidR="00394A75" w:rsidRPr="00422CA2" w:rsidRDefault="00394A75" w:rsidP="00BC6E66">
      <w:pPr>
        <w:spacing w:line="276" w:lineRule="auto"/>
        <w:jc w:val="both"/>
        <w:rPr>
          <w:rFonts w:ascii="ITC Avant Garde" w:hAnsi="ITC Avant Garde"/>
          <w:sz w:val="22"/>
          <w:szCs w:val="22"/>
        </w:rPr>
      </w:pPr>
    </w:p>
    <w:p w14:paraId="4DFDBF03" w14:textId="77777777" w:rsidR="00394A75" w:rsidRPr="00422CA2" w:rsidRDefault="00394A75" w:rsidP="00BC6E66">
      <w:pPr>
        <w:autoSpaceDE w:val="0"/>
        <w:autoSpaceDN w:val="0"/>
        <w:spacing w:after="200" w:line="276" w:lineRule="auto"/>
        <w:jc w:val="both"/>
        <w:rPr>
          <w:rFonts w:ascii="ITC Avant Garde" w:hAnsi="ITC Avant Garde"/>
          <w:sz w:val="22"/>
          <w:szCs w:val="22"/>
        </w:rPr>
      </w:pPr>
      <w:r w:rsidRPr="00422CA2">
        <w:rPr>
          <w:rFonts w:ascii="ITC Avant Garde" w:hAnsi="ITC Avant Garde"/>
          <w:i/>
          <w:iCs/>
          <w:sz w:val="22"/>
          <w:szCs w:val="22"/>
        </w:rPr>
        <w:t xml:space="preserve">Disponibilidad </w:t>
      </w:r>
      <w:r w:rsidRPr="00422CA2">
        <w:rPr>
          <w:rFonts w:ascii="ITC Avant Garde" w:hAnsi="ITC Avant Garde"/>
          <w:sz w:val="22"/>
          <w:szCs w:val="22"/>
        </w:rPr>
        <w:t xml:space="preserve">= </w:t>
      </w:r>
      <m:oMath>
        <m:f>
          <m:fPr>
            <m:ctrlPr>
              <w:rPr>
                <w:rFonts w:ascii="Cambria Math" w:eastAsiaTheme="minorHAnsi" w:hAnsi="Cambria Math"/>
                <w:i/>
                <w:iCs/>
                <w:sz w:val="22"/>
                <w:szCs w:val="22"/>
              </w:rPr>
            </m:ctrlPr>
          </m:fPr>
          <m:num>
            <m:d>
              <m:dPr>
                <m:ctrlPr>
                  <w:rPr>
                    <w:rFonts w:ascii="Cambria Math" w:eastAsiaTheme="minorHAnsi" w:hAnsi="Cambria Math"/>
                    <w:i/>
                    <w:iCs/>
                    <w:sz w:val="22"/>
                    <w:szCs w:val="22"/>
                  </w:rPr>
                </m:ctrlPr>
              </m:dPr>
              <m:e>
                <m:r>
                  <w:rPr>
                    <w:rFonts w:ascii="Cambria Math" w:hAnsi="Cambria Math"/>
                    <w:sz w:val="22"/>
                    <w:szCs w:val="22"/>
                  </w:rPr>
                  <m:t>Total de líneas en servicio x Periodo de Medición</m:t>
                </m:r>
              </m:e>
            </m:d>
            <m:r>
              <w:rPr>
                <w:rFonts w:ascii="Cambria Math" w:hAnsi="Cambria Math"/>
                <w:sz w:val="22"/>
                <w:szCs w:val="22"/>
              </w:rPr>
              <m:t>-(Fallas Efectivas x Tiempo de Interrupción)</m:t>
            </m:r>
          </m:num>
          <m:den>
            <m:r>
              <w:rPr>
                <w:rFonts w:ascii="Cambria Math" w:hAnsi="Cambria Math"/>
                <w:sz w:val="22"/>
                <w:szCs w:val="22"/>
              </w:rPr>
              <m:t>Total de líneas en servicio x Periodo de Medición</m:t>
            </m:r>
          </m:den>
        </m:f>
        <m:r>
          <w:rPr>
            <w:rFonts w:ascii="Cambria Math" w:hAnsi="Cambria Math"/>
            <w:sz w:val="22"/>
            <w:szCs w:val="22"/>
          </w:rPr>
          <m:t xml:space="preserve"> x 100</m:t>
        </m:r>
      </m:oMath>
    </w:p>
    <w:p w14:paraId="2456FD55" w14:textId="77777777" w:rsidR="00394A75" w:rsidRPr="00422CA2" w:rsidRDefault="00394A75" w:rsidP="00BF2AEC">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de Calidad para Pruebas del Servicio</w:t>
      </w:r>
    </w:p>
    <w:p w14:paraId="43912A3B" w14:textId="77777777" w:rsidR="00394A75" w:rsidRPr="00422CA2" w:rsidRDefault="00394A75" w:rsidP="00BF2AEC">
      <w:pPr>
        <w:autoSpaceDE w:val="0"/>
        <w:autoSpaceDN w:val="0"/>
        <w:adjustRightInd w:val="0"/>
        <w:spacing w:after="200" w:line="276" w:lineRule="auto"/>
        <w:ind w:firstLine="708"/>
        <w:jc w:val="both"/>
        <w:rPr>
          <w:rFonts w:ascii="ITC Avant Garde" w:hAnsi="ITC Avant Garde"/>
          <w:b/>
          <w:sz w:val="22"/>
          <w:szCs w:val="22"/>
          <w:lang w:val="es-MX"/>
        </w:rPr>
      </w:pPr>
      <w:r w:rsidRPr="00422CA2">
        <w:rPr>
          <w:rFonts w:ascii="ITC Avant Garde" w:hAnsi="ITC Avant Garde"/>
          <w:b/>
          <w:sz w:val="22"/>
          <w:szCs w:val="22"/>
          <w:lang w:val="es-MX"/>
        </w:rPr>
        <w:t>Resistencia y Capacitancia</w:t>
      </w:r>
    </w:p>
    <w:p w14:paraId="330DFCA4" w14:textId="4D2A4EE7" w:rsidR="00394A75" w:rsidRPr="00422CA2" w:rsidRDefault="00394A75" w:rsidP="00BF2AEC">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Referente a los parámetros de calidad que deben de cumplirse al momento de la habilitación de los Servicios de </w:t>
      </w:r>
      <w:r w:rsidR="00EF32DA" w:rsidRPr="00422CA2">
        <w:rPr>
          <w:rFonts w:ascii="ITC Avant Garde" w:hAnsi="ITC Avant Garde"/>
          <w:sz w:val="22"/>
          <w:szCs w:val="22"/>
          <w:lang w:val="es-MX"/>
        </w:rPr>
        <w:t>SAIB</w:t>
      </w:r>
      <w:r w:rsidRPr="00422CA2">
        <w:rPr>
          <w:rFonts w:ascii="ITC Avant Garde" w:hAnsi="ITC Avant Garde"/>
          <w:sz w:val="22"/>
          <w:szCs w:val="22"/>
          <w:lang w:val="es-MX"/>
        </w:rPr>
        <w:t>, se miden los siguientes parámetros eléctricos, los cuales se consideran adecuados si la medición resultante de la prueba queda dentro de los valores indicados en la siguiente tabla: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6"/>
        <w:gridCol w:w="3186"/>
        <w:gridCol w:w="2167"/>
      </w:tblGrid>
      <w:tr w:rsidR="00422CA2" w:rsidRPr="00422CA2" w14:paraId="43E23E0C" w14:textId="77777777" w:rsidTr="00F71B4A">
        <w:trPr>
          <w:jc w:val="center"/>
        </w:trPr>
        <w:tc>
          <w:tcPr>
            <w:tcW w:w="3036" w:type="dxa"/>
            <w:shd w:val="clear" w:color="auto" w:fill="548DD4"/>
            <w:vAlign w:val="center"/>
          </w:tcPr>
          <w:p w14:paraId="3AA1E5F0" w14:textId="77777777" w:rsidR="00394A75" w:rsidRPr="00422CA2" w:rsidRDefault="00394A75" w:rsidP="00BF2AEC">
            <w:pPr>
              <w:spacing w:before="60" w:after="60" w:line="276" w:lineRule="auto"/>
              <w:jc w:val="both"/>
              <w:rPr>
                <w:rFonts w:ascii="ITC Avant Garde" w:hAnsi="ITC Avant Garde"/>
                <w:b/>
                <w:sz w:val="20"/>
                <w:szCs w:val="20"/>
                <w:lang w:val="es-MX"/>
              </w:rPr>
            </w:pPr>
            <w:r w:rsidRPr="00422CA2">
              <w:rPr>
                <w:rFonts w:ascii="ITC Avant Garde" w:hAnsi="ITC Avant Garde"/>
                <w:b/>
                <w:sz w:val="20"/>
                <w:szCs w:val="20"/>
                <w:lang w:val="es-MX"/>
              </w:rPr>
              <w:t>Parámetro</w:t>
            </w:r>
          </w:p>
        </w:tc>
        <w:tc>
          <w:tcPr>
            <w:tcW w:w="3186" w:type="dxa"/>
            <w:shd w:val="clear" w:color="auto" w:fill="548DD4"/>
            <w:vAlign w:val="center"/>
          </w:tcPr>
          <w:p w14:paraId="6FFEF12A" w14:textId="77777777" w:rsidR="00394A75" w:rsidRPr="00422CA2" w:rsidRDefault="00394A75" w:rsidP="00BF2AEC">
            <w:pPr>
              <w:spacing w:before="60" w:after="60" w:line="276" w:lineRule="auto"/>
              <w:jc w:val="both"/>
              <w:rPr>
                <w:rFonts w:ascii="ITC Avant Garde" w:hAnsi="ITC Avant Garde"/>
                <w:b/>
                <w:sz w:val="20"/>
                <w:szCs w:val="20"/>
                <w:lang w:val="es-MX"/>
              </w:rPr>
            </w:pPr>
            <w:r w:rsidRPr="00422CA2">
              <w:rPr>
                <w:rFonts w:ascii="ITC Avant Garde" w:hAnsi="ITC Avant Garde"/>
                <w:b/>
                <w:sz w:val="20"/>
                <w:szCs w:val="20"/>
                <w:lang w:val="es-MX"/>
              </w:rPr>
              <w:t>Medición entre puntos (hilos)</w:t>
            </w:r>
          </w:p>
        </w:tc>
        <w:tc>
          <w:tcPr>
            <w:tcW w:w="2167" w:type="dxa"/>
            <w:shd w:val="clear" w:color="auto" w:fill="548DD4"/>
            <w:vAlign w:val="center"/>
          </w:tcPr>
          <w:p w14:paraId="2276D551" w14:textId="77777777" w:rsidR="00394A75" w:rsidRPr="00422CA2" w:rsidRDefault="00394A75" w:rsidP="00BF2AEC">
            <w:pPr>
              <w:spacing w:before="60" w:after="60" w:line="276" w:lineRule="auto"/>
              <w:jc w:val="both"/>
              <w:rPr>
                <w:rFonts w:ascii="ITC Avant Garde" w:hAnsi="ITC Avant Garde"/>
                <w:b/>
                <w:sz w:val="20"/>
                <w:szCs w:val="20"/>
                <w:lang w:val="es-MX"/>
              </w:rPr>
            </w:pPr>
            <w:r w:rsidRPr="00422CA2">
              <w:rPr>
                <w:rFonts w:ascii="ITC Avant Garde" w:hAnsi="ITC Avant Garde"/>
                <w:b/>
                <w:sz w:val="20"/>
                <w:szCs w:val="20"/>
                <w:lang w:val="es-MX"/>
              </w:rPr>
              <w:t>Valor Aceptable</w:t>
            </w:r>
          </w:p>
        </w:tc>
      </w:tr>
      <w:tr w:rsidR="00422CA2" w:rsidRPr="00422CA2" w14:paraId="4866DF8C" w14:textId="77777777" w:rsidTr="00F71B4A">
        <w:trPr>
          <w:jc w:val="center"/>
        </w:trPr>
        <w:tc>
          <w:tcPr>
            <w:tcW w:w="3036" w:type="dxa"/>
            <w:vMerge w:val="restart"/>
            <w:vAlign w:val="center"/>
          </w:tcPr>
          <w:p w14:paraId="59731FFC" w14:textId="77777777" w:rsidR="00394A75" w:rsidRPr="00422CA2" w:rsidRDefault="00394A75" w:rsidP="00BF2AE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t>Resistencia de aislamiento</w:t>
            </w:r>
          </w:p>
        </w:tc>
        <w:tc>
          <w:tcPr>
            <w:tcW w:w="3186" w:type="dxa"/>
          </w:tcPr>
          <w:p w14:paraId="309EE748"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vMerge w:val="restart"/>
            <w:vAlign w:val="center"/>
          </w:tcPr>
          <w:p w14:paraId="5B1B7BBD"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Mayor a 1 Mohms</w:t>
            </w:r>
          </w:p>
        </w:tc>
      </w:tr>
      <w:tr w:rsidR="00422CA2" w:rsidRPr="00422CA2" w14:paraId="348B7020" w14:textId="77777777" w:rsidTr="00F71B4A">
        <w:trPr>
          <w:jc w:val="center"/>
        </w:trPr>
        <w:tc>
          <w:tcPr>
            <w:tcW w:w="3036" w:type="dxa"/>
            <w:vMerge/>
          </w:tcPr>
          <w:p w14:paraId="2D9AC831" w14:textId="77777777" w:rsidR="00394A75" w:rsidRPr="00422CA2" w:rsidRDefault="00394A75" w:rsidP="00BF2AEC">
            <w:pPr>
              <w:spacing w:before="60" w:after="60" w:line="276" w:lineRule="auto"/>
              <w:jc w:val="both"/>
              <w:rPr>
                <w:rFonts w:ascii="ITC Avant Garde" w:hAnsi="ITC Avant Garde"/>
                <w:sz w:val="20"/>
                <w:szCs w:val="20"/>
                <w:lang w:val="es-MX"/>
              </w:rPr>
            </w:pPr>
          </w:p>
        </w:tc>
        <w:tc>
          <w:tcPr>
            <w:tcW w:w="3186" w:type="dxa"/>
          </w:tcPr>
          <w:p w14:paraId="25FEBA79"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vMerge/>
          </w:tcPr>
          <w:p w14:paraId="3844700D" w14:textId="77777777" w:rsidR="00394A75" w:rsidRPr="00422CA2" w:rsidRDefault="00394A75" w:rsidP="00BF2AEC">
            <w:pPr>
              <w:spacing w:before="60" w:after="60" w:line="276" w:lineRule="auto"/>
              <w:jc w:val="center"/>
              <w:rPr>
                <w:rFonts w:ascii="ITC Avant Garde" w:hAnsi="ITC Avant Garde"/>
                <w:sz w:val="20"/>
                <w:szCs w:val="20"/>
                <w:lang w:val="es-MX"/>
              </w:rPr>
            </w:pPr>
          </w:p>
        </w:tc>
      </w:tr>
      <w:tr w:rsidR="00422CA2" w:rsidRPr="00422CA2" w14:paraId="33074902" w14:textId="77777777" w:rsidTr="00F71B4A">
        <w:trPr>
          <w:jc w:val="center"/>
        </w:trPr>
        <w:tc>
          <w:tcPr>
            <w:tcW w:w="3036" w:type="dxa"/>
            <w:vMerge/>
          </w:tcPr>
          <w:p w14:paraId="64594773" w14:textId="77777777" w:rsidR="00394A75" w:rsidRPr="00422CA2" w:rsidRDefault="00394A75" w:rsidP="00BF2AEC">
            <w:pPr>
              <w:spacing w:before="60" w:after="60" w:line="276" w:lineRule="auto"/>
              <w:jc w:val="both"/>
              <w:rPr>
                <w:rFonts w:ascii="ITC Avant Garde" w:hAnsi="ITC Avant Garde"/>
                <w:sz w:val="20"/>
                <w:szCs w:val="20"/>
                <w:lang w:val="es-MX"/>
              </w:rPr>
            </w:pPr>
          </w:p>
        </w:tc>
        <w:tc>
          <w:tcPr>
            <w:tcW w:w="3186" w:type="dxa"/>
          </w:tcPr>
          <w:p w14:paraId="50170016"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vMerge/>
          </w:tcPr>
          <w:p w14:paraId="1D6B28C1" w14:textId="77777777" w:rsidR="00394A75" w:rsidRPr="00422CA2" w:rsidRDefault="00394A75" w:rsidP="00BF2AEC">
            <w:pPr>
              <w:spacing w:before="60" w:after="60" w:line="276" w:lineRule="auto"/>
              <w:jc w:val="center"/>
              <w:rPr>
                <w:rFonts w:ascii="ITC Avant Garde" w:hAnsi="ITC Avant Garde"/>
                <w:sz w:val="20"/>
                <w:szCs w:val="20"/>
                <w:lang w:val="es-MX"/>
              </w:rPr>
            </w:pPr>
          </w:p>
        </w:tc>
      </w:tr>
      <w:tr w:rsidR="00422CA2" w:rsidRPr="00422CA2" w14:paraId="1CB0988D" w14:textId="77777777" w:rsidTr="00F71B4A">
        <w:trPr>
          <w:trHeight w:val="275"/>
          <w:jc w:val="center"/>
        </w:trPr>
        <w:tc>
          <w:tcPr>
            <w:tcW w:w="3036" w:type="dxa"/>
            <w:vMerge w:val="restart"/>
            <w:vAlign w:val="center"/>
          </w:tcPr>
          <w:p w14:paraId="3988A3D9" w14:textId="77777777" w:rsidR="00394A75" w:rsidRPr="00422CA2" w:rsidRDefault="00394A75" w:rsidP="00BF2AE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lastRenderedPageBreak/>
              <w:t xml:space="preserve">Capacitancia </w:t>
            </w:r>
          </w:p>
        </w:tc>
        <w:tc>
          <w:tcPr>
            <w:tcW w:w="3186" w:type="dxa"/>
          </w:tcPr>
          <w:p w14:paraId="4A0298AB"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tcPr>
          <w:p w14:paraId="60A7B3FB"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52.5 nF</w:t>
            </w:r>
            <w:r w:rsidRPr="00422CA2">
              <w:rPr>
                <w:rFonts w:ascii="ITC Avant Garde" w:hAnsi="ITC Avant Garde"/>
                <w:sz w:val="20"/>
                <w:szCs w:val="20"/>
                <w:lang w:val="pt-BR"/>
              </w:rPr>
              <w:t xml:space="preserve">/ Km </w:t>
            </w:r>
            <w:r w:rsidRPr="00422CA2">
              <w:rPr>
                <w:rFonts w:ascii="ITC Avant Garde" w:hAnsi="ITC Avant Garde" w:cs="Arial"/>
                <w:sz w:val="20"/>
                <w:szCs w:val="20"/>
              </w:rPr>
              <w:t>±  5 %</w:t>
            </w:r>
          </w:p>
        </w:tc>
      </w:tr>
      <w:tr w:rsidR="00422CA2" w:rsidRPr="00422CA2" w14:paraId="0D496C39" w14:textId="77777777" w:rsidTr="00F71B4A">
        <w:trPr>
          <w:trHeight w:val="263"/>
          <w:jc w:val="center"/>
        </w:trPr>
        <w:tc>
          <w:tcPr>
            <w:tcW w:w="3036" w:type="dxa"/>
            <w:vMerge/>
            <w:vAlign w:val="center"/>
          </w:tcPr>
          <w:p w14:paraId="3DD91012" w14:textId="77777777" w:rsidR="00394A75" w:rsidRPr="00422CA2" w:rsidRDefault="00394A75" w:rsidP="00BF2AEC">
            <w:pPr>
              <w:spacing w:before="60" w:after="60" w:line="276" w:lineRule="auto"/>
              <w:jc w:val="both"/>
              <w:rPr>
                <w:rFonts w:ascii="ITC Avant Garde" w:hAnsi="ITC Avant Garde"/>
                <w:sz w:val="20"/>
                <w:szCs w:val="20"/>
                <w:lang w:val="es-MX"/>
              </w:rPr>
            </w:pPr>
          </w:p>
        </w:tc>
        <w:tc>
          <w:tcPr>
            <w:tcW w:w="3186" w:type="dxa"/>
          </w:tcPr>
          <w:p w14:paraId="4B4A5AE1"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tcPr>
          <w:p w14:paraId="7E8D497E"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r w:rsidR="00422CA2" w:rsidRPr="00422CA2" w14:paraId="21372AD6" w14:textId="77777777" w:rsidTr="00F71B4A">
        <w:trPr>
          <w:jc w:val="center"/>
        </w:trPr>
        <w:tc>
          <w:tcPr>
            <w:tcW w:w="3036" w:type="dxa"/>
            <w:vMerge/>
            <w:vAlign w:val="center"/>
          </w:tcPr>
          <w:p w14:paraId="54C98D83" w14:textId="77777777" w:rsidR="00394A75" w:rsidRPr="00422CA2" w:rsidRDefault="00394A75" w:rsidP="00BF2AEC">
            <w:pPr>
              <w:spacing w:before="60" w:after="60" w:line="276" w:lineRule="auto"/>
              <w:jc w:val="both"/>
              <w:rPr>
                <w:rFonts w:ascii="ITC Avant Garde" w:hAnsi="ITC Avant Garde"/>
                <w:sz w:val="20"/>
                <w:szCs w:val="20"/>
                <w:lang w:val="es-MX"/>
              </w:rPr>
            </w:pPr>
          </w:p>
        </w:tc>
        <w:tc>
          <w:tcPr>
            <w:tcW w:w="3186" w:type="dxa"/>
          </w:tcPr>
          <w:p w14:paraId="5346CD61"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tcPr>
          <w:p w14:paraId="5E41E691" w14:textId="77777777" w:rsidR="00394A75" w:rsidRPr="00422CA2" w:rsidRDefault="00394A75" w:rsidP="00BF2AEC">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bl>
    <w:p w14:paraId="5C730545" w14:textId="54622CEB" w:rsidR="00394A75" w:rsidRPr="00422CA2" w:rsidRDefault="00397F98" w:rsidP="00A558F9">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16 </w:t>
      </w:r>
      <w:r w:rsidR="00394A75" w:rsidRPr="00422CA2">
        <w:rPr>
          <w:rFonts w:ascii="ITC Avant Garde" w:hAnsi="ITC Avant Garde"/>
          <w:sz w:val="18"/>
          <w:szCs w:val="18"/>
          <w:lang w:val="es-MX"/>
        </w:rPr>
        <w:t>Valores aceptables de resistencia y capacitancia</w:t>
      </w:r>
    </w:p>
    <w:p w14:paraId="201ACEB0" w14:textId="77777777" w:rsidR="00394A75" w:rsidRPr="00422CA2" w:rsidRDefault="00394A75" w:rsidP="00394A75">
      <w:pPr>
        <w:autoSpaceDE w:val="0"/>
        <w:autoSpaceDN w:val="0"/>
        <w:adjustRightInd w:val="0"/>
        <w:spacing w:line="360" w:lineRule="auto"/>
        <w:ind w:firstLine="708"/>
        <w:jc w:val="both"/>
        <w:rPr>
          <w:rFonts w:ascii="ITC Avant Garde" w:hAnsi="ITC Avant Garde"/>
          <w:b/>
          <w:sz w:val="22"/>
          <w:szCs w:val="22"/>
          <w:lang w:val="es-MX"/>
        </w:rPr>
      </w:pPr>
      <w:r w:rsidRPr="00422CA2">
        <w:rPr>
          <w:rFonts w:ascii="ITC Avant Garde" w:hAnsi="ITC Avant Garde"/>
          <w:b/>
          <w:sz w:val="22"/>
          <w:szCs w:val="22"/>
          <w:lang w:val="es-MX"/>
        </w:rPr>
        <w:t>Potencia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6"/>
        <w:gridCol w:w="3186"/>
      </w:tblGrid>
      <w:tr w:rsidR="00422CA2" w:rsidRPr="00422CA2" w14:paraId="32D3F848" w14:textId="77777777" w:rsidTr="00F71B4A">
        <w:trPr>
          <w:jc w:val="center"/>
        </w:trPr>
        <w:tc>
          <w:tcPr>
            <w:tcW w:w="3036" w:type="dxa"/>
            <w:shd w:val="clear" w:color="auto" w:fill="548DD4"/>
            <w:vAlign w:val="center"/>
          </w:tcPr>
          <w:p w14:paraId="3F77FA6C" w14:textId="77777777" w:rsidR="00394A75" w:rsidRPr="00422CA2" w:rsidRDefault="00394A75" w:rsidP="00BF2AEC">
            <w:pPr>
              <w:spacing w:before="60" w:after="60" w:line="276" w:lineRule="auto"/>
              <w:jc w:val="both"/>
              <w:rPr>
                <w:rFonts w:ascii="ITC Avant Garde" w:hAnsi="ITC Avant Garde"/>
                <w:b/>
                <w:sz w:val="20"/>
                <w:szCs w:val="20"/>
                <w:lang w:val="es-MX"/>
              </w:rPr>
            </w:pPr>
            <w:r w:rsidRPr="00422CA2">
              <w:rPr>
                <w:rFonts w:ascii="ITC Avant Garde" w:hAnsi="ITC Avant Garde"/>
                <w:b/>
                <w:sz w:val="20"/>
                <w:szCs w:val="20"/>
                <w:lang w:val="es-MX"/>
              </w:rPr>
              <w:t>Parámetro</w:t>
            </w:r>
          </w:p>
        </w:tc>
        <w:tc>
          <w:tcPr>
            <w:tcW w:w="3186" w:type="dxa"/>
            <w:shd w:val="clear" w:color="auto" w:fill="548DD4"/>
            <w:vAlign w:val="center"/>
          </w:tcPr>
          <w:p w14:paraId="78CEDBD2" w14:textId="77777777" w:rsidR="00394A75" w:rsidRPr="00422CA2" w:rsidRDefault="00394A75" w:rsidP="00BF2AEC">
            <w:pPr>
              <w:spacing w:before="60" w:after="60" w:line="276" w:lineRule="auto"/>
              <w:jc w:val="both"/>
              <w:rPr>
                <w:rFonts w:ascii="ITC Avant Garde" w:hAnsi="ITC Avant Garde"/>
                <w:b/>
                <w:sz w:val="20"/>
                <w:szCs w:val="20"/>
                <w:lang w:val="es-MX"/>
              </w:rPr>
            </w:pPr>
            <w:r w:rsidRPr="00422CA2">
              <w:rPr>
                <w:rFonts w:ascii="ITC Avant Garde" w:hAnsi="ITC Avant Garde"/>
                <w:b/>
                <w:sz w:val="20"/>
                <w:szCs w:val="20"/>
                <w:lang w:val="es-MX"/>
              </w:rPr>
              <w:t>Valor Aceptable</w:t>
            </w:r>
          </w:p>
        </w:tc>
      </w:tr>
      <w:tr w:rsidR="00422CA2" w:rsidRPr="00422CA2" w14:paraId="718237E6" w14:textId="77777777" w:rsidTr="00F71B4A">
        <w:trPr>
          <w:trHeight w:val="275"/>
          <w:jc w:val="center"/>
        </w:trPr>
        <w:tc>
          <w:tcPr>
            <w:tcW w:w="3036" w:type="dxa"/>
            <w:vAlign w:val="center"/>
          </w:tcPr>
          <w:p w14:paraId="08E8B8B4" w14:textId="77777777" w:rsidR="00394A75" w:rsidRPr="00422CA2" w:rsidRDefault="00394A75" w:rsidP="00BF2AE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t>Potencia</w:t>
            </w:r>
          </w:p>
        </w:tc>
        <w:tc>
          <w:tcPr>
            <w:tcW w:w="3186" w:type="dxa"/>
          </w:tcPr>
          <w:p w14:paraId="63027CFF" w14:textId="77777777" w:rsidR="00394A75" w:rsidRPr="00422CA2" w:rsidRDefault="00394A75" w:rsidP="00BF2AEC">
            <w:pPr>
              <w:spacing w:before="60" w:after="60" w:line="276" w:lineRule="auto"/>
              <w:jc w:val="both"/>
              <w:rPr>
                <w:rFonts w:ascii="ITC Avant Garde" w:hAnsi="ITC Avant Garde"/>
                <w:sz w:val="20"/>
                <w:szCs w:val="20"/>
                <w:lang w:val="es-MX"/>
              </w:rPr>
            </w:pPr>
            <w:r w:rsidRPr="00422CA2">
              <w:rPr>
                <w:rFonts w:ascii="ITC Avant Garde" w:hAnsi="ITC Avant Garde"/>
                <w:sz w:val="20"/>
                <w:szCs w:val="20"/>
                <w:lang w:val="es-MX"/>
              </w:rPr>
              <w:t>Mayor a  -28 dbM</w:t>
            </w:r>
          </w:p>
        </w:tc>
      </w:tr>
    </w:tbl>
    <w:p w14:paraId="2BA756A9" w14:textId="07233CBB" w:rsidR="00394A75" w:rsidRPr="00422CA2" w:rsidRDefault="00397F98" w:rsidP="00A558F9">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17 </w:t>
      </w:r>
      <w:r w:rsidR="00394A75" w:rsidRPr="00422CA2">
        <w:rPr>
          <w:rFonts w:ascii="ITC Avant Garde" w:hAnsi="ITC Avant Garde"/>
          <w:sz w:val="18"/>
          <w:szCs w:val="18"/>
          <w:lang w:val="es-MX"/>
        </w:rPr>
        <w:t>Valores aceptables de potencia</w:t>
      </w:r>
    </w:p>
    <w:p w14:paraId="1B9FC433" w14:textId="77777777" w:rsidR="00394A75" w:rsidRPr="00422CA2" w:rsidRDefault="00394A75" w:rsidP="00394A75">
      <w:pPr>
        <w:autoSpaceDE w:val="0"/>
        <w:autoSpaceDN w:val="0"/>
        <w:adjustRightInd w:val="0"/>
        <w:spacing w:line="360" w:lineRule="auto"/>
        <w:ind w:firstLine="708"/>
        <w:jc w:val="both"/>
        <w:rPr>
          <w:rFonts w:ascii="ITC Avant Garde" w:hAnsi="ITC Avant Garde"/>
          <w:b/>
          <w:sz w:val="22"/>
          <w:szCs w:val="22"/>
          <w:lang w:val="es-MX"/>
        </w:rPr>
      </w:pPr>
      <w:r w:rsidRPr="00422CA2">
        <w:rPr>
          <w:rFonts w:ascii="ITC Avant Garde" w:hAnsi="ITC Avant Garde"/>
          <w:b/>
          <w:sz w:val="22"/>
          <w:szCs w:val="22"/>
          <w:lang w:val="es-MX"/>
        </w:rPr>
        <w:t>Sincronía</w:t>
      </w:r>
    </w:p>
    <w:p w14:paraId="1E98B639" w14:textId="10F9E1FF" w:rsidR="008F7DA8" w:rsidRPr="00422CA2" w:rsidRDefault="00EF32DA" w:rsidP="00FF79FF">
      <w:pPr>
        <w:pStyle w:val="Prrafodelista"/>
        <w:numPr>
          <w:ilvl w:val="0"/>
          <w:numId w:val="262"/>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Se hará una prueba de sincronía antes de la entrega del servicio </w:t>
      </w:r>
      <w:r w:rsidR="00B9658C" w:rsidRPr="00422CA2">
        <w:rPr>
          <w:rFonts w:ascii="ITC Avant Garde" w:hAnsi="ITC Avant Garde"/>
          <w:sz w:val="22"/>
          <w:szCs w:val="22"/>
          <w:lang w:val="es-MX"/>
        </w:rPr>
        <w:t>y se registrará los valores de v</w:t>
      </w:r>
      <w:r w:rsidRPr="00422CA2">
        <w:rPr>
          <w:rFonts w:ascii="ITC Avant Garde" w:hAnsi="ITC Avant Garde"/>
          <w:sz w:val="22"/>
          <w:szCs w:val="22"/>
          <w:lang w:val="es-MX"/>
        </w:rPr>
        <w:t>elocidad de sincronización de subida y bajada para bucles de cobre. Para FO además se harán pruebas de latencia en RTT (round-trip time), la perdida de tramas y la tasa de recepción promedio. Los valores obtenidos y registrados serán referente para el control de fallas. Las velocidades de sincronía en subida y en bajada no serán inferiores a las nominales del perfil en más de un 20%.</w:t>
      </w:r>
      <w:r w:rsidR="008F7DA8" w:rsidRPr="00422CA2">
        <w:rPr>
          <w:rFonts w:ascii="ITC Avant Garde" w:hAnsi="ITC Avant Garde"/>
          <w:sz w:val="22"/>
          <w:szCs w:val="22"/>
          <w:lang w:val="es-MX"/>
        </w:rPr>
        <w:t xml:space="preserve"> Cada prueba realizada que implique el uso de un equipo de medición deberá ser ejecutada una vez calibrado correctamente dicho equipo. </w:t>
      </w:r>
    </w:p>
    <w:p w14:paraId="25F2041F" w14:textId="7BF5EBE8" w:rsidR="00394A75" w:rsidRPr="00422CA2" w:rsidRDefault="00967A5A" w:rsidP="00586B55">
      <w:pPr>
        <w:pStyle w:val="Ttulo1"/>
      </w:pPr>
      <w:bookmarkStart w:id="397" w:name="_Toc436840901"/>
      <w:bookmarkStart w:id="398" w:name="_Toc436846338"/>
      <w:bookmarkStart w:id="399" w:name="_Toc436848288"/>
      <w:bookmarkStart w:id="400" w:name="_Toc436856536"/>
      <w:bookmarkStart w:id="401" w:name="_Toc436862682"/>
      <w:bookmarkStart w:id="402" w:name="_Toc436866332"/>
      <w:bookmarkStart w:id="403" w:name="_Toc436870911"/>
      <w:bookmarkStart w:id="404" w:name="_Toc436875903"/>
      <w:bookmarkStart w:id="405" w:name="_Toc437602091"/>
      <w:r w:rsidRPr="00422CA2">
        <w:t xml:space="preserve">5.6. </w:t>
      </w:r>
      <w:r w:rsidR="00394A75" w:rsidRPr="00422CA2">
        <w:t>Puntos de Concentración del SAIB</w:t>
      </w:r>
      <w:bookmarkEnd w:id="397"/>
      <w:bookmarkEnd w:id="398"/>
      <w:bookmarkEnd w:id="399"/>
      <w:bookmarkEnd w:id="400"/>
      <w:bookmarkEnd w:id="401"/>
      <w:bookmarkEnd w:id="402"/>
      <w:bookmarkEnd w:id="403"/>
      <w:bookmarkEnd w:id="404"/>
      <w:bookmarkEnd w:id="405"/>
    </w:p>
    <w:p w14:paraId="5094D341" w14:textId="7486CFD6" w:rsidR="00394A75" w:rsidRPr="00422CA2" w:rsidRDefault="00394A75" w:rsidP="00BC6E66">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 xml:space="preserve">Telmex definirá los sitios para la entrega del tráfico del SAIB tomando en cuenta los criterios de eficiencia, factibilidad técnica, competencia y minimización de costos. </w:t>
      </w:r>
      <w:r w:rsidRPr="00422CA2">
        <w:rPr>
          <w:rFonts w:ascii="ITC Avant Garde" w:hAnsi="ITC Avant Garde"/>
          <w:sz w:val="22"/>
          <w:szCs w:val="22"/>
          <w:lang w:val="es-ES"/>
        </w:rPr>
        <w:t xml:space="preserve">A través de las consultas de información que el CS podrá realizar de conformidad con lo señalado en la sección 3 de </w:t>
      </w:r>
      <w:r w:rsidR="003138FF" w:rsidRPr="00422CA2">
        <w:rPr>
          <w:rFonts w:ascii="ITC Avant Garde" w:hAnsi="ITC Avant Garde"/>
          <w:sz w:val="22"/>
          <w:szCs w:val="22"/>
          <w:lang w:val="es-ES"/>
        </w:rPr>
        <w:t>la OREDA</w:t>
      </w:r>
      <w:r w:rsidRPr="00422CA2">
        <w:rPr>
          <w:rFonts w:ascii="ITC Avant Garde" w:hAnsi="ITC Avant Garde"/>
          <w:sz w:val="22"/>
          <w:szCs w:val="22"/>
          <w:lang w:val="es-ES"/>
        </w:rPr>
        <w:t>, el CS podrá conocer los puntos de concentración para la entrega de tráfico del SAIB.</w:t>
      </w:r>
    </w:p>
    <w:p w14:paraId="61C1D2C1" w14:textId="72E04205" w:rsidR="00394A75" w:rsidRPr="00422CA2" w:rsidRDefault="00394A75" w:rsidP="00BC6E66">
      <w:pPr>
        <w:autoSpaceDE w:val="0"/>
        <w:autoSpaceDN w:val="0"/>
        <w:adjustRightInd w:val="0"/>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w:t>
      </w:r>
      <w:r w:rsidRPr="00422CA2">
        <w:rPr>
          <w:rFonts w:ascii="ITC Avant Garde" w:hAnsi="ITC Avant Garde"/>
          <w:sz w:val="22"/>
          <w:szCs w:val="22"/>
          <w:lang w:val="es-MX"/>
        </w:rPr>
        <w:t xml:space="preserve"> través de la interfaz que se habilitará en la página de internet donde se publique la O</w:t>
      </w:r>
      <w:r w:rsidR="003138FF" w:rsidRPr="00422CA2">
        <w:rPr>
          <w:rFonts w:ascii="ITC Avant Garde" w:hAnsi="ITC Avant Garde"/>
          <w:sz w:val="22"/>
          <w:szCs w:val="22"/>
          <w:lang w:val="es-MX"/>
        </w:rPr>
        <w:t>REDA</w:t>
      </w:r>
      <w:r w:rsidRPr="00422CA2">
        <w:rPr>
          <w:rFonts w:ascii="ITC Avant Garde" w:hAnsi="ITC Avant Garde"/>
          <w:sz w:val="22"/>
          <w:szCs w:val="22"/>
          <w:lang w:val="es-MX"/>
        </w:rPr>
        <w:t xml:space="preserve">, se proporcionará la información anterior así como </w:t>
      </w:r>
      <w:r w:rsidRPr="00422CA2">
        <w:rPr>
          <w:rFonts w:ascii="ITC Avant Garde" w:hAnsi="ITC Avant Garde"/>
          <w:sz w:val="22"/>
          <w:szCs w:val="22"/>
          <w:lang w:val="es-ES"/>
        </w:rPr>
        <w:t>la descripción de la forma o estructura de los listados de las centrales o instalaciones equivalentes que los conformen.</w:t>
      </w:r>
    </w:p>
    <w:p w14:paraId="36F8B11A" w14:textId="31197CCF" w:rsidR="00394A75" w:rsidRPr="00422CA2" w:rsidRDefault="00394A75" w:rsidP="00BC6E66">
      <w:pPr>
        <w:autoSpaceDE w:val="0"/>
        <w:autoSpaceDN w:val="0"/>
        <w:adjustRightInd w:val="0"/>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La información de la estructura de los puntos de entrega conforme a sus niveles de agregación se describe en la </w:t>
      </w:r>
      <w:r w:rsidR="0040263C" w:rsidRPr="00422CA2">
        <w:rPr>
          <w:rFonts w:ascii="ITC Avant Garde" w:hAnsi="ITC Avant Garde"/>
          <w:sz w:val="22"/>
          <w:szCs w:val="22"/>
          <w:lang w:val="es-ES"/>
        </w:rPr>
        <w:t>sección 10</w:t>
      </w:r>
      <w:r w:rsidRPr="00422CA2">
        <w:rPr>
          <w:rFonts w:ascii="ITC Avant Garde" w:hAnsi="ITC Avant Garde"/>
          <w:sz w:val="22"/>
          <w:szCs w:val="22"/>
          <w:lang w:val="es-ES"/>
        </w:rPr>
        <w:t xml:space="preserve"> </w:t>
      </w:r>
      <w:r w:rsidR="00A74EDB" w:rsidRPr="00422CA2">
        <w:rPr>
          <w:rFonts w:ascii="ITC Avant Garde" w:hAnsi="ITC Avant Garde"/>
          <w:sz w:val="22"/>
          <w:szCs w:val="22"/>
          <w:lang w:val="es-ES"/>
        </w:rPr>
        <w:t xml:space="preserve">de esta </w:t>
      </w:r>
      <w:r w:rsidR="005D7076" w:rsidRPr="00422CA2">
        <w:rPr>
          <w:rFonts w:ascii="ITC Avant Garde" w:hAnsi="ITC Avant Garde"/>
          <w:sz w:val="22"/>
          <w:szCs w:val="22"/>
          <w:lang w:val="es-ES"/>
        </w:rPr>
        <w:t>OREDA</w:t>
      </w:r>
      <w:r w:rsidR="00A74EDB" w:rsidRPr="00422CA2">
        <w:rPr>
          <w:rFonts w:ascii="ITC Avant Garde" w:hAnsi="ITC Avant Garde"/>
          <w:sz w:val="22"/>
          <w:szCs w:val="22"/>
          <w:lang w:val="es-ES"/>
        </w:rPr>
        <w:t xml:space="preserve"> en el</w:t>
      </w:r>
      <w:r w:rsidRPr="00422CA2">
        <w:rPr>
          <w:rFonts w:ascii="ITC Avant Garde" w:hAnsi="ITC Avant Garde"/>
          <w:sz w:val="22"/>
          <w:szCs w:val="22"/>
          <w:lang w:val="es-ES"/>
        </w:rPr>
        <w:t xml:space="preserve"> </w:t>
      </w:r>
      <w:r w:rsidR="00FB2D13" w:rsidRPr="00422CA2">
        <w:rPr>
          <w:rFonts w:ascii="ITC Avant Garde" w:hAnsi="ITC Avant Garde"/>
          <w:sz w:val="22"/>
          <w:szCs w:val="22"/>
          <w:lang w:val="es-ES"/>
        </w:rPr>
        <w:t>SCyD</w:t>
      </w:r>
      <w:r w:rsidRPr="00422CA2">
        <w:rPr>
          <w:rFonts w:ascii="ITC Avant Garde" w:hAnsi="ITC Avant Garde"/>
          <w:sz w:val="22"/>
          <w:szCs w:val="22"/>
          <w:lang w:val="es-ES"/>
        </w:rPr>
        <w:t>.</w:t>
      </w:r>
    </w:p>
    <w:p w14:paraId="7EE80251" w14:textId="6D242BC7" w:rsidR="00394A75" w:rsidRPr="00422CA2" w:rsidRDefault="00967A5A" w:rsidP="00553374">
      <w:pPr>
        <w:pStyle w:val="Ttulo1"/>
      </w:pPr>
      <w:bookmarkStart w:id="406" w:name="_Toc436840902"/>
      <w:bookmarkStart w:id="407" w:name="_Toc436846339"/>
      <w:bookmarkStart w:id="408" w:name="_Toc436848289"/>
      <w:bookmarkStart w:id="409" w:name="_Toc436856537"/>
      <w:bookmarkStart w:id="410" w:name="_Toc436862683"/>
      <w:bookmarkStart w:id="411" w:name="_Toc436866333"/>
      <w:bookmarkStart w:id="412" w:name="_Toc436870912"/>
      <w:bookmarkStart w:id="413" w:name="_Toc436875904"/>
      <w:bookmarkStart w:id="414" w:name="_Toc437602092"/>
      <w:r w:rsidRPr="00422CA2">
        <w:lastRenderedPageBreak/>
        <w:t>5.7.</w:t>
      </w:r>
      <w:r w:rsidR="00394A75" w:rsidRPr="00422CA2">
        <w:tab/>
        <w:t>Procedimiento de pruebas de entrega del SAIB</w:t>
      </w:r>
      <w:bookmarkEnd w:id="406"/>
      <w:bookmarkEnd w:id="407"/>
      <w:bookmarkEnd w:id="408"/>
      <w:bookmarkEnd w:id="409"/>
      <w:bookmarkEnd w:id="410"/>
      <w:bookmarkEnd w:id="411"/>
      <w:bookmarkEnd w:id="412"/>
      <w:bookmarkEnd w:id="413"/>
      <w:r w:rsidR="003138FF" w:rsidRPr="00422CA2">
        <w:t>.</w:t>
      </w:r>
      <w:bookmarkEnd w:id="414"/>
    </w:p>
    <w:p w14:paraId="25ADEAE5" w14:textId="5E07D285"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Como ya se ha especificado las unidades de servicio contratables en el SAIB son las correspondientes al </w:t>
      </w:r>
      <w:r w:rsidR="000217FD" w:rsidRPr="00422CA2">
        <w:rPr>
          <w:rFonts w:ascii="ITC Avant Garde" w:hAnsi="ITC Avant Garde"/>
          <w:sz w:val="22"/>
          <w:szCs w:val="22"/>
        </w:rPr>
        <w:t>SCyD</w:t>
      </w:r>
      <w:r w:rsidRPr="00422CA2">
        <w:rPr>
          <w:rFonts w:ascii="ITC Avant Garde" w:hAnsi="ITC Avant Garde"/>
          <w:sz w:val="22"/>
          <w:szCs w:val="22"/>
        </w:rPr>
        <w:t xml:space="preserve"> y las correspondientes al servicio de acceso de usuario de SAIB. Todas ellas incluyen pruebas de aceptación que se realizar</w:t>
      </w:r>
      <w:r w:rsidR="00861544" w:rsidRPr="00422CA2">
        <w:rPr>
          <w:rFonts w:ascii="ITC Avant Garde" w:hAnsi="ITC Avant Garde"/>
          <w:sz w:val="22"/>
          <w:szCs w:val="22"/>
        </w:rPr>
        <w:t>á</w:t>
      </w:r>
      <w:r w:rsidRPr="00422CA2">
        <w:rPr>
          <w:rFonts w:ascii="ITC Avant Garde" w:hAnsi="ITC Avant Garde"/>
          <w:sz w:val="22"/>
          <w:szCs w:val="22"/>
        </w:rPr>
        <w:t>n con carácter previo a la entrega del servicio. En unos casos dichas pruebas no requieren la participación del CS en cuyo caso estarán incluidas en el proceso de entrega.</w:t>
      </w:r>
    </w:p>
    <w:p w14:paraId="08805005"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En otros sin embargo las pruebas requerirán la participación del CS, lo que implica una notificación del TELMEX al CS indicando que el servicio está listo pendiente de pruebas y convocándole a las mismas en un período máximo de cinco días hábiles salvo acuerdo entre partes, y ofreciéndole una agenda de coordinación para la realización de dichas pruebas. En este caso los plazos estipulados de entrega de servicio se referirán a la notificación de servicio listo pendiente de pruebas.</w:t>
      </w:r>
      <w:r w:rsidRPr="00422CA2">
        <w:rPr>
          <w:rStyle w:val="Refdenotaalpie"/>
          <w:rFonts w:ascii="ITC Avant Garde" w:hAnsi="ITC Avant Garde"/>
          <w:sz w:val="22"/>
          <w:szCs w:val="22"/>
        </w:rPr>
        <w:footnoteReference w:id="34"/>
      </w:r>
    </w:p>
    <w:p w14:paraId="052F2DAE"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Con el objetivo de coordinar entre el TELMEX y el CS las pruebas y las activaciones de los servicios que lo requieran, se pondrá a disposición de los mismos una Agenda (a través del sistema de captura o del SGE una vez entre en operación) con las fechas disponibles para las distintas actuaciones que precisan coordinación. Incluirá horario nocturno. El CS dispondrá de dos entradas, una para poder consultar los horarios y fechas disponibles, y la otra para poder reservar una ventana de activación o prueba.</w:t>
      </w:r>
    </w:p>
    <w:p w14:paraId="356297E6"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La prueba de entrega de los servicios cuyo medio de acceso sea el par de cobre se realiza mediante la medición de los parámetros eléctricos de resistencia de aislamiento y capacitancia y cuyo valor deberá encontrase dentro de los umbrales de aceptación establecidos en la sección 5.5 de Parámetros e indicadores de calidad.</w:t>
      </w:r>
    </w:p>
    <w:p w14:paraId="4C30B266" w14:textId="77777777" w:rsidR="008F7DA8" w:rsidRPr="00422CA2" w:rsidRDefault="008F7DA8"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5F04E70D" w14:textId="77777777" w:rsidR="00394A75" w:rsidRPr="00422CA2" w:rsidRDefault="00394A75" w:rsidP="00BC6E66">
      <w:pPr>
        <w:spacing w:after="200" w:line="276" w:lineRule="auto"/>
        <w:jc w:val="both"/>
        <w:rPr>
          <w:rFonts w:ascii="ITC Avant Garde" w:hAnsi="ITC Avant Garde"/>
          <w:b/>
          <w:sz w:val="22"/>
          <w:szCs w:val="22"/>
        </w:rPr>
      </w:pPr>
      <w:r w:rsidRPr="00422CA2">
        <w:rPr>
          <w:rFonts w:ascii="ITC Avant Garde" w:hAnsi="ITC Avant Garde"/>
          <w:b/>
          <w:sz w:val="22"/>
          <w:szCs w:val="22"/>
        </w:rPr>
        <w:t>Metodología</w:t>
      </w:r>
    </w:p>
    <w:p w14:paraId="5A20C14D" w14:textId="37255E6E"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La medición de los parámetros indicados se realiza en forma remota utilizando los recursos de la propia central o cabezas de prueba de la red al término de la ejecución y se registrarán los valores en el formato de la imagen a continuación, </w:t>
      </w:r>
      <w:r w:rsidRPr="00422CA2">
        <w:rPr>
          <w:rFonts w:ascii="ITC Avant Garde" w:hAnsi="ITC Avant Garde"/>
          <w:sz w:val="22"/>
          <w:szCs w:val="22"/>
        </w:rPr>
        <w:lastRenderedPageBreak/>
        <w:t xml:space="preserve">indicando el cumplimiento de acuerdo a la tabla de Parámetros Eléctricos de la sección 5.5 de esta </w:t>
      </w:r>
      <w:r w:rsidR="00CA026A">
        <w:rPr>
          <w:rFonts w:ascii="ITC Avant Garde" w:hAnsi="ITC Avant Garde"/>
          <w:sz w:val="22"/>
          <w:szCs w:val="22"/>
        </w:rPr>
        <w:t>OREDA</w:t>
      </w:r>
      <w:r w:rsidRPr="00422CA2">
        <w:rPr>
          <w:rFonts w:ascii="ITC Avant Garde" w:hAnsi="ITC Avant Garde"/>
          <w:sz w:val="22"/>
          <w:szCs w:val="22"/>
        </w:rPr>
        <w:t>.</w:t>
      </w:r>
    </w:p>
    <w:p w14:paraId="053BC2BA" w14:textId="77777777" w:rsidR="00394A75" w:rsidRPr="00422CA2" w:rsidRDefault="00394A75" w:rsidP="00BF2AEC">
      <w:pPr>
        <w:jc w:val="center"/>
        <w:rPr>
          <w:rFonts w:ascii="ITC Avant Garde" w:hAnsi="ITC Avant Garde"/>
          <w:sz w:val="22"/>
          <w:szCs w:val="22"/>
        </w:rPr>
      </w:pPr>
      <w:r w:rsidRPr="00422CA2">
        <w:rPr>
          <w:rFonts w:ascii="ITC Avant Garde" w:hAnsi="ITC Avant Garde"/>
          <w:noProof/>
          <w:sz w:val="22"/>
          <w:szCs w:val="22"/>
          <w:lang w:val="es-MX" w:eastAsia="es-MX"/>
        </w:rPr>
        <w:drawing>
          <wp:inline distT="0" distB="0" distL="0" distR="0" wp14:anchorId="38ED5EEA" wp14:editId="055EFAD2">
            <wp:extent cx="3886200" cy="1936750"/>
            <wp:effectExtent l="19050" t="0" r="0" b="0"/>
            <wp:docPr id="21" name="Picture 1" descr="cid:image001.jpg@01D110CE.9E4F9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110CE.9E4F9CA0"/>
                    <pic:cNvPicPr>
                      <a:picLocks noChangeAspect="1" noChangeArrowheads="1"/>
                    </pic:cNvPicPr>
                  </pic:nvPicPr>
                  <pic:blipFill>
                    <a:blip r:embed="rId40" r:link="rId41" cstate="print"/>
                    <a:srcRect/>
                    <a:stretch>
                      <a:fillRect/>
                    </a:stretch>
                  </pic:blipFill>
                  <pic:spPr bwMode="auto">
                    <a:xfrm>
                      <a:off x="0" y="0"/>
                      <a:ext cx="3886200" cy="1936750"/>
                    </a:xfrm>
                    <a:prstGeom prst="rect">
                      <a:avLst/>
                    </a:prstGeom>
                    <a:noFill/>
                    <a:ln w="9525">
                      <a:noFill/>
                      <a:miter lim="800000"/>
                      <a:headEnd/>
                      <a:tailEnd/>
                    </a:ln>
                  </pic:spPr>
                </pic:pic>
              </a:graphicData>
            </a:graphic>
          </wp:inline>
        </w:drawing>
      </w:r>
    </w:p>
    <w:p w14:paraId="60AA0BC5" w14:textId="2051AEA2" w:rsidR="00394A75" w:rsidRPr="00422CA2" w:rsidRDefault="00394A75" w:rsidP="00FF79FF">
      <w:pPr>
        <w:spacing w:before="120" w:after="200" w:line="276" w:lineRule="auto"/>
        <w:jc w:val="center"/>
        <w:rPr>
          <w:rFonts w:ascii="ITC Avant Garde" w:hAnsi="ITC Avant Garde"/>
          <w:sz w:val="18"/>
          <w:szCs w:val="18"/>
        </w:rPr>
      </w:pPr>
      <w:r w:rsidRPr="00422CA2">
        <w:rPr>
          <w:rFonts w:ascii="ITC Avant Garde" w:hAnsi="ITC Avant Garde"/>
          <w:sz w:val="18"/>
          <w:szCs w:val="18"/>
        </w:rPr>
        <w:t>Prueba automática remota para servicio de voz.</w:t>
      </w:r>
    </w:p>
    <w:p w14:paraId="6C419F27"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caso de Acceso Indirecto al Bucle se tienen 2 escenarios según el medio de transmisión; </w:t>
      </w:r>
    </w:p>
    <w:p w14:paraId="2C838964" w14:textId="77777777" w:rsidR="00394A75" w:rsidRPr="00422CA2" w:rsidRDefault="00394A75" w:rsidP="00BC6E66">
      <w:pPr>
        <w:pStyle w:val="Prrafodelista"/>
        <w:numPr>
          <w:ilvl w:val="0"/>
          <w:numId w:val="120"/>
        </w:numPr>
        <w:spacing w:after="200" w:line="276" w:lineRule="auto"/>
        <w:jc w:val="both"/>
        <w:rPr>
          <w:rFonts w:ascii="ITC Avant Garde" w:hAnsi="ITC Avant Garde"/>
          <w:sz w:val="22"/>
          <w:szCs w:val="22"/>
        </w:rPr>
      </w:pPr>
      <w:r w:rsidRPr="00422CA2">
        <w:rPr>
          <w:rFonts w:ascii="ITC Avant Garde" w:hAnsi="ITC Avant Garde"/>
          <w:sz w:val="22"/>
          <w:szCs w:val="22"/>
        </w:rPr>
        <w:t>En el caso que el medio de acceso sea cobre se valida la sincronía xDSL mediante el indicador led (en verde) del modem y la medición de los parámetros de velocidades de subida y bajada.</w:t>
      </w:r>
    </w:p>
    <w:p w14:paraId="4D3A7C4C" w14:textId="77777777" w:rsidR="00394A75" w:rsidRPr="00422CA2" w:rsidRDefault="00394A75" w:rsidP="00BC6E66">
      <w:pPr>
        <w:pStyle w:val="Prrafodelista"/>
        <w:spacing w:after="200" w:line="276" w:lineRule="auto"/>
        <w:jc w:val="both"/>
        <w:rPr>
          <w:rFonts w:ascii="ITC Avant Garde" w:hAnsi="ITC Avant Garde"/>
          <w:sz w:val="22"/>
          <w:szCs w:val="22"/>
        </w:rPr>
      </w:pPr>
    </w:p>
    <w:p w14:paraId="57BF4793" w14:textId="77777777" w:rsidR="00394A75" w:rsidRPr="00422CA2" w:rsidRDefault="00394A75" w:rsidP="00394A75">
      <w:pPr>
        <w:ind w:left="360"/>
        <w:jc w:val="both"/>
        <w:rPr>
          <w:rFonts w:ascii="ITC Avant Garde" w:hAnsi="ITC Avant Garde"/>
          <w:sz w:val="22"/>
          <w:szCs w:val="22"/>
        </w:rPr>
      </w:pPr>
      <w:r w:rsidRPr="00422CA2">
        <w:rPr>
          <w:rFonts w:ascii="ITC Avant Garde" w:hAnsi="ITC Avant Garde"/>
          <w:noProof/>
          <w:sz w:val="22"/>
          <w:szCs w:val="22"/>
          <w:lang w:val="es-MX" w:eastAsia="es-MX"/>
        </w:rPr>
        <w:drawing>
          <wp:inline distT="0" distB="0" distL="0" distR="0" wp14:anchorId="27C90C87" wp14:editId="66F26065">
            <wp:extent cx="5562600" cy="1905000"/>
            <wp:effectExtent l="19050" t="0" r="0" b="0"/>
            <wp:docPr id="35" name="Imagen 7" descr="cid:image003.jpg@01D110CE.9E4F9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id:image003.jpg@01D110CE.9E4F9CA0"/>
                    <pic:cNvPicPr>
                      <a:picLocks noChangeAspect="1" noChangeArrowheads="1"/>
                    </pic:cNvPicPr>
                  </pic:nvPicPr>
                  <pic:blipFill>
                    <a:blip r:embed="rId42" r:link="rId43" cstate="print"/>
                    <a:srcRect/>
                    <a:stretch>
                      <a:fillRect/>
                    </a:stretch>
                  </pic:blipFill>
                  <pic:spPr bwMode="auto">
                    <a:xfrm>
                      <a:off x="0" y="0"/>
                      <a:ext cx="5562600" cy="1905000"/>
                    </a:xfrm>
                    <a:prstGeom prst="rect">
                      <a:avLst/>
                    </a:prstGeom>
                    <a:noFill/>
                    <a:ln w="9525">
                      <a:noFill/>
                      <a:miter lim="800000"/>
                      <a:headEnd/>
                      <a:tailEnd/>
                    </a:ln>
                  </pic:spPr>
                </pic:pic>
              </a:graphicData>
            </a:graphic>
          </wp:inline>
        </w:drawing>
      </w:r>
    </w:p>
    <w:p w14:paraId="6029B5AE" w14:textId="77777777" w:rsidR="00394A75" w:rsidRPr="00422CA2" w:rsidRDefault="00394A75" w:rsidP="00FF79FF">
      <w:pPr>
        <w:spacing w:before="120" w:after="200" w:line="276" w:lineRule="auto"/>
        <w:jc w:val="center"/>
        <w:rPr>
          <w:rFonts w:ascii="ITC Avant Garde" w:hAnsi="ITC Avant Garde"/>
          <w:sz w:val="18"/>
          <w:szCs w:val="18"/>
        </w:rPr>
      </w:pPr>
      <w:r w:rsidRPr="00422CA2">
        <w:rPr>
          <w:rFonts w:ascii="ITC Avant Garde" w:hAnsi="ITC Avant Garde"/>
          <w:sz w:val="18"/>
          <w:szCs w:val="18"/>
        </w:rPr>
        <w:t>Automática remota para el servicio de datos.</w:t>
      </w:r>
    </w:p>
    <w:p w14:paraId="47FD3554" w14:textId="6F797FDC" w:rsidR="00EF32DA" w:rsidRPr="00422CA2" w:rsidRDefault="00EF32DA" w:rsidP="00BC6E66">
      <w:pPr>
        <w:spacing w:after="200" w:line="276" w:lineRule="auto"/>
        <w:jc w:val="both"/>
        <w:rPr>
          <w:rFonts w:ascii="ITC Avant Garde" w:hAnsi="ITC Avant Garde"/>
          <w:sz w:val="22"/>
          <w:szCs w:val="22"/>
        </w:rPr>
      </w:pPr>
      <w:r w:rsidRPr="00422CA2">
        <w:rPr>
          <w:rFonts w:ascii="ITC Avant Garde" w:hAnsi="ITC Avant Garde"/>
          <w:sz w:val="22"/>
          <w:szCs w:val="22"/>
        </w:rPr>
        <w:t xml:space="preserve">En caso de que la prueba remota de datos sobre cobre no pueda ejecutarse, el técnico realiza mediciones en el domicilio del cliente (PCT) con los equipos de medición empleados por Telmex (como referencia se mencionan los equipos Smart Class ADSL/TPS ó Colt 250/350 que junto con el resto de los equipos utilizados  estarán referenciados en el SGE) a fin de consultar velocidades de subida y bajada </w:t>
      </w:r>
      <w:r w:rsidRPr="00422CA2">
        <w:rPr>
          <w:rFonts w:ascii="ITC Avant Garde" w:hAnsi="ITC Avant Garde"/>
          <w:sz w:val="22"/>
          <w:szCs w:val="22"/>
        </w:rPr>
        <w:lastRenderedPageBreak/>
        <w:t xml:space="preserve">cuando el medio de transmisión es cobre, de conformidad con la tabla de parámetros eléctricos de la sección 4.9. </w:t>
      </w:r>
    </w:p>
    <w:p w14:paraId="2090DFD0" w14:textId="77777777" w:rsidR="00394A75" w:rsidRPr="00422CA2" w:rsidRDefault="00394A75" w:rsidP="00BC6E66">
      <w:pPr>
        <w:pStyle w:val="Prrafodelista"/>
        <w:numPr>
          <w:ilvl w:val="0"/>
          <w:numId w:val="120"/>
        </w:numPr>
        <w:spacing w:after="200" w:line="276" w:lineRule="auto"/>
        <w:ind w:left="1068"/>
        <w:jc w:val="both"/>
        <w:rPr>
          <w:rFonts w:ascii="ITC Avant Garde" w:hAnsi="ITC Avant Garde"/>
          <w:sz w:val="22"/>
          <w:szCs w:val="22"/>
        </w:rPr>
      </w:pPr>
      <w:r w:rsidRPr="00422CA2">
        <w:rPr>
          <w:rFonts w:ascii="ITC Avant Garde" w:hAnsi="ITC Avant Garde"/>
          <w:sz w:val="22"/>
          <w:szCs w:val="22"/>
        </w:rPr>
        <w:t xml:space="preserve">Para el caso de que el medio de transmisión sea por fibra óptica se mide la potencia óptica de recepción. </w:t>
      </w:r>
    </w:p>
    <w:p w14:paraId="0F46EE50" w14:textId="343CDDB9" w:rsidR="00EF32DA"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Para el caso de fibra óptica si la prueba remota no puede ejecutarse, el técnico conectará equipo de medición al PCT (como referencia se mencionan los equipos GRP-450, HP3-60 ó EPM-53-PMA-54</w:t>
      </w:r>
      <w:r w:rsidR="00EF32DA" w:rsidRPr="00422CA2">
        <w:rPr>
          <w:rFonts w:ascii="ITC Avant Garde" w:hAnsi="ITC Avant Garde"/>
          <w:sz w:val="22"/>
          <w:szCs w:val="22"/>
        </w:rPr>
        <w:t xml:space="preserve"> que junto con el resto de los equipos utilizados estarán referenciados en el SGE</w:t>
      </w:r>
      <w:r w:rsidRPr="00422CA2">
        <w:rPr>
          <w:rFonts w:ascii="ITC Avant Garde" w:hAnsi="ITC Avant Garde"/>
          <w:sz w:val="22"/>
          <w:szCs w:val="22"/>
        </w:rPr>
        <w:t xml:space="preserve">) el cual registrará la potencia de recepción en el PCT la cual deberá ser mayor a -28 dBm. </w:t>
      </w:r>
      <w:r w:rsidR="00EF32DA" w:rsidRPr="00422CA2">
        <w:rPr>
          <w:rFonts w:ascii="ITC Avant Garde" w:hAnsi="ITC Avant Garde"/>
          <w:sz w:val="22"/>
          <w:szCs w:val="22"/>
        </w:rPr>
        <w:t>Este parámetro está basado en el estándar G.984.2 de la  UIT-T y considera una prueba funcional entre la OLT y el PCT en el equipo de medición.</w:t>
      </w:r>
    </w:p>
    <w:p w14:paraId="18398CE1" w14:textId="77777777" w:rsidR="00394A75" w:rsidRPr="00422CA2" w:rsidRDefault="00394A75" w:rsidP="00BC6E66">
      <w:pPr>
        <w:spacing w:after="200" w:line="276" w:lineRule="auto"/>
        <w:jc w:val="both"/>
        <w:rPr>
          <w:rFonts w:ascii="ITC Avant Garde" w:hAnsi="ITC Avant Garde"/>
          <w:sz w:val="22"/>
          <w:szCs w:val="22"/>
        </w:rPr>
      </w:pPr>
      <w:r w:rsidRPr="00422CA2">
        <w:rPr>
          <w:rFonts w:ascii="ITC Avant Garde" w:hAnsi="ITC Avant Garde"/>
          <w:sz w:val="22"/>
          <w:szCs w:val="22"/>
        </w:rPr>
        <w:t>Una vez asegurados los parámetros correctos, en automático se reportarán los resultados de las pruebas para el servicio de datos en el Sistema de Captura o en el SEG cuando entre en operación, para que el CS pueda consultarlos.</w:t>
      </w:r>
    </w:p>
    <w:p w14:paraId="585B4CBE" w14:textId="619F542A" w:rsidR="00394A75" w:rsidRPr="00422CA2" w:rsidRDefault="00967A5A" w:rsidP="00586B55">
      <w:pPr>
        <w:pStyle w:val="Ttulo1"/>
      </w:pPr>
      <w:bookmarkStart w:id="415" w:name="_Toc436840903"/>
      <w:bookmarkStart w:id="416" w:name="_Toc436846340"/>
      <w:bookmarkStart w:id="417" w:name="_Toc436848290"/>
      <w:bookmarkStart w:id="418" w:name="_Toc436856538"/>
      <w:bookmarkStart w:id="419" w:name="_Toc436862684"/>
      <w:bookmarkStart w:id="420" w:name="_Toc436866334"/>
      <w:bookmarkStart w:id="421" w:name="_Toc436870913"/>
      <w:bookmarkStart w:id="422" w:name="_Toc436875905"/>
      <w:bookmarkStart w:id="423" w:name="_Toc437602093"/>
      <w:r w:rsidRPr="00422CA2">
        <w:lastRenderedPageBreak/>
        <w:t xml:space="preserve">5.8. </w:t>
      </w:r>
      <w:r w:rsidR="00394A75" w:rsidRPr="00422CA2">
        <w:t>Formato de SAIB</w:t>
      </w:r>
      <w:bookmarkEnd w:id="415"/>
      <w:bookmarkEnd w:id="416"/>
      <w:bookmarkEnd w:id="417"/>
      <w:bookmarkEnd w:id="418"/>
      <w:bookmarkEnd w:id="419"/>
      <w:bookmarkEnd w:id="420"/>
      <w:bookmarkEnd w:id="421"/>
      <w:bookmarkEnd w:id="422"/>
      <w:bookmarkEnd w:id="423"/>
    </w:p>
    <w:p w14:paraId="2024A57D" w14:textId="608F21A2" w:rsidR="00394A75" w:rsidRPr="00422CA2" w:rsidRDefault="00DC439B" w:rsidP="00655ABC">
      <w:pPr>
        <w:pStyle w:val="IFTnormal"/>
      </w:pPr>
      <w:r w:rsidRPr="00422CA2">
        <w:rPr>
          <w:noProof/>
          <w:lang w:eastAsia="es-MX"/>
        </w:rPr>
        <w:drawing>
          <wp:inline distT="0" distB="0" distL="0" distR="0" wp14:anchorId="7AD6C77C" wp14:editId="5468589D">
            <wp:extent cx="6009884" cy="7486650"/>
            <wp:effectExtent l="19050" t="19050" r="10160" b="190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7381" cy="7495990"/>
                    </a:xfrm>
                    <a:prstGeom prst="rect">
                      <a:avLst/>
                    </a:prstGeom>
                    <a:noFill/>
                    <a:ln>
                      <a:solidFill>
                        <a:schemeClr val="tx1"/>
                      </a:solidFill>
                    </a:ln>
                  </pic:spPr>
                </pic:pic>
              </a:graphicData>
            </a:graphic>
          </wp:inline>
        </w:drawing>
      </w:r>
    </w:p>
    <w:p w14:paraId="134730DD" w14:textId="54D7160C" w:rsidR="00182348" w:rsidRPr="00422CA2" w:rsidRDefault="0033532F" w:rsidP="00210768">
      <w:pPr>
        <w:pStyle w:val="Ttulo1"/>
      </w:pPr>
      <w:bookmarkStart w:id="424" w:name="_Toc437602094"/>
      <w:r w:rsidRPr="00422CA2">
        <w:lastRenderedPageBreak/>
        <w:t xml:space="preserve">6. </w:t>
      </w:r>
      <w:r w:rsidR="00182348" w:rsidRPr="00422CA2">
        <w:tab/>
      </w:r>
      <w:bookmarkStart w:id="425" w:name="_Toc436840904"/>
      <w:bookmarkStart w:id="426" w:name="_Toc436846341"/>
      <w:bookmarkStart w:id="427" w:name="_Toc436848291"/>
      <w:bookmarkStart w:id="428" w:name="_Toc436856539"/>
      <w:bookmarkStart w:id="429" w:name="_Toc436862685"/>
      <w:bookmarkStart w:id="430" w:name="_Toc436866335"/>
      <w:bookmarkStart w:id="431" w:name="_Toc436870914"/>
      <w:bookmarkStart w:id="432" w:name="_Toc436875906"/>
      <w:r w:rsidR="00182348" w:rsidRPr="00422CA2">
        <w:t>Servicio de Desagregación.</w:t>
      </w:r>
      <w:bookmarkEnd w:id="425"/>
      <w:bookmarkEnd w:id="426"/>
      <w:bookmarkEnd w:id="427"/>
      <w:bookmarkEnd w:id="428"/>
      <w:bookmarkEnd w:id="429"/>
      <w:bookmarkEnd w:id="430"/>
      <w:bookmarkEnd w:id="431"/>
      <w:bookmarkEnd w:id="432"/>
      <w:bookmarkEnd w:id="424"/>
    </w:p>
    <w:p w14:paraId="6AB7DE54" w14:textId="77777777" w:rsidR="00163356" w:rsidRPr="00422CA2" w:rsidRDefault="00011A1B" w:rsidP="00C059C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Dadas las características comerciales de los servicios de desagregación física del bucle, las siguientes modalidades SDTBL, SDTSBL, SDCBL, SDCSBL se agrupan en esta sección, puesto que comparten procedimientos de contratación, modificación del bucle, parámetros y plazos de entrega.</w:t>
      </w:r>
      <w:r w:rsidR="00BD4521" w:rsidRPr="00422CA2">
        <w:rPr>
          <w:rFonts w:ascii="ITC Avant Garde" w:hAnsi="ITC Avant Garde"/>
          <w:sz w:val="22"/>
          <w:szCs w:val="22"/>
          <w:lang w:val="es-MX"/>
        </w:rPr>
        <w:t xml:space="preserve"> </w:t>
      </w:r>
    </w:p>
    <w:p w14:paraId="70063F9A" w14:textId="2AD93441" w:rsidR="00C059CD" w:rsidRPr="00422CA2" w:rsidRDefault="00C059CD" w:rsidP="00C059C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Estos servicios, </w:t>
      </w:r>
      <w:r w:rsidR="00182348" w:rsidRPr="00422CA2">
        <w:rPr>
          <w:rFonts w:ascii="ITC Avant Garde" w:hAnsi="ITC Avant Garde"/>
          <w:sz w:val="22"/>
          <w:szCs w:val="22"/>
          <w:lang w:val="es-MX"/>
        </w:rPr>
        <w:t xml:space="preserve">Telmex </w:t>
      </w:r>
      <w:r w:rsidRPr="00422CA2">
        <w:rPr>
          <w:rFonts w:ascii="ITC Avant Garde" w:hAnsi="ITC Avant Garde"/>
          <w:sz w:val="22"/>
          <w:szCs w:val="22"/>
          <w:lang w:val="es-MX"/>
        </w:rPr>
        <w:t>los proporcionará cuando menos bajo los mismos términos</w:t>
      </w:r>
      <w:r w:rsidR="00182348" w:rsidRPr="00422CA2">
        <w:rPr>
          <w:rFonts w:ascii="ITC Avant Garde" w:hAnsi="ITC Avant Garde"/>
          <w:sz w:val="22"/>
          <w:szCs w:val="22"/>
          <w:lang w:val="es-MX"/>
        </w:rPr>
        <w:t xml:space="preserve"> y </w:t>
      </w:r>
      <w:r w:rsidRPr="00422CA2">
        <w:rPr>
          <w:rFonts w:ascii="ITC Avant Garde" w:hAnsi="ITC Avant Garde"/>
          <w:sz w:val="22"/>
          <w:szCs w:val="22"/>
          <w:lang w:val="es-MX"/>
        </w:rPr>
        <w:t xml:space="preserve">condiciones </w:t>
      </w:r>
      <w:r w:rsidR="00182348" w:rsidRPr="00422CA2">
        <w:rPr>
          <w:rFonts w:ascii="ITC Avant Garde" w:hAnsi="ITC Avant Garde"/>
          <w:sz w:val="22"/>
          <w:szCs w:val="22"/>
          <w:lang w:val="es-MX"/>
        </w:rPr>
        <w:t xml:space="preserve">que </w:t>
      </w:r>
      <w:r w:rsidRPr="00422CA2">
        <w:rPr>
          <w:rFonts w:ascii="ITC Avant Garde" w:hAnsi="ITC Avant Garde"/>
          <w:sz w:val="22"/>
          <w:szCs w:val="22"/>
          <w:lang w:val="es-MX"/>
        </w:rPr>
        <w:t xml:space="preserve">aplica para </w:t>
      </w:r>
      <w:r w:rsidR="00182348" w:rsidRPr="00422CA2">
        <w:rPr>
          <w:rFonts w:ascii="ITC Avant Garde" w:hAnsi="ITC Avant Garde"/>
          <w:sz w:val="22"/>
          <w:szCs w:val="22"/>
          <w:lang w:val="es-MX"/>
        </w:rPr>
        <w:t>su propia operación</w:t>
      </w:r>
      <w:r w:rsidRPr="00422CA2">
        <w:rPr>
          <w:rFonts w:ascii="ITC Avant Garde" w:hAnsi="ITC Avant Garde"/>
          <w:sz w:val="22"/>
          <w:szCs w:val="22"/>
          <w:lang w:val="es-MX"/>
        </w:rPr>
        <w:t>.</w:t>
      </w:r>
    </w:p>
    <w:p w14:paraId="47E93635" w14:textId="549929A4" w:rsidR="00182348" w:rsidRPr="00422CA2" w:rsidRDefault="00182348"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estos servicios, el CS es el responsable de la configuración de la velocidad de acceso a </w:t>
      </w:r>
      <w:r w:rsidR="00FC33CE" w:rsidRPr="00422CA2">
        <w:rPr>
          <w:rFonts w:ascii="ITC Avant Garde" w:hAnsi="ITC Avant Garde"/>
          <w:sz w:val="22"/>
          <w:szCs w:val="22"/>
          <w:lang w:val="es-MX"/>
        </w:rPr>
        <w:t>I</w:t>
      </w:r>
      <w:r w:rsidRPr="00422CA2">
        <w:rPr>
          <w:rFonts w:ascii="ITC Avant Garde" w:hAnsi="ITC Avant Garde"/>
          <w:sz w:val="22"/>
          <w:szCs w:val="22"/>
          <w:lang w:val="es-MX"/>
        </w:rPr>
        <w:t xml:space="preserve">nternet sobre la línea del usuario final, no obstante, la velocidad que el </w:t>
      </w:r>
      <w:r w:rsidR="00BD4521" w:rsidRPr="00422CA2">
        <w:rPr>
          <w:rFonts w:ascii="ITC Avant Garde" w:hAnsi="ITC Avant Garde"/>
          <w:sz w:val="22"/>
          <w:szCs w:val="22"/>
          <w:lang w:val="es-MX"/>
        </w:rPr>
        <w:t>CS</w:t>
      </w:r>
      <w:r w:rsidRPr="00422CA2">
        <w:rPr>
          <w:rFonts w:ascii="ITC Avant Garde" w:hAnsi="ITC Avant Garde"/>
          <w:sz w:val="22"/>
          <w:szCs w:val="22"/>
          <w:lang w:val="es-MX"/>
        </w:rPr>
        <w:t xml:space="preserve"> podrá ofrecer, dependerán de las condiciones físicas del bucle de Telmex, y de que dicha oferta no afecte los servicios que Telmex u otros CS proporcionen a t</w:t>
      </w:r>
      <w:r w:rsidR="00F71B4A" w:rsidRPr="00422CA2">
        <w:rPr>
          <w:rFonts w:ascii="ITC Avant Garde" w:hAnsi="ITC Avant Garde"/>
          <w:sz w:val="22"/>
          <w:szCs w:val="22"/>
          <w:lang w:val="es-MX"/>
        </w:rPr>
        <w:t>ravés del mismo cable multipar.</w:t>
      </w:r>
    </w:p>
    <w:p w14:paraId="372D6C33" w14:textId="6260487B" w:rsidR="00BB77B6" w:rsidRPr="00422CA2" w:rsidRDefault="00BB77B6"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Telmex y el CS son responsables de cumplir con el </w:t>
      </w:r>
      <w:r w:rsidR="003E0497" w:rsidRPr="00422CA2">
        <w:rPr>
          <w:rFonts w:ascii="ITC Avant Garde" w:hAnsi="ITC Avant Garde"/>
          <w:sz w:val="22"/>
          <w:szCs w:val="22"/>
          <w:lang w:val="es-MX"/>
        </w:rPr>
        <w:t>PGE</w:t>
      </w:r>
      <w:r w:rsidRPr="00422CA2">
        <w:rPr>
          <w:rFonts w:ascii="ITC Avant Garde" w:hAnsi="ITC Avant Garde"/>
          <w:sz w:val="22"/>
          <w:szCs w:val="22"/>
          <w:lang w:val="es-MX"/>
        </w:rPr>
        <w:t xml:space="preserve"> que constituye el Anexo D de la OREDA, con el objeto de minimizar las interferencias entre los servicios. Por tanto, en caso de presentarse alguna interferencia se procederá como está establecido en el propio PGE aprobado por el Instituto. </w:t>
      </w:r>
    </w:p>
    <w:p w14:paraId="40E85C29" w14:textId="260CB311" w:rsidR="00E72E8A"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La solicitud de </w:t>
      </w:r>
      <w:r w:rsidR="00B92638" w:rsidRPr="00422CA2">
        <w:rPr>
          <w:rFonts w:ascii="ITC Avant Garde" w:hAnsi="ITC Avant Garde"/>
          <w:sz w:val="22"/>
          <w:szCs w:val="22"/>
        </w:rPr>
        <w:t xml:space="preserve">servicio auxiliar de </w:t>
      </w:r>
      <w:r w:rsidR="00775272" w:rsidRPr="00422CA2">
        <w:rPr>
          <w:rFonts w:ascii="ITC Avant Garde" w:hAnsi="ITC Avant Garde"/>
          <w:sz w:val="22"/>
          <w:szCs w:val="22"/>
        </w:rPr>
        <w:t>Anexo</w:t>
      </w:r>
      <w:r w:rsidRPr="00422CA2">
        <w:rPr>
          <w:rFonts w:ascii="ITC Avant Garde" w:hAnsi="ITC Avant Garde"/>
          <w:sz w:val="22"/>
          <w:szCs w:val="22"/>
        </w:rPr>
        <w:t xml:space="preserve"> de </w:t>
      </w:r>
      <w:r w:rsidR="00775272" w:rsidRPr="00422CA2">
        <w:rPr>
          <w:rFonts w:ascii="ITC Avant Garde" w:hAnsi="ITC Avant Garde"/>
          <w:sz w:val="22"/>
          <w:szCs w:val="22"/>
        </w:rPr>
        <w:t>Caja</w:t>
      </w:r>
      <w:r w:rsidRPr="00422CA2">
        <w:rPr>
          <w:rFonts w:ascii="ITC Avant Garde" w:hAnsi="ITC Avant Garde"/>
          <w:sz w:val="22"/>
          <w:szCs w:val="22"/>
        </w:rPr>
        <w:t xml:space="preserve"> de </w:t>
      </w:r>
      <w:r w:rsidR="00775272" w:rsidRPr="00422CA2">
        <w:rPr>
          <w:rFonts w:ascii="ITC Avant Garde" w:hAnsi="ITC Avant Garde"/>
          <w:sz w:val="22"/>
          <w:szCs w:val="22"/>
        </w:rPr>
        <w:t>Distribución</w:t>
      </w:r>
      <w:r w:rsidRPr="00422CA2">
        <w:rPr>
          <w:rFonts w:ascii="ITC Avant Garde" w:hAnsi="ITC Avant Garde"/>
          <w:sz w:val="22"/>
          <w:szCs w:val="22"/>
        </w:rPr>
        <w:t xml:space="preserve"> para el SDTSBL y SDCSBL, se realizará en el Sistema de Captura o en el SEG una vez que entre en operación.</w:t>
      </w:r>
    </w:p>
    <w:p w14:paraId="40E85C2B" w14:textId="1056E16A" w:rsidR="00D1231B" w:rsidRPr="00422CA2" w:rsidRDefault="00011A1B" w:rsidP="007C546C">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A fin de coadyuvar a que el servicio al usuario final/suscriptor no sea suspendido por más de 30 minutos en el 95% de los casos, y en ningún </w:t>
      </w:r>
      <w:r w:rsidR="00F0617B" w:rsidRPr="00422CA2">
        <w:rPr>
          <w:rFonts w:ascii="ITC Avant Garde" w:hAnsi="ITC Avant Garde"/>
          <w:sz w:val="22"/>
          <w:szCs w:val="22"/>
          <w:lang w:val="es-ES"/>
        </w:rPr>
        <w:t>caso se excedan los 120 minutos</w:t>
      </w:r>
      <w:r w:rsidRPr="00422CA2">
        <w:rPr>
          <w:rFonts w:ascii="ITC Avant Garde" w:hAnsi="ITC Avant Garde"/>
          <w:sz w:val="22"/>
          <w:szCs w:val="22"/>
          <w:lang w:val="es-ES"/>
        </w:rPr>
        <w:t>, Telmex informará al CS el momento en que realice el puente hacia la tablilla horizontal o el Anexo de Caja de Distribució</w:t>
      </w:r>
      <w:r w:rsidR="00F0617B" w:rsidRPr="00422CA2">
        <w:rPr>
          <w:rFonts w:ascii="ITC Avant Garde" w:hAnsi="ITC Avant Garde"/>
          <w:sz w:val="22"/>
          <w:szCs w:val="22"/>
          <w:lang w:val="es-ES"/>
        </w:rPr>
        <w:t xml:space="preserve">n, y el CS será responsable de </w:t>
      </w:r>
      <w:r w:rsidRPr="00422CA2">
        <w:rPr>
          <w:rFonts w:ascii="ITC Avant Garde" w:hAnsi="ITC Avant Garde"/>
          <w:sz w:val="22"/>
          <w:szCs w:val="22"/>
          <w:lang w:val="es-ES"/>
        </w:rPr>
        <w:t>tener activos los servicios (un número telefónico y el servicio de internet) y los equipos terminales necesarios para proporcionar los servicios de telecomunicaciones.</w:t>
      </w:r>
    </w:p>
    <w:p w14:paraId="40E85C2D" w14:textId="77777777" w:rsidR="00997BD3"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Cuando el usuario tenga un servicio activo se mantendrán las condiciones técnicas del bucle en caso de que no sea técnicamente factible habilitar al usuario con las especificaciones del CS, de acuerdo a lo establecido en el PGE. </w:t>
      </w:r>
    </w:p>
    <w:p w14:paraId="40E85C2F" w14:textId="77777777" w:rsidR="00997BD3"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el caso de usuarios nuevos, el CS será responsable de notificar al usuario que Telmex instalará la acometida hasta su domicilio. </w:t>
      </w:r>
    </w:p>
    <w:p w14:paraId="40E85C30" w14:textId="55873803" w:rsidR="00A4016C"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prestación de estos servicios iniciará como se indica en la sección 2 de esta </w:t>
      </w:r>
      <w:r w:rsidR="00CA026A">
        <w:rPr>
          <w:rFonts w:ascii="ITC Avant Garde" w:hAnsi="ITC Avant Garde"/>
          <w:sz w:val="22"/>
          <w:szCs w:val="22"/>
          <w:lang w:val="es-MX"/>
        </w:rPr>
        <w:t>OREDA</w:t>
      </w:r>
      <w:r w:rsidRPr="00422CA2">
        <w:rPr>
          <w:rFonts w:ascii="ITC Avant Garde" w:hAnsi="ITC Avant Garde"/>
          <w:sz w:val="22"/>
          <w:szCs w:val="22"/>
          <w:lang w:val="es-MX"/>
        </w:rPr>
        <w:t xml:space="preserve">, y la Información relativa a las centrales o cajas de distribución </w:t>
      </w:r>
      <w:r w:rsidRPr="00422CA2">
        <w:rPr>
          <w:rFonts w:ascii="ITC Avant Garde" w:hAnsi="ITC Avant Garde"/>
          <w:sz w:val="22"/>
          <w:szCs w:val="22"/>
          <w:lang w:val="es-MX"/>
        </w:rPr>
        <w:lastRenderedPageBreak/>
        <w:t xml:space="preserve">acondicionadas y disponibles para la Desagregación se encontrará disponible conforme se describe en la sección 3 de esta OREDA. </w:t>
      </w:r>
    </w:p>
    <w:p w14:paraId="40E85C31" w14:textId="77777777" w:rsidR="009F6323"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Dada la factibilidad técnica y las condiciones actuales de la tecnología, cuando el medio de acceso sea fibra óptica y éste se asocie a la red arborescente de Telmex, se ofrecerá el Servicio de Acceso Indirecto.</w:t>
      </w:r>
    </w:p>
    <w:p w14:paraId="0A03F77C" w14:textId="225581BD" w:rsidR="00C27B28" w:rsidRPr="00422CA2" w:rsidRDefault="00C27B28"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provisión del Módem y el Cableado Interior, así como el mantenimiento de los mismos, serán responsabilidad del CS. Asimismo, a solicitud del CS, Telmex deberá proporcionar el servicio de CPE</w:t>
      </w:r>
      <w:r w:rsidR="00E50A1A" w:rsidRPr="00422CA2">
        <w:rPr>
          <w:rFonts w:ascii="ITC Avant Garde" w:hAnsi="ITC Avant Garde"/>
          <w:sz w:val="22"/>
          <w:szCs w:val="22"/>
          <w:lang w:val="es-MX"/>
        </w:rPr>
        <w:t>,</w:t>
      </w:r>
      <w:r w:rsidRPr="00422CA2">
        <w:rPr>
          <w:rFonts w:ascii="ITC Avant Garde" w:hAnsi="ITC Avant Garde"/>
          <w:sz w:val="22"/>
          <w:szCs w:val="22"/>
          <w:lang w:val="es-MX"/>
        </w:rPr>
        <w:t xml:space="preserve"> incluyendo módem u ONT y su instalación, </w:t>
      </w:r>
      <w:r w:rsidR="00E50A1A" w:rsidRPr="00422CA2">
        <w:rPr>
          <w:rFonts w:ascii="ITC Avant Garde" w:hAnsi="ITC Avant Garde"/>
          <w:sz w:val="22"/>
          <w:szCs w:val="22"/>
          <w:lang w:val="es-MX"/>
        </w:rPr>
        <w:t>así como</w:t>
      </w:r>
      <w:r w:rsidRPr="00422CA2">
        <w:rPr>
          <w:rFonts w:ascii="ITC Avant Garde" w:hAnsi="ITC Avant Garde"/>
          <w:sz w:val="22"/>
          <w:szCs w:val="22"/>
          <w:lang w:val="es-MX"/>
        </w:rPr>
        <w:t xml:space="preserve"> el cableado interno para el domicilio del suscriptor, </w:t>
      </w:r>
      <w:r w:rsidR="00742E50" w:rsidRPr="00422CA2">
        <w:rPr>
          <w:rFonts w:ascii="ITC Avant Garde" w:hAnsi="ITC Avant Garde"/>
          <w:sz w:val="22"/>
          <w:szCs w:val="22"/>
          <w:lang w:val="es-MX"/>
        </w:rPr>
        <w:t>con</w:t>
      </w:r>
      <w:r w:rsidRPr="00422CA2">
        <w:rPr>
          <w:rFonts w:ascii="ITC Avant Garde" w:hAnsi="ITC Avant Garde"/>
          <w:sz w:val="22"/>
          <w:szCs w:val="22"/>
          <w:lang w:val="es-MX"/>
        </w:rPr>
        <w:t xml:space="preserve"> un cargo específico en todos los servicios de desagregación que correspondan.</w:t>
      </w:r>
      <w:r w:rsidR="00742E50" w:rsidRPr="00422CA2">
        <w:rPr>
          <w:rFonts w:ascii="ITC Avant Garde" w:hAnsi="ITC Avant Garde"/>
          <w:sz w:val="22"/>
          <w:szCs w:val="22"/>
          <w:lang w:val="es-MX"/>
        </w:rPr>
        <w:t xml:space="preserve"> Telmex realizará estas actividades en los mismos términos y condiciones que aplica a sus Usuarios Finales.</w:t>
      </w:r>
    </w:p>
    <w:p w14:paraId="49592CDA" w14:textId="77777777" w:rsidR="003B31BB" w:rsidRPr="00422CA2" w:rsidRDefault="003B31BB" w:rsidP="00586B55">
      <w:pPr>
        <w:pStyle w:val="Ttulo1"/>
      </w:pPr>
      <w:bookmarkStart w:id="433" w:name="_Toc436840905"/>
      <w:bookmarkStart w:id="434" w:name="_Toc436846342"/>
      <w:bookmarkStart w:id="435" w:name="_Toc436848292"/>
      <w:bookmarkStart w:id="436" w:name="_Toc436856540"/>
      <w:bookmarkStart w:id="437" w:name="_Toc436862686"/>
      <w:bookmarkStart w:id="438" w:name="_Toc436866336"/>
      <w:bookmarkStart w:id="439" w:name="_Toc436870915"/>
      <w:bookmarkStart w:id="440" w:name="_Toc436875907"/>
      <w:bookmarkStart w:id="441" w:name="_Toc437602095"/>
      <w:r w:rsidRPr="00422CA2">
        <w:t>6.1</w:t>
      </w:r>
      <w:r w:rsidRPr="00422CA2">
        <w:tab/>
        <w:t>Servicio de Desagregación Total del Bucle Local y Servicio de Desagregación Compartida del Bucle Local.</w:t>
      </w:r>
      <w:bookmarkEnd w:id="433"/>
      <w:bookmarkEnd w:id="434"/>
      <w:bookmarkEnd w:id="435"/>
      <w:bookmarkEnd w:id="436"/>
      <w:bookmarkEnd w:id="437"/>
      <w:bookmarkEnd w:id="438"/>
      <w:bookmarkEnd w:id="439"/>
      <w:bookmarkEnd w:id="440"/>
      <w:bookmarkEnd w:id="441"/>
    </w:p>
    <w:p w14:paraId="7D5104DF" w14:textId="77777777" w:rsidR="003B31BB" w:rsidRPr="00422CA2" w:rsidRDefault="003B31BB" w:rsidP="00586B55">
      <w:pPr>
        <w:pStyle w:val="Ttulo1"/>
      </w:pPr>
      <w:bookmarkStart w:id="442" w:name="_Toc436840906"/>
      <w:bookmarkStart w:id="443" w:name="_Toc436846343"/>
      <w:bookmarkStart w:id="444" w:name="_Toc436848293"/>
      <w:bookmarkStart w:id="445" w:name="_Toc436856541"/>
      <w:bookmarkStart w:id="446" w:name="_Toc436862687"/>
      <w:bookmarkStart w:id="447" w:name="_Toc436866337"/>
      <w:bookmarkStart w:id="448" w:name="_Toc436870916"/>
      <w:bookmarkStart w:id="449" w:name="_Toc436875908"/>
      <w:bookmarkStart w:id="450" w:name="_Toc437602096"/>
      <w:r w:rsidRPr="00422CA2">
        <w:t>6.1.1</w:t>
      </w:r>
      <w:r w:rsidRPr="00422CA2">
        <w:tab/>
        <w:t>Servicio de Desagregación Total del Bucle Local</w:t>
      </w:r>
      <w:bookmarkEnd w:id="442"/>
      <w:bookmarkEnd w:id="443"/>
      <w:bookmarkEnd w:id="444"/>
      <w:bookmarkEnd w:id="445"/>
      <w:bookmarkEnd w:id="446"/>
      <w:bookmarkEnd w:id="447"/>
      <w:bookmarkEnd w:id="448"/>
      <w:bookmarkEnd w:id="449"/>
      <w:bookmarkEnd w:id="450"/>
    </w:p>
    <w:p w14:paraId="40E85C36" w14:textId="503E6380" w:rsidR="00C85DCC"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En este servicio, el CS podrá acceder al bucle local de cobre en toda su trayectoria física y podrá disponer de las frecuencias del bucle indicadas en el </w:t>
      </w:r>
      <w:r w:rsidR="003E0497" w:rsidRPr="00422CA2">
        <w:rPr>
          <w:rFonts w:ascii="ITC Avant Garde" w:hAnsi="ITC Avant Garde"/>
          <w:sz w:val="22"/>
          <w:szCs w:val="22"/>
        </w:rPr>
        <w:t>PGE</w:t>
      </w:r>
      <w:r w:rsidRPr="00422CA2">
        <w:rPr>
          <w:rFonts w:ascii="ITC Avant Garde" w:hAnsi="ITC Avant Garde"/>
          <w:sz w:val="22"/>
          <w:szCs w:val="22"/>
        </w:rPr>
        <w:t xml:space="preserve">, con el fin de brindar servicios a través del mismo cable multipar de la red principal y de la red secundaria a la que pertenece el bucle desagregado. </w:t>
      </w:r>
    </w:p>
    <w:p w14:paraId="40E85C38" w14:textId="77777777" w:rsidR="00C85DCC" w:rsidRPr="00422CA2" w:rsidRDefault="00011A1B" w:rsidP="007C546C">
      <w:pPr>
        <w:spacing w:after="200" w:line="276" w:lineRule="auto"/>
        <w:jc w:val="both"/>
        <w:rPr>
          <w:rFonts w:ascii="ITC Avant Garde" w:hAnsi="ITC Avant Garde" w:cs="Arial"/>
          <w:sz w:val="22"/>
          <w:szCs w:val="22"/>
          <w:lang w:val="es-ES"/>
        </w:rPr>
      </w:pPr>
      <w:r w:rsidRPr="00422CA2">
        <w:rPr>
          <w:rFonts w:ascii="ITC Avant Garde" w:hAnsi="ITC Avant Garde"/>
          <w:sz w:val="22"/>
          <w:szCs w:val="22"/>
        </w:rPr>
        <w:t xml:space="preserve">El </w:t>
      </w:r>
      <w:r w:rsidRPr="00422CA2">
        <w:rPr>
          <w:rFonts w:ascii="ITC Avant Garde" w:hAnsi="ITC Avant Garde" w:cs="Arial"/>
          <w:sz w:val="22"/>
          <w:szCs w:val="22"/>
          <w:lang w:val="es-ES"/>
        </w:rPr>
        <w:t>CS deberá instalar los equipos necesarios para recibir el bucle desagregado en la Coubicación para Desagregación en la Central a la cual pertenece el bucle, además deberá contemplar la instalación de Módems para proporcionar los servicios al usuario final.</w:t>
      </w:r>
    </w:p>
    <w:p w14:paraId="118A44D6" w14:textId="77777777" w:rsidR="003B31BB" w:rsidRPr="00422CA2" w:rsidRDefault="003B31BB" w:rsidP="007C546C">
      <w:p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Las actividades que Telmex realizará en este servicio de desagregación consisten en:</w:t>
      </w:r>
    </w:p>
    <w:p w14:paraId="007F70AE" w14:textId="77777777" w:rsidR="003B31BB" w:rsidRPr="00422CA2" w:rsidRDefault="003B31BB" w:rsidP="007C546C">
      <w:pPr>
        <w:pStyle w:val="Prrafodelista"/>
        <w:numPr>
          <w:ilvl w:val="0"/>
          <w:numId w:val="158"/>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Puenteo entre las tablillas verticales y tablillas horizontales.</w:t>
      </w:r>
    </w:p>
    <w:p w14:paraId="341279C3" w14:textId="77777777" w:rsidR="003B31BB" w:rsidRPr="00422CA2" w:rsidRDefault="003B31BB" w:rsidP="007C546C">
      <w:pPr>
        <w:spacing w:after="200" w:line="276" w:lineRule="auto"/>
        <w:ind w:left="360"/>
        <w:jc w:val="both"/>
        <w:rPr>
          <w:rFonts w:ascii="ITC Avant Garde" w:hAnsi="ITC Avant Garde" w:cs="Arial"/>
          <w:sz w:val="22"/>
          <w:szCs w:val="22"/>
          <w:lang w:val="es-ES"/>
        </w:rPr>
      </w:pPr>
      <w:r w:rsidRPr="00422CA2">
        <w:rPr>
          <w:rFonts w:ascii="ITC Avant Garde" w:hAnsi="ITC Avant Garde" w:cs="Arial"/>
          <w:sz w:val="22"/>
          <w:szCs w:val="22"/>
          <w:lang w:val="es-ES"/>
        </w:rPr>
        <w:t>A solicitud del CS:</w:t>
      </w:r>
    </w:p>
    <w:p w14:paraId="43D5EA4F" w14:textId="047BF48E" w:rsidR="003B31BB" w:rsidRPr="00422CA2" w:rsidRDefault="003B31BB" w:rsidP="007C546C">
      <w:pPr>
        <w:pStyle w:val="Prrafodelista"/>
        <w:numPr>
          <w:ilvl w:val="0"/>
          <w:numId w:val="158"/>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Instalación del PCT en el domicilio del usuario, en el caso de que el Bucle Local correspondiente al par </w:t>
      </w:r>
      <w:r w:rsidR="00456ECB" w:rsidRPr="00422CA2">
        <w:rPr>
          <w:rFonts w:ascii="ITC Avant Garde" w:hAnsi="ITC Avant Garde" w:cs="Arial"/>
          <w:sz w:val="22"/>
          <w:szCs w:val="22"/>
          <w:lang w:val="es-ES"/>
        </w:rPr>
        <w:t xml:space="preserve">de cobre </w:t>
      </w:r>
      <w:r w:rsidRPr="00422CA2">
        <w:rPr>
          <w:rFonts w:ascii="ITC Avant Garde" w:hAnsi="ITC Avant Garde" w:cs="Arial"/>
          <w:sz w:val="22"/>
          <w:szCs w:val="22"/>
          <w:lang w:val="es-ES"/>
        </w:rPr>
        <w:t xml:space="preserve">no disponga de </w:t>
      </w:r>
      <w:r w:rsidR="003E0F8B" w:rsidRPr="00422CA2">
        <w:rPr>
          <w:rFonts w:ascii="ITC Avant Garde" w:hAnsi="ITC Avant Garde" w:cs="Arial"/>
          <w:sz w:val="22"/>
          <w:szCs w:val="22"/>
          <w:lang w:val="es-ES"/>
        </w:rPr>
        <w:t>PCT</w:t>
      </w:r>
      <w:r w:rsidRPr="00422CA2">
        <w:rPr>
          <w:rFonts w:ascii="ITC Avant Garde" w:hAnsi="ITC Avant Garde" w:cs="Arial"/>
          <w:sz w:val="22"/>
          <w:szCs w:val="22"/>
          <w:lang w:val="es-ES"/>
        </w:rPr>
        <w:t>.</w:t>
      </w:r>
    </w:p>
    <w:p w14:paraId="008AAE16" w14:textId="77777777" w:rsidR="003B31BB" w:rsidRPr="00422CA2" w:rsidRDefault="003B31BB" w:rsidP="007C546C">
      <w:pPr>
        <w:pStyle w:val="Prrafodelista"/>
        <w:numPr>
          <w:ilvl w:val="0"/>
          <w:numId w:val="158"/>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Pruebas extremo a extremo para garantizar el correcto funcionamiento del bucle </w:t>
      </w:r>
    </w:p>
    <w:p w14:paraId="63452176" w14:textId="77777777" w:rsidR="003B31BB" w:rsidRPr="00422CA2" w:rsidRDefault="003B31BB" w:rsidP="007C546C">
      <w:pPr>
        <w:pStyle w:val="Prrafodelista"/>
        <w:numPr>
          <w:ilvl w:val="0"/>
          <w:numId w:val="158"/>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Pruebas de sincronismo para garantizar una correcta entrega del servicio,</w:t>
      </w:r>
    </w:p>
    <w:p w14:paraId="6E2190CB" w14:textId="77777777" w:rsidR="003B31BB" w:rsidRPr="00422CA2" w:rsidRDefault="003B31BB" w:rsidP="007C546C">
      <w:pPr>
        <w:pStyle w:val="Prrafodelista"/>
        <w:numPr>
          <w:ilvl w:val="0"/>
          <w:numId w:val="158"/>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lastRenderedPageBreak/>
        <w:t>Pruebas en central.</w:t>
      </w:r>
    </w:p>
    <w:p w14:paraId="14164502" w14:textId="320825AE" w:rsidR="003B31BB" w:rsidRPr="00422CA2" w:rsidRDefault="003B31BB" w:rsidP="007C546C">
      <w:pPr>
        <w:spacing w:after="200" w:line="276" w:lineRule="auto"/>
        <w:jc w:val="both"/>
        <w:rPr>
          <w:rFonts w:ascii="ITC Avant Garde" w:hAnsi="ITC Avant Garde" w:cs="Arial"/>
          <w:b/>
          <w:sz w:val="22"/>
          <w:szCs w:val="22"/>
          <w:lang w:val="es-ES"/>
        </w:rPr>
      </w:pPr>
      <w:r w:rsidRPr="00422CA2">
        <w:rPr>
          <w:rFonts w:ascii="ITC Avant Garde" w:hAnsi="ITC Avant Garde" w:cs="Arial"/>
          <w:b/>
          <w:sz w:val="22"/>
          <w:szCs w:val="22"/>
          <w:lang w:val="es-ES"/>
        </w:rPr>
        <w:t>Responsabilidad de Telmex y recursos asociados al SDTBL</w:t>
      </w:r>
    </w:p>
    <w:p w14:paraId="40E85C3B" w14:textId="77777777" w:rsidR="00062B21" w:rsidRPr="00422CA2" w:rsidRDefault="00011A1B" w:rsidP="007C546C">
      <w:p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En el Servicio de Desagregación Total del Bucle, Telmex provee el bucle local y será responsable de su mantenimiento desde el Punto de Conexión</w:t>
      </w:r>
      <w:r w:rsidRPr="00422CA2">
        <w:rPr>
          <w:rFonts w:ascii="ITC Avant Garde" w:hAnsi="ITC Avant Garde"/>
          <w:sz w:val="22"/>
          <w:szCs w:val="22"/>
        </w:rPr>
        <w:t xml:space="preserve"> Terminal</w:t>
      </w:r>
      <w:r w:rsidRPr="00422CA2">
        <w:rPr>
          <w:rFonts w:ascii="ITC Avant Garde" w:hAnsi="ITC Avant Garde" w:cs="Arial"/>
          <w:sz w:val="22"/>
          <w:szCs w:val="22"/>
          <w:lang w:val="es-ES"/>
        </w:rPr>
        <w:t xml:space="preserve"> hasta la tablilla horizontal del Distribuidor General de Telmex que remata las conexiones hacia la Coubicación para Desagregación del CS o, en su caso, punto de presencia (incluye el puente entre la tablilla horizontal y la tablilla vertical donde se conecta el par procedente del usuario final). </w:t>
      </w:r>
    </w:p>
    <w:p w14:paraId="1298C72A" w14:textId="03AF8092" w:rsidR="003B31BB" w:rsidRPr="00422CA2" w:rsidRDefault="003B31BB" w:rsidP="007C546C">
      <w:p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El tipo de mantenimiento a realizar estará en función del segmento del bucle local identificado con daño. Por otra parte las actividades primordiales a seguir son: </w:t>
      </w:r>
    </w:p>
    <w:p w14:paraId="40E85C3E" w14:textId="77777777" w:rsidR="00530A32" w:rsidRPr="00422CA2" w:rsidRDefault="00011A1B" w:rsidP="007C546C">
      <w:pPr>
        <w:pStyle w:val="Prrafodelista"/>
        <w:numPr>
          <w:ilvl w:val="0"/>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Ubicación del daño</w:t>
      </w:r>
    </w:p>
    <w:p w14:paraId="40E85C3F" w14:textId="77777777" w:rsidR="00530A32" w:rsidRPr="00422CA2" w:rsidRDefault="00011A1B" w:rsidP="007C546C">
      <w:pPr>
        <w:pStyle w:val="Prrafodelista"/>
        <w:numPr>
          <w:ilvl w:val="0"/>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Cuando el daño se localiza en el bucle local: </w:t>
      </w:r>
    </w:p>
    <w:p w14:paraId="40E85C40" w14:textId="4AC0411E" w:rsidR="00530A32" w:rsidRPr="00422CA2" w:rsidRDefault="00011A1B" w:rsidP="007C546C">
      <w:pPr>
        <w:pStyle w:val="Prrafodelista"/>
        <w:numPr>
          <w:ilvl w:val="1"/>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Identificación de un par </w:t>
      </w:r>
      <w:r w:rsidR="00347648" w:rsidRPr="00422CA2">
        <w:rPr>
          <w:rFonts w:ascii="ITC Avant Garde" w:hAnsi="ITC Avant Garde" w:cs="Arial"/>
          <w:sz w:val="22"/>
          <w:szCs w:val="22"/>
          <w:lang w:val="es-ES"/>
        </w:rPr>
        <w:t>de cobre</w:t>
      </w:r>
      <w:r w:rsidRPr="00422CA2">
        <w:rPr>
          <w:rFonts w:ascii="ITC Avant Garde" w:hAnsi="ITC Avant Garde" w:cs="Arial"/>
          <w:sz w:val="22"/>
          <w:szCs w:val="22"/>
          <w:lang w:val="es-ES"/>
        </w:rPr>
        <w:t xml:space="preserve"> libre en buen estado eléctrico y físico</w:t>
      </w:r>
    </w:p>
    <w:p w14:paraId="40E85C41" w14:textId="77777777" w:rsidR="00530A32" w:rsidRPr="00422CA2" w:rsidRDefault="00011A1B" w:rsidP="007C546C">
      <w:pPr>
        <w:pStyle w:val="Prrafodelista"/>
        <w:numPr>
          <w:ilvl w:val="1"/>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Reasignación del SDTBL al par libre en buen estado eléctrico y físico y se notifica al CS la nueva posición de la tablilla.</w:t>
      </w:r>
    </w:p>
    <w:p w14:paraId="40E85C42" w14:textId="77777777" w:rsidR="00530A32" w:rsidRPr="00422CA2" w:rsidRDefault="00011A1B" w:rsidP="007C546C">
      <w:pPr>
        <w:pStyle w:val="Prrafodelista"/>
        <w:numPr>
          <w:ilvl w:val="1"/>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Cuando no exista un par libre en buen estado eléctrico y físico, Telmex procederá con la localización del daño eléctrico y/o físico para su reparación </w:t>
      </w:r>
    </w:p>
    <w:p w14:paraId="40E85C43" w14:textId="77777777" w:rsidR="00530A32" w:rsidRPr="00422CA2" w:rsidRDefault="00011A1B" w:rsidP="007C546C">
      <w:pPr>
        <w:pStyle w:val="Prrafodelista"/>
        <w:numPr>
          <w:ilvl w:val="0"/>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Cuando el daño se localice en el puente entre la tablilla horizontal y la tablilla vertical del DG de Telmex, será sustituido</w:t>
      </w:r>
    </w:p>
    <w:p w14:paraId="40E85C44" w14:textId="77777777" w:rsidR="00530A32" w:rsidRPr="00422CA2" w:rsidRDefault="00011A1B" w:rsidP="007C546C">
      <w:pPr>
        <w:pStyle w:val="Prrafodelista"/>
        <w:numPr>
          <w:ilvl w:val="0"/>
          <w:numId w:val="124"/>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Cuando el daño se localice en el par procedente del usuario final, el elemento dañado será sustituido</w:t>
      </w:r>
    </w:p>
    <w:p w14:paraId="40E85C45" w14:textId="77777777" w:rsidR="00C85DCC"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La siguiente figura muestra el esquema de la Desagregación Total del bucle.</w:t>
      </w:r>
    </w:p>
    <w:p w14:paraId="40E85C46" w14:textId="77777777" w:rsidR="00C85DCC" w:rsidRPr="00422CA2" w:rsidRDefault="00C85DCC" w:rsidP="00BC6E66">
      <w:pPr>
        <w:pStyle w:val="Texto1"/>
        <w:spacing w:after="200" w:line="276" w:lineRule="auto"/>
        <w:ind w:left="0"/>
        <w:rPr>
          <w:rFonts w:ascii="ITC Avant Garde" w:hAnsi="ITC Avant Garde"/>
          <w:sz w:val="22"/>
          <w:szCs w:val="22"/>
        </w:rPr>
      </w:pPr>
    </w:p>
    <w:p w14:paraId="2C0FA70E" w14:textId="5BF7864F" w:rsidR="00BC1137" w:rsidRPr="00422CA2" w:rsidRDefault="00BC1137" w:rsidP="00BC1137">
      <w:pPr>
        <w:tabs>
          <w:tab w:val="left" w:pos="4395"/>
        </w:tabs>
        <w:spacing w:line="360" w:lineRule="auto"/>
        <w:contextualSpacing/>
        <w:jc w:val="center"/>
        <w:rPr>
          <w:rFonts w:ascii="ITC Avant Garde" w:hAnsi="ITC Avant Garde"/>
          <w:sz w:val="20"/>
          <w:szCs w:val="20"/>
        </w:rPr>
      </w:pPr>
      <w:r w:rsidRPr="00422CA2">
        <w:rPr>
          <w:rFonts w:ascii="ITC Avant Garde" w:hAnsi="ITC Avant Garde"/>
          <w:noProof/>
          <w:sz w:val="20"/>
          <w:szCs w:val="20"/>
          <w:lang w:val="es-MX" w:eastAsia="es-MX"/>
        </w:rPr>
        <w:lastRenderedPageBreak/>
        <w:drawing>
          <wp:inline distT="0" distB="0" distL="0" distR="0" wp14:anchorId="677BFFDD" wp14:editId="3A189421">
            <wp:extent cx="5611495" cy="250698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1495" cy="2506980"/>
                    </a:xfrm>
                    <a:prstGeom prst="rect">
                      <a:avLst/>
                    </a:prstGeom>
                    <a:noFill/>
                    <a:ln>
                      <a:noFill/>
                    </a:ln>
                  </pic:spPr>
                </pic:pic>
              </a:graphicData>
            </a:graphic>
          </wp:inline>
        </w:drawing>
      </w:r>
    </w:p>
    <w:p w14:paraId="40E85C48" w14:textId="77777777" w:rsidR="00C85DCC" w:rsidRPr="00422CA2" w:rsidRDefault="00011A1B" w:rsidP="00FF79FF">
      <w:pPr>
        <w:spacing w:before="120" w:after="200" w:line="276" w:lineRule="auto"/>
        <w:jc w:val="center"/>
        <w:rPr>
          <w:rFonts w:ascii="ITC Avant Garde" w:hAnsi="ITC Avant Garde"/>
          <w:sz w:val="18"/>
          <w:szCs w:val="18"/>
        </w:rPr>
      </w:pPr>
      <w:r w:rsidRPr="00422CA2">
        <w:rPr>
          <w:rFonts w:ascii="ITC Avant Garde" w:hAnsi="ITC Avant Garde"/>
          <w:sz w:val="18"/>
          <w:szCs w:val="18"/>
        </w:rPr>
        <w:t>Servicio de Desagregación Total del Bucle.</w:t>
      </w:r>
    </w:p>
    <w:p w14:paraId="40E85C4A" w14:textId="77777777" w:rsidR="00530A32" w:rsidRPr="00422CA2" w:rsidRDefault="00011A1B" w:rsidP="00586B55">
      <w:pPr>
        <w:pStyle w:val="Ttulo1"/>
      </w:pPr>
      <w:bookmarkStart w:id="451" w:name="_Toc436840907"/>
      <w:bookmarkStart w:id="452" w:name="_Toc436846344"/>
      <w:bookmarkStart w:id="453" w:name="_Toc436848294"/>
      <w:bookmarkStart w:id="454" w:name="_Toc436856542"/>
      <w:bookmarkStart w:id="455" w:name="_Toc436862688"/>
      <w:bookmarkStart w:id="456" w:name="_Toc436866338"/>
      <w:bookmarkStart w:id="457" w:name="_Toc436870917"/>
      <w:bookmarkStart w:id="458" w:name="_Toc436875909"/>
      <w:bookmarkStart w:id="459" w:name="_Toc437602097"/>
      <w:r w:rsidRPr="00422CA2">
        <w:t>6.1.2</w:t>
      </w:r>
      <w:r w:rsidRPr="00422CA2">
        <w:tab/>
        <w:t>Servicio de Desagregación Compartida del Bucle Local.</w:t>
      </w:r>
      <w:bookmarkEnd w:id="451"/>
      <w:bookmarkEnd w:id="452"/>
      <w:bookmarkEnd w:id="453"/>
      <w:bookmarkEnd w:id="454"/>
      <w:bookmarkEnd w:id="455"/>
      <w:bookmarkEnd w:id="456"/>
      <w:bookmarkEnd w:id="457"/>
      <w:bookmarkEnd w:id="458"/>
      <w:bookmarkEnd w:id="459"/>
    </w:p>
    <w:p w14:paraId="40E85C4B" w14:textId="47E98588" w:rsidR="00606DDB"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Esta modalidad de Desagregación </w:t>
      </w:r>
      <w:r w:rsidRPr="00422CA2">
        <w:rPr>
          <w:rFonts w:ascii="ITC Avant Garde" w:hAnsi="ITC Avant Garde"/>
          <w:sz w:val="22"/>
        </w:rPr>
        <w:t xml:space="preserve">(SDCBL) </w:t>
      </w:r>
      <w:r w:rsidRPr="00422CA2">
        <w:rPr>
          <w:rFonts w:ascii="ITC Avant Garde" w:hAnsi="ITC Avant Garde"/>
          <w:sz w:val="22"/>
          <w:szCs w:val="22"/>
          <w:lang w:val="es-MX"/>
        </w:rPr>
        <w:t xml:space="preserve">permite al </w:t>
      </w:r>
      <w:r w:rsidR="00DE3AEB" w:rsidRPr="00422CA2">
        <w:rPr>
          <w:rFonts w:ascii="ITC Avant Garde" w:hAnsi="ITC Avant Garde"/>
          <w:sz w:val="22"/>
          <w:szCs w:val="22"/>
          <w:lang w:val="es-MX"/>
        </w:rPr>
        <w:t>CS</w:t>
      </w:r>
      <w:r w:rsidRPr="00422CA2">
        <w:rPr>
          <w:rFonts w:ascii="ITC Avant Garde" w:hAnsi="ITC Avant Garde"/>
          <w:sz w:val="22"/>
          <w:szCs w:val="22"/>
          <w:lang w:val="es-MX"/>
        </w:rPr>
        <w:t xml:space="preserve"> proveer servicios de datos para los usuarios finales, a través de la banda alta de frecuencias del par de cobre existente de Telmex.</w:t>
      </w:r>
    </w:p>
    <w:p w14:paraId="40E85C4D" w14:textId="7CC78F31" w:rsidR="00606DDB"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 xml:space="preserve">El </w:t>
      </w:r>
      <w:r w:rsidR="0099383E" w:rsidRPr="00422CA2">
        <w:rPr>
          <w:rFonts w:ascii="ITC Avant Garde" w:hAnsi="ITC Avant Garde"/>
          <w:sz w:val="22"/>
          <w:szCs w:val="22"/>
        </w:rPr>
        <w:t>SDCBL</w:t>
      </w:r>
      <w:r w:rsidRPr="00422CA2">
        <w:rPr>
          <w:rFonts w:ascii="ITC Avant Garde" w:hAnsi="ITC Avant Garde"/>
          <w:sz w:val="22"/>
          <w:szCs w:val="22"/>
        </w:rPr>
        <w:t xml:space="preserve"> consiste en compartir el bucle entre Telmex y el CS; Telmex mantiene la gestión de la banda baja de frecuencias, y el CS proporciona el servicio de datos en la banda alta, siempre que no interfiera con los servicios que Telmex u otro Concesionario proporcionan a través del mismo cable multipar de la red principal y de la red secundaria de acuerdo con el </w:t>
      </w:r>
      <w:r w:rsidR="003E0497" w:rsidRPr="00422CA2">
        <w:rPr>
          <w:rFonts w:ascii="ITC Avant Garde" w:hAnsi="ITC Avant Garde"/>
          <w:sz w:val="22"/>
          <w:szCs w:val="22"/>
        </w:rPr>
        <w:t>PGE</w:t>
      </w:r>
      <w:r w:rsidRPr="00422CA2">
        <w:rPr>
          <w:rFonts w:ascii="ITC Avant Garde" w:hAnsi="ITC Avant Garde"/>
          <w:sz w:val="22"/>
          <w:szCs w:val="22"/>
        </w:rPr>
        <w:t>.</w:t>
      </w:r>
    </w:p>
    <w:p w14:paraId="6F9CF7D8" w14:textId="77777777" w:rsidR="003B31BB" w:rsidRPr="00422CA2" w:rsidRDefault="003B31B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Las actividades que Telmex realizará en este servicio de desagregación consisten en:</w:t>
      </w:r>
    </w:p>
    <w:p w14:paraId="73DD07D6" w14:textId="77777777"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t>Puenteo entre las tablillas verticales y tablillas horizontales.</w:t>
      </w:r>
    </w:p>
    <w:p w14:paraId="01828C04" w14:textId="77777777" w:rsidR="003B31BB" w:rsidRPr="00422CA2" w:rsidRDefault="003B31B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A solicitud del CS:</w:t>
      </w:r>
    </w:p>
    <w:p w14:paraId="08421EE4" w14:textId="07A41F37"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t xml:space="preserve">Instalación del PCT en el domicilio del usuario, en el caso de que el Bucle Local correspondiente al par </w:t>
      </w:r>
      <w:r w:rsidR="00347648" w:rsidRPr="00422CA2">
        <w:rPr>
          <w:rFonts w:ascii="ITC Avant Garde" w:hAnsi="ITC Avant Garde"/>
          <w:sz w:val="22"/>
          <w:szCs w:val="22"/>
        </w:rPr>
        <w:t xml:space="preserve"> de cobre </w:t>
      </w:r>
      <w:r w:rsidRPr="00422CA2">
        <w:rPr>
          <w:rFonts w:ascii="ITC Avant Garde" w:hAnsi="ITC Avant Garde"/>
          <w:sz w:val="22"/>
          <w:szCs w:val="22"/>
        </w:rPr>
        <w:t xml:space="preserve">no disponga de </w:t>
      </w:r>
      <w:r w:rsidR="0002411B" w:rsidRPr="00422CA2">
        <w:rPr>
          <w:rFonts w:ascii="ITC Avant Garde" w:hAnsi="ITC Avant Garde"/>
          <w:sz w:val="22"/>
          <w:szCs w:val="22"/>
        </w:rPr>
        <w:t>PCT</w:t>
      </w:r>
      <w:r w:rsidRPr="00422CA2">
        <w:rPr>
          <w:rFonts w:ascii="ITC Avant Garde" w:hAnsi="ITC Avant Garde"/>
          <w:sz w:val="22"/>
          <w:szCs w:val="22"/>
        </w:rPr>
        <w:t>.</w:t>
      </w:r>
    </w:p>
    <w:p w14:paraId="6BA7D576" w14:textId="77777777"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t xml:space="preserve">Pruebas extremo a extremo para garantizar el correcto funcionamiento del bucle </w:t>
      </w:r>
    </w:p>
    <w:p w14:paraId="20B503E5" w14:textId="77777777"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t>Pruebas de sincronismo para garantizar una correcta entrega del servicio,</w:t>
      </w:r>
    </w:p>
    <w:p w14:paraId="5B633956" w14:textId="6DF07A25"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t>Pruebas en central.</w:t>
      </w:r>
      <w:r w:rsidR="00347648" w:rsidRPr="00422CA2">
        <w:rPr>
          <w:rFonts w:ascii="ITC Avant Garde" w:hAnsi="ITC Avant Garde"/>
          <w:sz w:val="22"/>
          <w:szCs w:val="22"/>
        </w:rPr>
        <w:t xml:space="preserve"> </w:t>
      </w:r>
      <w:r w:rsidRPr="00422CA2">
        <w:rPr>
          <w:rFonts w:ascii="ITC Avant Garde" w:hAnsi="ITC Avant Garde"/>
          <w:sz w:val="22"/>
          <w:szCs w:val="22"/>
        </w:rPr>
        <w:t>Pruebas extremo a extremo</w:t>
      </w:r>
    </w:p>
    <w:p w14:paraId="089B8D95" w14:textId="77777777" w:rsidR="003B31BB" w:rsidRPr="00422CA2" w:rsidRDefault="003B31BB" w:rsidP="007C546C">
      <w:pPr>
        <w:pStyle w:val="Texto1"/>
        <w:numPr>
          <w:ilvl w:val="0"/>
          <w:numId w:val="159"/>
        </w:numPr>
        <w:spacing w:after="200" w:line="276" w:lineRule="auto"/>
        <w:rPr>
          <w:rFonts w:ascii="ITC Avant Garde" w:hAnsi="ITC Avant Garde"/>
          <w:sz w:val="22"/>
          <w:szCs w:val="22"/>
        </w:rPr>
      </w:pPr>
      <w:r w:rsidRPr="00422CA2">
        <w:rPr>
          <w:rFonts w:ascii="ITC Avant Garde" w:hAnsi="ITC Avant Garde"/>
          <w:sz w:val="22"/>
          <w:szCs w:val="22"/>
        </w:rPr>
        <w:lastRenderedPageBreak/>
        <w:t>Instalación de splitter en el domicilio del usuario</w:t>
      </w:r>
    </w:p>
    <w:p w14:paraId="40E85C4F" w14:textId="77777777" w:rsidR="00480774" w:rsidRPr="00422CA2" w:rsidRDefault="00011A1B" w:rsidP="007C546C">
      <w:pPr>
        <w:pStyle w:val="Texto1"/>
        <w:spacing w:after="200" w:line="276" w:lineRule="auto"/>
        <w:ind w:left="0"/>
        <w:rPr>
          <w:rFonts w:ascii="ITC Avant Garde" w:hAnsi="ITC Avant Garde" w:cs="Arial"/>
          <w:b/>
          <w:sz w:val="22"/>
          <w:szCs w:val="22"/>
          <w:lang w:val="es-ES"/>
        </w:rPr>
      </w:pPr>
      <w:r w:rsidRPr="00422CA2">
        <w:rPr>
          <w:rFonts w:ascii="ITC Avant Garde" w:hAnsi="ITC Avant Garde"/>
          <w:b/>
          <w:sz w:val="22"/>
          <w:szCs w:val="22"/>
        </w:rPr>
        <w:t xml:space="preserve">Responsabilidad de Telmex </w:t>
      </w:r>
      <w:r w:rsidRPr="00422CA2">
        <w:rPr>
          <w:rFonts w:ascii="ITC Avant Garde" w:hAnsi="ITC Avant Garde" w:cs="Arial"/>
          <w:b/>
          <w:sz w:val="22"/>
          <w:szCs w:val="22"/>
          <w:lang w:val="es-ES"/>
        </w:rPr>
        <w:t>y recursos asociados al SDCBL</w:t>
      </w:r>
    </w:p>
    <w:p w14:paraId="40E85C50" w14:textId="77777777" w:rsidR="000D585A" w:rsidRPr="00422CA2" w:rsidRDefault="00011A1B" w:rsidP="007C546C">
      <w:pPr>
        <w:pStyle w:val="Texto1"/>
        <w:spacing w:after="200" w:line="276" w:lineRule="auto"/>
        <w:ind w:left="0"/>
        <w:rPr>
          <w:rFonts w:ascii="ITC Avant Garde" w:hAnsi="ITC Avant Garde" w:cs="Arial"/>
          <w:sz w:val="22"/>
          <w:szCs w:val="22"/>
          <w:lang w:val="es-ES"/>
        </w:rPr>
      </w:pPr>
      <w:r w:rsidRPr="00422CA2">
        <w:rPr>
          <w:rFonts w:ascii="ITC Avant Garde" w:hAnsi="ITC Avant Garde"/>
          <w:sz w:val="22"/>
          <w:szCs w:val="22"/>
        </w:rPr>
        <w:t>Telmex es responsable de proveer el bucle local y de su mantenimiento desde el Punto de Conexión Terminal (PCT) hasta la tablilla horizontal del Distribuidor General (DG) de Telmex que remata las conexiones hacia la sala de Coubicación del CS (incluye los puentes entre la tablilla horizontal y la tablilla vertical donde se conecta el par procedente del usuario final) a través del servicio de cableado multipar</w:t>
      </w:r>
      <w:r w:rsidRPr="00422CA2">
        <w:rPr>
          <w:rFonts w:ascii="ITC Avant Garde" w:hAnsi="ITC Avant Garde" w:cs="Arial"/>
          <w:sz w:val="22"/>
          <w:szCs w:val="22"/>
          <w:lang w:val="es-ES"/>
        </w:rPr>
        <w:t xml:space="preserve">. </w:t>
      </w:r>
    </w:p>
    <w:p w14:paraId="6AFD6508" w14:textId="77777777" w:rsidR="003B31BB" w:rsidRPr="00422CA2" w:rsidRDefault="003B31B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El tipo de mantenimiento a realizar estará en función al segmento del bucle local identificado con daño. Por otra parte las actividades primordiales a seguir son:</w:t>
      </w:r>
    </w:p>
    <w:p w14:paraId="40E85C53" w14:textId="77777777" w:rsidR="006C6A76" w:rsidRPr="00422CA2" w:rsidRDefault="00011A1B" w:rsidP="007C546C">
      <w:pPr>
        <w:pStyle w:val="Prrafodelista"/>
        <w:numPr>
          <w:ilvl w:val="0"/>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Ubicación del daño</w:t>
      </w:r>
    </w:p>
    <w:p w14:paraId="40E85C54" w14:textId="77777777" w:rsidR="006C6A76" w:rsidRPr="00422CA2" w:rsidRDefault="00011A1B" w:rsidP="007C546C">
      <w:pPr>
        <w:pStyle w:val="Prrafodelista"/>
        <w:numPr>
          <w:ilvl w:val="0"/>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Cuando el daño se localiza en el bucle local: </w:t>
      </w:r>
    </w:p>
    <w:p w14:paraId="40E85C55" w14:textId="77777777" w:rsidR="006C6A76" w:rsidRPr="00422CA2" w:rsidRDefault="00011A1B" w:rsidP="007C546C">
      <w:pPr>
        <w:pStyle w:val="Prrafodelista"/>
        <w:numPr>
          <w:ilvl w:val="1"/>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Identificación de un par libre en buen estado eléctrico y físico</w:t>
      </w:r>
    </w:p>
    <w:p w14:paraId="40E85C56" w14:textId="77777777" w:rsidR="006C6A76" w:rsidRPr="00422CA2" w:rsidRDefault="00011A1B" w:rsidP="007C546C">
      <w:pPr>
        <w:pStyle w:val="Prrafodelista"/>
        <w:numPr>
          <w:ilvl w:val="1"/>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Reasignación del SDCBL al par libre en buen estado eléctrico y físico y se notifica al CS la nueva posición de la tablilla.</w:t>
      </w:r>
    </w:p>
    <w:p w14:paraId="40E85C57" w14:textId="77777777" w:rsidR="006C6A76" w:rsidRPr="00422CA2" w:rsidRDefault="00011A1B" w:rsidP="007C546C">
      <w:pPr>
        <w:pStyle w:val="Prrafodelista"/>
        <w:numPr>
          <w:ilvl w:val="1"/>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 xml:space="preserve">Cuando no exista un par libre en buen estado eléctrico y físico, Telmex procederá con la localización del daño eléctrico y/o físico para su reparación </w:t>
      </w:r>
    </w:p>
    <w:p w14:paraId="40E85C58" w14:textId="77777777" w:rsidR="006C6A76" w:rsidRPr="00422CA2" w:rsidRDefault="00011A1B" w:rsidP="007C546C">
      <w:pPr>
        <w:pStyle w:val="Prrafodelista"/>
        <w:numPr>
          <w:ilvl w:val="0"/>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Cuando el daño se localice en el puente entre la tablilla horizontal y la tablilla vertical del DG de Telmex, será sustituido.</w:t>
      </w:r>
    </w:p>
    <w:p w14:paraId="40E85C59" w14:textId="77777777" w:rsidR="006C6A76" w:rsidRPr="00422CA2" w:rsidRDefault="00011A1B" w:rsidP="007C546C">
      <w:pPr>
        <w:pStyle w:val="Prrafodelista"/>
        <w:numPr>
          <w:ilvl w:val="0"/>
          <w:numId w:val="125"/>
        </w:numPr>
        <w:spacing w:after="200" w:line="276" w:lineRule="auto"/>
        <w:jc w:val="both"/>
        <w:rPr>
          <w:rFonts w:ascii="ITC Avant Garde" w:hAnsi="ITC Avant Garde" w:cs="Arial"/>
          <w:sz w:val="22"/>
          <w:szCs w:val="22"/>
          <w:lang w:val="es-ES"/>
        </w:rPr>
      </w:pPr>
      <w:r w:rsidRPr="00422CA2">
        <w:rPr>
          <w:rFonts w:ascii="ITC Avant Garde" w:hAnsi="ITC Avant Garde" w:cs="Arial"/>
          <w:sz w:val="22"/>
          <w:szCs w:val="22"/>
          <w:lang w:val="es-ES"/>
        </w:rPr>
        <w:t>Cuando el daño se localice en el par procedente del usuario final, el elemento dañado será sustituido.</w:t>
      </w:r>
    </w:p>
    <w:p w14:paraId="40E85C5B" w14:textId="77777777" w:rsidR="00606DDB"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cs="Arial"/>
          <w:sz w:val="22"/>
          <w:szCs w:val="22"/>
          <w:lang w:val="es-ES"/>
        </w:rPr>
        <w:t xml:space="preserve">El SDCBL se muestra en la siguiente figura: </w:t>
      </w:r>
    </w:p>
    <w:p w14:paraId="4EBC5D3E" w14:textId="14ECE0F9" w:rsidR="0002411B" w:rsidRPr="00422CA2" w:rsidRDefault="0002411B" w:rsidP="00606DDB">
      <w:pPr>
        <w:pStyle w:val="Texto1"/>
        <w:spacing w:line="360" w:lineRule="auto"/>
        <w:ind w:left="0"/>
        <w:contextualSpacing/>
        <w:jc w:val="center"/>
        <w:rPr>
          <w:rFonts w:ascii="ITC Avant Garde" w:hAnsi="ITC Avant Garde"/>
          <w:sz w:val="20"/>
          <w:szCs w:val="20"/>
        </w:rPr>
      </w:pPr>
      <w:r w:rsidRPr="00422CA2">
        <w:rPr>
          <w:rFonts w:ascii="ITC Avant Garde" w:hAnsi="ITC Avant Garde"/>
          <w:noProof/>
          <w:sz w:val="20"/>
          <w:szCs w:val="20"/>
          <w:lang w:val="es-MX" w:eastAsia="es-MX"/>
        </w:rPr>
        <w:lastRenderedPageBreak/>
        <w:drawing>
          <wp:inline distT="0" distB="0" distL="0" distR="0" wp14:anchorId="042B9EB7" wp14:editId="155086AD">
            <wp:extent cx="4981699" cy="2241934"/>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3407" cy="2260704"/>
                    </a:xfrm>
                    <a:prstGeom prst="rect">
                      <a:avLst/>
                    </a:prstGeom>
                    <a:noFill/>
                    <a:ln>
                      <a:noFill/>
                    </a:ln>
                  </pic:spPr>
                </pic:pic>
              </a:graphicData>
            </a:graphic>
          </wp:inline>
        </w:drawing>
      </w:r>
    </w:p>
    <w:p w14:paraId="40E85C5D" w14:textId="77777777" w:rsidR="00606DDB" w:rsidRPr="00422CA2" w:rsidRDefault="00011A1B" w:rsidP="00FF79FF">
      <w:pPr>
        <w:pStyle w:val="IFTnormal"/>
        <w:jc w:val="center"/>
        <w:rPr>
          <w:sz w:val="18"/>
          <w:szCs w:val="18"/>
        </w:rPr>
      </w:pPr>
      <w:r w:rsidRPr="00422CA2">
        <w:rPr>
          <w:sz w:val="18"/>
          <w:szCs w:val="18"/>
        </w:rPr>
        <w:t>Servicio de Desagregación Compartida del Bucle</w:t>
      </w:r>
    </w:p>
    <w:p w14:paraId="40E85C5F" w14:textId="4A5207A9" w:rsidR="00530A32"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Telmex instalará divisores (</w:t>
      </w:r>
      <w:r w:rsidRPr="00422CA2">
        <w:rPr>
          <w:rFonts w:ascii="ITC Avant Garde" w:hAnsi="ITC Avant Garde"/>
          <w:i/>
          <w:sz w:val="22"/>
          <w:szCs w:val="22"/>
        </w:rPr>
        <w:t>splitters</w:t>
      </w:r>
      <w:r w:rsidRPr="00422CA2">
        <w:rPr>
          <w:rFonts w:ascii="ITC Avant Garde" w:hAnsi="ITC Avant Garde"/>
          <w:sz w:val="22"/>
          <w:szCs w:val="22"/>
        </w:rPr>
        <w:t>) en las tablillas del DG, para separar el servicio de voz del servicio de datos. Las frecuencias de la banda alta serán entregadas al CS para que éste provea servicios de telecomunicaciones al usuario final, no obstante el servicio de telefonía será gestionado por Telmex, ya sea que Telmex provea el servicio o la línea sea contratada en SRL. En este servicio, el CS deberá proporcionar la instalación de los divisores de banda de frecuencias.</w:t>
      </w:r>
    </w:p>
    <w:p w14:paraId="63FB9AC3" w14:textId="354C908A" w:rsidR="00097C74" w:rsidRPr="00422CA2" w:rsidRDefault="00097C74" w:rsidP="00586B55">
      <w:pPr>
        <w:pStyle w:val="Ttulo1"/>
      </w:pPr>
      <w:bookmarkStart w:id="460" w:name="_Toc437602098"/>
      <w:bookmarkStart w:id="461" w:name="_Toc436840908"/>
      <w:bookmarkStart w:id="462" w:name="_Toc436846345"/>
      <w:bookmarkStart w:id="463" w:name="_Toc436848295"/>
      <w:bookmarkStart w:id="464" w:name="_Toc436856543"/>
      <w:bookmarkStart w:id="465" w:name="_Toc436862689"/>
      <w:bookmarkStart w:id="466" w:name="_Toc436866339"/>
      <w:bookmarkStart w:id="467" w:name="_Toc436870918"/>
      <w:bookmarkStart w:id="468" w:name="_Toc436875910"/>
      <w:r w:rsidRPr="00422CA2">
        <w:t>6.1.3 Servicio de Desagregación Total de Fibra Óptica</w:t>
      </w:r>
      <w:bookmarkEnd w:id="460"/>
    </w:p>
    <w:p w14:paraId="466D1B02" w14:textId="2BA7D1F2" w:rsidR="00097C74" w:rsidRPr="00422CA2" w:rsidRDefault="00097C74" w:rsidP="00097C74">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Dada la factibilidad técnica y derivado de las condiciones actuales de la tecnología en la red desplegada por Telmex con el medio de acceso en fibra óptica, el medio a través del cual se ofrece desagregación de Fibra Óptica es a través del Servicio de Acceso Indirecto al Bucle, el cual se encuentra en la sección 5 de esta </w:t>
      </w:r>
      <w:r w:rsidR="00CA026A">
        <w:rPr>
          <w:rFonts w:ascii="ITC Avant Garde" w:hAnsi="ITC Avant Garde"/>
          <w:sz w:val="22"/>
          <w:szCs w:val="22"/>
          <w:lang w:val="es-ES"/>
        </w:rPr>
        <w:t>OREDA</w:t>
      </w:r>
      <w:r w:rsidRPr="00422CA2">
        <w:rPr>
          <w:rFonts w:ascii="ITC Avant Garde" w:hAnsi="ITC Avant Garde"/>
          <w:sz w:val="22"/>
          <w:szCs w:val="22"/>
          <w:lang w:val="es-ES"/>
        </w:rPr>
        <w:t xml:space="preserve">. Sin embargo, </w:t>
      </w:r>
      <w:r w:rsidR="00B32039" w:rsidRPr="00422CA2">
        <w:rPr>
          <w:rFonts w:ascii="ITC Avant Garde" w:hAnsi="ITC Avant Garde"/>
          <w:sz w:val="22"/>
          <w:szCs w:val="22"/>
          <w:lang w:val="es-ES"/>
        </w:rPr>
        <w:t>en caso de</w:t>
      </w:r>
      <w:r w:rsidRPr="00422CA2">
        <w:rPr>
          <w:rFonts w:ascii="ITC Avant Garde" w:hAnsi="ITC Avant Garde"/>
          <w:sz w:val="22"/>
          <w:szCs w:val="22"/>
          <w:lang w:val="es-ES"/>
        </w:rPr>
        <w:t xml:space="preserve"> </w:t>
      </w:r>
      <w:r w:rsidR="00B32039" w:rsidRPr="00422CA2">
        <w:rPr>
          <w:rFonts w:ascii="ITC Avant Garde" w:hAnsi="ITC Avant Garde"/>
          <w:sz w:val="22"/>
          <w:szCs w:val="22"/>
          <w:lang w:val="es-ES"/>
        </w:rPr>
        <w:t>e</w:t>
      </w:r>
      <w:r w:rsidR="009C6691" w:rsidRPr="00422CA2">
        <w:rPr>
          <w:rFonts w:ascii="ITC Avant Garde" w:hAnsi="ITC Avant Garde"/>
          <w:sz w:val="22"/>
          <w:szCs w:val="22"/>
          <w:lang w:val="es-ES"/>
        </w:rPr>
        <w:t>xistir</w:t>
      </w:r>
      <w:r w:rsidR="00B32039" w:rsidRPr="00422CA2">
        <w:rPr>
          <w:rFonts w:ascii="ITC Avant Garde" w:hAnsi="ITC Avant Garde"/>
          <w:sz w:val="22"/>
          <w:szCs w:val="22"/>
          <w:lang w:val="es-ES"/>
        </w:rPr>
        <w:t xml:space="preserve"> posibilidades</w:t>
      </w:r>
      <w:r w:rsidRPr="00422CA2">
        <w:rPr>
          <w:rFonts w:ascii="ITC Avant Garde" w:hAnsi="ITC Avant Garde"/>
          <w:sz w:val="22"/>
          <w:szCs w:val="22"/>
          <w:lang w:val="es-ES"/>
        </w:rPr>
        <w:t xml:space="preserve"> técnica</w:t>
      </w:r>
      <w:r w:rsidR="00D626B7" w:rsidRPr="00422CA2">
        <w:rPr>
          <w:rFonts w:ascii="ITC Avant Garde" w:hAnsi="ITC Avant Garde"/>
          <w:sz w:val="22"/>
          <w:szCs w:val="22"/>
          <w:lang w:val="es-ES"/>
        </w:rPr>
        <w:t>s</w:t>
      </w:r>
      <w:r w:rsidRPr="00422CA2">
        <w:rPr>
          <w:rFonts w:ascii="ITC Avant Garde" w:hAnsi="ITC Avant Garde"/>
          <w:sz w:val="22"/>
          <w:szCs w:val="22"/>
          <w:lang w:val="es-ES"/>
        </w:rPr>
        <w:t xml:space="preserve"> </w:t>
      </w:r>
      <w:r w:rsidR="00B32039" w:rsidRPr="00422CA2">
        <w:rPr>
          <w:rFonts w:ascii="ITC Avant Garde" w:hAnsi="ITC Avant Garde"/>
          <w:sz w:val="22"/>
          <w:szCs w:val="22"/>
          <w:lang w:val="es-ES"/>
        </w:rPr>
        <w:t>o</w:t>
      </w:r>
      <w:r w:rsidRPr="00422CA2">
        <w:rPr>
          <w:rFonts w:ascii="ITC Avant Garde" w:hAnsi="ITC Avant Garde"/>
          <w:sz w:val="22"/>
          <w:szCs w:val="22"/>
          <w:lang w:val="es-ES"/>
        </w:rPr>
        <w:t xml:space="preserve"> las condiciones tecnológicas de la red de Telmex con el medio de acceso en fibra óptica permitan prestar mayores opciones para la desagregación de Fibra Óptica Telmex las hará disponibles a los CS.</w:t>
      </w:r>
    </w:p>
    <w:p w14:paraId="40E85C61" w14:textId="77777777" w:rsidR="00530A32" w:rsidRPr="00422CA2" w:rsidRDefault="00011A1B" w:rsidP="00586B55">
      <w:pPr>
        <w:pStyle w:val="Ttulo1"/>
      </w:pPr>
      <w:bookmarkStart w:id="469" w:name="_Toc437602099"/>
      <w:r w:rsidRPr="00422CA2">
        <w:t>6.2</w:t>
      </w:r>
      <w:r w:rsidRPr="00422CA2">
        <w:tab/>
        <w:t>Servicio de Desagregación Total del Sub Bucle Local y Servicio de Desagregación Compartida del Sub-Bucle Local.</w:t>
      </w:r>
      <w:bookmarkEnd w:id="461"/>
      <w:bookmarkEnd w:id="462"/>
      <w:bookmarkEnd w:id="463"/>
      <w:bookmarkEnd w:id="464"/>
      <w:bookmarkEnd w:id="465"/>
      <w:bookmarkEnd w:id="466"/>
      <w:bookmarkEnd w:id="467"/>
      <w:bookmarkEnd w:id="468"/>
      <w:bookmarkEnd w:id="469"/>
    </w:p>
    <w:p w14:paraId="40E85C62" w14:textId="77777777" w:rsidR="00530A32" w:rsidRPr="00422CA2" w:rsidRDefault="00011A1B" w:rsidP="00586B55">
      <w:pPr>
        <w:pStyle w:val="Ttulo1"/>
      </w:pPr>
      <w:bookmarkStart w:id="470" w:name="_Toc436840909"/>
      <w:bookmarkStart w:id="471" w:name="_Toc436846346"/>
      <w:bookmarkStart w:id="472" w:name="_Toc436848296"/>
      <w:bookmarkStart w:id="473" w:name="_Toc436856544"/>
      <w:bookmarkStart w:id="474" w:name="_Toc436862690"/>
      <w:bookmarkStart w:id="475" w:name="_Toc436866340"/>
      <w:bookmarkStart w:id="476" w:name="_Toc436870919"/>
      <w:bookmarkStart w:id="477" w:name="_Toc436875911"/>
      <w:bookmarkStart w:id="478" w:name="_Toc437602100"/>
      <w:r w:rsidRPr="00422CA2">
        <w:t>6.2.1</w:t>
      </w:r>
      <w:r w:rsidRPr="00422CA2">
        <w:tab/>
        <w:t>Servicio de Desagregación Total del Sub Bucle Local.</w:t>
      </w:r>
      <w:bookmarkEnd w:id="470"/>
      <w:bookmarkEnd w:id="471"/>
      <w:bookmarkEnd w:id="472"/>
      <w:bookmarkEnd w:id="473"/>
      <w:bookmarkEnd w:id="474"/>
      <w:bookmarkEnd w:id="475"/>
      <w:bookmarkEnd w:id="476"/>
      <w:bookmarkEnd w:id="477"/>
      <w:bookmarkEnd w:id="478"/>
    </w:p>
    <w:p w14:paraId="40E85C64" w14:textId="77777777" w:rsidR="004F02E0"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Mediante este servicio </w:t>
      </w:r>
      <w:r w:rsidRPr="00422CA2">
        <w:rPr>
          <w:rFonts w:ascii="ITC Avant Garde" w:hAnsi="ITC Avant Garde"/>
          <w:sz w:val="22"/>
        </w:rPr>
        <w:t>(SDTSBL)</w:t>
      </w:r>
      <w:r w:rsidRPr="00422CA2">
        <w:rPr>
          <w:rFonts w:ascii="ITC Avant Garde" w:hAnsi="ITC Avant Garde"/>
          <w:sz w:val="22"/>
          <w:szCs w:val="22"/>
          <w:lang w:val="es-MX"/>
        </w:rPr>
        <w:t xml:space="preserve"> el CS accederá al sub-bucle de cobre que actualmente está instalado en el domicilio del usuario final y conectado a la red de Telmex, para ofrecer servicios de telecomunicaciones al usuario final. </w:t>
      </w:r>
    </w:p>
    <w:p w14:paraId="40E85C66" w14:textId="47FCBC5B" w:rsidR="00F45002"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este servicio, Telmex arrienda el Sub-Bucle local, que comprende el circuito físico desde el PCT hasta el Anexo de la Caja de Distribución (CD). El CS dispondrá </w:t>
      </w:r>
      <w:r w:rsidRPr="00422CA2">
        <w:rPr>
          <w:rFonts w:ascii="ITC Avant Garde" w:hAnsi="ITC Avant Garde"/>
          <w:sz w:val="22"/>
          <w:szCs w:val="22"/>
        </w:rPr>
        <w:lastRenderedPageBreak/>
        <w:t xml:space="preserve">de las frecuencias del bucle indicadas en el </w:t>
      </w:r>
      <w:r w:rsidR="003E0497" w:rsidRPr="00422CA2">
        <w:rPr>
          <w:rFonts w:ascii="ITC Avant Garde" w:hAnsi="ITC Avant Garde"/>
          <w:sz w:val="22"/>
          <w:szCs w:val="22"/>
        </w:rPr>
        <w:t>PGE</w:t>
      </w:r>
      <w:r w:rsidRPr="00422CA2">
        <w:rPr>
          <w:rFonts w:ascii="ITC Avant Garde" w:hAnsi="ITC Avant Garde"/>
          <w:sz w:val="22"/>
          <w:szCs w:val="22"/>
        </w:rPr>
        <w:t xml:space="preserve">, con el fin de brindar servicios a través del mismo cable multipar de la red secundaria al que pertenece el sub-bucle desagregado. </w:t>
      </w:r>
    </w:p>
    <w:p w14:paraId="40E85C68" w14:textId="77777777" w:rsidR="00480774" w:rsidRPr="00422CA2" w:rsidRDefault="00011A1B" w:rsidP="007C546C">
      <w:pPr>
        <w:pStyle w:val="Texto1"/>
        <w:spacing w:after="200" w:line="276" w:lineRule="auto"/>
        <w:ind w:left="0"/>
        <w:rPr>
          <w:rFonts w:ascii="ITC Avant Garde" w:hAnsi="ITC Avant Garde"/>
          <w:b/>
          <w:sz w:val="22"/>
          <w:szCs w:val="22"/>
        </w:rPr>
      </w:pPr>
      <w:r w:rsidRPr="00422CA2">
        <w:rPr>
          <w:rFonts w:ascii="ITC Avant Garde" w:hAnsi="ITC Avant Garde"/>
          <w:b/>
          <w:sz w:val="22"/>
          <w:szCs w:val="22"/>
        </w:rPr>
        <w:t xml:space="preserve">Responsabilidad de Telmex </w:t>
      </w:r>
      <w:r w:rsidRPr="00422CA2">
        <w:rPr>
          <w:rFonts w:ascii="ITC Avant Garde" w:hAnsi="ITC Avant Garde" w:cs="Arial"/>
          <w:b/>
          <w:sz w:val="22"/>
          <w:szCs w:val="22"/>
          <w:lang w:val="es-ES"/>
        </w:rPr>
        <w:t>y recursos asociados al SDTSBL</w:t>
      </w:r>
    </w:p>
    <w:p w14:paraId="40E85C69" w14:textId="5E740169" w:rsidR="004F02E0"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Telmex es responsable de proveer el Sub-bucle local y de su</w:t>
      </w:r>
      <w:r w:rsidR="002F6B39" w:rsidRPr="00422CA2">
        <w:rPr>
          <w:rFonts w:ascii="ITC Avant Garde" w:hAnsi="ITC Avant Garde"/>
          <w:sz w:val="22"/>
          <w:szCs w:val="22"/>
        </w:rPr>
        <w:t xml:space="preserve"> </w:t>
      </w:r>
      <w:r w:rsidRPr="00422CA2">
        <w:rPr>
          <w:rFonts w:ascii="ITC Avant Garde" w:hAnsi="ITC Avant Garde"/>
          <w:sz w:val="22"/>
          <w:szCs w:val="22"/>
        </w:rPr>
        <w:t xml:space="preserve">mantenimiento desde el PCT hasta la tablilla del Anexo de Caja de Distribución (CD) donde se entregará el Sub-bucle al CS, desagregando únicamente el segmento de red secundaria del bucle de usuario final, sin llegar a la Central. El servicio será proporcionado desde un Anexo de Caja de Distribución ubicado en la vía pública, siempre y cuando se cuente con las facilidades requeridas, de no ser así, será justificado con base en lo establecido en esta </w:t>
      </w:r>
      <w:r w:rsidR="00CA026A">
        <w:rPr>
          <w:rFonts w:ascii="ITC Avant Garde" w:hAnsi="ITC Avant Garde"/>
          <w:sz w:val="22"/>
          <w:szCs w:val="22"/>
        </w:rPr>
        <w:t>OREDA</w:t>
      </w:r>
      <w:r w:rsidRPr="00422CA2">
        <w:rPr>
          <w:rFonts w:ascii="ITC Avant Garde" w:hAnsi="ITC Avant Garde"/>
          <w:sz w:val="22"/>
          <w:szCs w:val="22"/>
        </w:rPr>
        <w:t xml:space="preserve"> en la sección 1.4.</w:t>
      </w:r>
    </w:p>
    <w:p w14:paraId="40E85C6B" w14:textId="2C63A019" w:rsidR="000D585A"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 xml:space="preserve">Cuando no se cuente con las facilidades requeridas se informara y justificara las razones por las cuales no es posible la colocación e instalación del </w:t>
      </w:r>
      <w:r w:rsidR="00775272" w:rsidRPr="00422CA2">
        <w:rPr>
          <w:rFonts w:ascii="ITC Avant Garde" w:hAnsi="ITC Avant Garde"/>
          <w:sz w:val="22"/>
          <w:szCs w:val="22"/>
        </w:rPr>
        <w:t>Anexo</w:t>
      </w:r>
      <w:r w:rsidRPr="00422CA2">
        <w:rPr>
          <w:rFonts w:ascii="ITC Avant Garde" w:hAnsi="ITC Avant Garde"/>
          <w:sz w:val="22"/>
          <w:szCs w:val="22"/>
        </w:rPr>
        <w:t xml:space="preserve"> de </w:t>
      </w:r>
      <w:r w:rsidR="00775272" w:rsidRPr="00422CA2">
        <w:rPr>
          <w:rFonts w:ascii="ITC Avant Garde" w:hAnsi="ITC Avant Garde"/>
          <w:sz w:val="22"/>
          <w:szCs w:val="22"/>
        </w:rPr>
        <w:t>Caja</w:t>
      </w:r>
      <w:r w:rsidRPr="00422CA2">
        <w:rPr>
          <w:rFonts w:ascii="ITC Avant Garde" w:hAnsi="ITC Avant Garde"/>
          <w:sz w:val="22"/>
          <w:szCs w:val="22"/>
        </w:rPr>
        <w:t xml:space="preserve"> de </w:t>
      </w:r>
      <w:r w:rsidR="00775272" w:rsidRPr="00422CA2">
        <w:rPr>
          <w:rFonts w:ascii="ITC Avant Garde" w:hAnsi="ITC Avant Garde"/>
          <w:sz w:val="22"/>
          <w:szCs w:val="22"/>
        </w:rPr>
        <w:t>Distribución</w:t>
      </w:r>
      <w:r w:rsidRPr="00422CA2">
        <w:rPr>
          <w:rFonts w:ascii="ITC Avant Garde" w:hAnsi="ITC Avant Garde"/>
          <w:sz w:val="22"/>
          <w:szCs w:val="22"/>
        </w:rPr>
        <w:t>.</w:t>
      </w:r>
    </w:p>
    <w:p w14:paraId="40E85C6C" w14:textId="77777777" w:rsidR="000D585A"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El tipo de mantenimiento a realizar estará en función al elemento del sub bucle local identificado con daño. Por otra parte las actividades primordiales a seguir son:</w:t>
      </w:r>
    </w:p>
    <w:p w14:paraId="40E85C6D" w14:textId="77777777" w:rsidR="000D585A" w:rsidRPr="00422CA2" w:rsidRDefault="00011A1B" w:rsidP="007C546C">
      <w:pPr>
        <w:pStyle w:val="Prrafodelista2"/>
        <w:numPr>
          <w:ilvl w:val="0"/>
          <w:numId w:val="102"/>
        </w:numPr>
        <w:spacing w:after="200" w:line="276" w:lineRule="auto"/>
        <w:jc w:val="both"/>
        <w:rPr>
          <w:rFonts w:ascii="ITC Avant Garde" w:hAnsi="ITC Avant Garde"/>
          <w:sz w:val="22"/>
          <w:szCs w:val="22"/>
        </w:rPr>
      </w:pPr>
      <w:r w:rsidRPr="00422CA2">
        <w:rPr>
          <w:rFonts w:ascii="ITC Avant Garde" w:hAnsi="ITC Avant Garde"/>
          <w:sz w:val="22"/>
          <w:szCs w:val="22"/>
        </w:rPr>
        <w:t>Ubicación del daño.</w:t>
      </w:r>
    </w:p>
    <w:p w14:paraId="40E85C6E" w14:textId="77777777" w:rsidR="000D585A" w:rsidRPr="00422CA2" w:rsidRDefault="00011A1B" w:rsidP="007C546C">
      <w:pPr>
        <w:pStyle w:val="Prrafodelista2"/>
        <w:numPr>
          <w:ilvl w:val="0"/>
          <w:numId w:val="102"/>
        </w:numPr>
        <w:spacing w:after="200" w:line="276" w:lineRule="auto"/>
        <w:jc w:val="both"/>
        <w:rPr>
          <w:rFonts w:ascii="ITC Avant Garde" w:hAnsi="ITC Avant Garde"/>
          <w:sz w:val="22"/>
          <w:szCs w:val="22"/>
        </w:rPr>
      </w:pPr>
      <w:r w:rsidRPr="00422CA2">
        <w:rPr>
          <w:rFonts w:ascii="ITC Avant Garde" w:hAnsi="ITC Avant Garde"/>
          <w:sz w:val="22"/>
          <w:szCs w:val="22"/>
        </w:rPr>
        <w:t>Cuando el daño se localice en el sub bucle local:</w:t>
      </w:r>
    </w:p>
    <w:p w14:paraId="40E85C6F" w14:textId="27A49D52"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 xml:space="preserve">Identificación de un par </w:t>
      </w:r>
      <w:r w:rsidR="00EB17F6" w:rsidRPr="00422CA2">
        <w:rPr>
          <w:rFonts w:ascii="ITC Avant Garde" w:hAnsi="ITC Avant Garde"/>
          <w:sz w:val="22"/>
          <w:szCs w:val="22"/>
        </w:rPr>
        <w:t>de cobre</w:t>
      </w:r>
      <w:r w:rsidRPr="00422CA2">
        <w:rPr>
          <w:rFonts w:ascii="ITC Avant Garde" w:hAnsi="ITC Avant Garde"/>
          <w:sz w:val="22"/>
          <w:szCs w:val="22"/>
        </w:rPr>
        <w:t xml:space="preserve"> libre en buen estado eléctrico y físico.</w:t>
      </w:r>
    </w:p>
    <w:p w14:paraId="40E85C70" w14:textId="02D038E3"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 xml:space="preserve">Reasignación del SDTSBL al par </w:t>
      </w:r>
      <w:r w:rsidR="00EB17F6" w:rsidRPr="00422CA2">
        <w:rPr>
          <w:rFonts w:ascii="ITC Avant Garde" w:hAnsi="ITC Avant Garde"/>
          <w:sz w:val="22"/>
          <w:szCs w:val="22"/>
        </w:rPr>
        <w:t>de cobre</w:t>
      </w:r>
      <w:r w:rsidRPr="00422CA2">
        <w:rPr>
          <w:rFonts w:ascii="ITC Avant Garde" w:hAnsi="ITC Avant Garde"/>
          <w:sz w:val="22"/>
          <w:szCs w:val="22"/>
        </w:rPr>
        <w:t xml:space="preserve"> libre en buen estado eléctrico y físico </w:t>
      </w:r>
      <w:r w:rsidRPr="00422CA2">
        <w:rPr>
          <w:rFonts w:ascii="ITC Avant Garde" w:hAnsi="ITC Avant Garde" w:cs="Arial"/>
          <w:sz w:val="22"/>
          <w:szCs w:val="22"/>
          <w:lang w:val="es-ES"/>
        </w:rPr>
        <w:t>y se notifica al CS la nueva posición de la tablilla</w:t>
      </w:r>
      <w:r w:rsidRPr="00422CA2">
        <w:rPr>
          <w:rFonts w:ascii="ITC Avant Garde" w:hAnsi="ITC Avant Garde"/>
          <w:sz w:val="22"/>
          <w:szCs w:val="22"/>
        </w:rPr>
        <w:t>.</w:t>
      </w:r>
    </w:p>
    <w:p w14:paraId="40E85C71" w14:textId="6EBD5004"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 xml:space="preserve">Cuando no exista un par </w:t>
      </w:r>
      <w:r w:rsidR="00EB17F6" w:rsidRPr="00422CA2">
        <w:rPr>
          <w:rFonts w:ascii="ITC Avant Garde" w:hAnsi="ITC Avant Garde"/>
          <w:sz w:val="22"/>
          <w:szCs w:val="22"/>
        </w:rPr>
        <w:t>de cobre</w:t>
      </w:r>
      <w:r w:rsidRPr="00422CA2">
        <w:rPr>
          <w:rFonts w:ascii="ITC Avant Garde" w:hAnsi="ITC Avant Garde"/>
          <w:sz w:val="22"/>
          <w:szCs w:val="22"/>
        </w:rPr>
        <w:t xml:space="preserve"> libre en buen estado eléctrico y físico, Telmex procederá con la localización del daño eléctrico y/o físico para su reparación.</w:t>
      </w:r>
    </w:p>
    <w:p w14:paraId="40E85C72" w14:textId="77777777" w:rsidR="000D585A" w:rsidRPr="00422CA2" w:rsidRDefault="00011A1B" w:rsidP="007C546C">
      <w:pPr>
        <w:pStyle w:val="Prrafodelista2"/>
        <w:numPr>
          <w:ilvl w:val="0"/>
          <w:numId w:val="102"/>
        </w:numPr>
        <w:spacing w:after="200" w:line="276" w:lineRule="auto"/>
        <w:jc w:val="both"/>
        <w:rPr>
          <w:rFonts w:ascii="ITC Avant Garde" w:hAnsi="ITC Avant Garde"/>
          <w:sz w:val="22"/>
          <w:szCs w:val="22"/>
        </w:rPr>
      </w:pPr>
      <w:r w:rsidRPr="00422CA2">
        <w:rPr>
          <w:rFonts w:ascii="ITC Avant Garde" w:hAnsi="ITC Avant Garde"/>
          <w:sz w:val="22"/>
          <w:szCs w:val="22"/>
        </w:rPr>
        <w:t>Cuando el daño se localice en el par procedente del usuario final, el elemento dañado será sustituido.</w:t>
      </w:r>
    </w:p>
    <w:p w14:paraId="40E85C74" w14:textId="77777777" w:rsidR="004F02E0"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La siguiente figura muestra el esquema para la Desagregación Total del Sub-Bucle.</w:t>
      </w:r>
    </w:p>
    <w:p w14:paraId="40E85C76" w14:textId="77777777" w:rsidR="004F02E0" w:rsidRPr="00422CA2" w:rsidRDefault="00530A32" w:rsidP="00D1195D">
      <w:pPr>
        <w:pStyle w:val="Texto1"/>
        <w:spacing w:line="360" w:lineRule="auto"/>
        <w:ind w:left="0"/>
        <w:contextualSpacing/>
        <w:jc w:val="center"/>
        <w:rPr>
          <w:rFonts w:ascii="ITC Avant Garde" w:hAnsi="ITC Avant Garde"/>
          <w:sz w:val="22"/>
          <w:szCs w:val="22"/>
        </w:rPr>
      </w:pPr>
      <w:r w:rsidRPr="00422CA2">
        <w:rPr>
          <w:rFonts w:ascii="ITC Avant Garde" w:hAnsi="ITC Avant Garde"/>
          <w:noProof/>
          <w:sz w:val="22"/>
          <w:szCs w:val="22"/>
          <w:lang w:val="es-MX" w:eastAsia="es-MX"/>
        </w:rPr>
        <w:lastRenderedPageBreak/>
        <w:drawing>
          <wp:inline distT="0" distB="0" distL="0" distR="0" wp14:anchorId="40E860EA" wp14:editId="2F83E077">
            <wp:extent cx="5099050" cy="2123023"/>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24768"/>
                    <a:stretch/>
                  </pic:blipFill>
                  <pic:spPr bwMode="auto">
                    <a:xfrm>
                      <a:off x="0" y="0"/>
                      <a:ext cx="5110352" cy="2127728"/>
                    </a:xfrm>
                    <a:prstGeom prst="rect">
                      <a:avLst/>
                    </a:prstGeom>
                    <a:noFill/>
                    <a:ln>
                      <a:noFill/>
                    </a:ln>
                    <a:extLst>
                      <a:ext uri="{53640926-AAD7-44D8-BBD7-CCE9431645EC}">
                        <a14:shadowObscured xmlns:a14="http://schemas.microsoft.com/office/drawing/2010/main"/>
                      </a:ext>
                    </a:extLst>
                  </pic:spPr>
                </pic:pic>
              </a:graphicData>
            </a:graphic>
          </wp:inline>
        </w:drawing>
      </w:r>
    </w:p>
    <w:p w14:paraId="40E85C77" w14:textId="77777777" w:rsidR="004F02E0" w:rsidRPr="00422CA2" w:rsidRDefault="00011A1B" w:rsidP="00743FBE">
      <w:pPr>
        <w:pStyle w:val="Texto1"/>
        <w:spacing w:line="360" w:lineRule="auto"/>
        <w:ind w:left="0"/>
        <w:contextualSpacing/>
        <w:jc w:val="center"/>
        <w:rPr>
          <w:rFonts w:ascii="ITC Avant Garde" w:hAnsi="ITC Avant Garde"/>
          <w:sz w:val="18"/>
          <w:szCs w:val="18"/>
        </w:rPr>
      </w:pPr>
      <w:r w:rsidRPr="00422CA2">
        <w:rPr>
          <w:rFonts w:ascii="ITC Avant Garde" w:hAnsi="ITC Avant Garde"/>
          <w:sz w:val="18"/>
          <w:szCs w:val="18"/>
        </w:rPr>
        <w:t>Servicio de Desagregación Total del Sub-Bucle.</w:t>
      </w:r>
    </w:p>
    <w:p w14:paraId="40E85C78" w14:textId="77777777" w:rsidR="006E24EA" w:rsidRPr="00422CA2" w:rsidRDefault="006E24EA" w:rsidP="00F45002">
      <w:pPr>
        <w:spacing w:line="360" w:lineRule="auto"/>
        <w:contextualSpacing/>
        <w:jc w:val="both"/>
        <w:rPr>
          <w:rFonts w:ascii="ITC Avant Garde" w:hAnsi="ITC Avant Garde"/>
          <w:sz w:val="22"/>
          <w:szCs w:val="22"/>
          <w:lang w:val="es-ES"/>
        </w:rPr>
      </w:pPr>
    </w:p>
    <w:p w14:paraId="40E85C7A" w14:textId="77777777" w:rsidR="00530A32" w:rsidRPr="00422CA2" w:rsidRDefault="00011A1B" w:rsidP="00586B55">
      <w:pPr>
        <w:pStyle w:val="Ttulo1"/>
      </w:pPr>
      <w:bookmarkStart w:id="479" w:name="_Toc436840910"/>
      <w:bookmarkStart w:id="480" w:name="_Toc436846347"/>
      <w:bookmarkStart w:id="481" w:name="_Toc436848297"/>
      <w:bookmarkStart w:id="482" w:name="_Toc436856545"/>
      <w:bookmarkStart w:id="483" w:name="_Toc436862691"/>
      <w:bookmarkStart w:id="484" w:name="_Toc436866341"/>
      <w:bookmarkStart w:id="485" w:name="_Toc436870920"/>
      <w:bookmarkStart w:id="486" w:name="_Toc436875912"/>
      <w:bookmarkStart w:id="487" w:name="_Toc437602101"/>
      <w:r w:rsidRPr="00422CA2">
        <w:t>6.2.2</w:t>
      </w:r>
      <w:r w:rsidRPr="00422CA2">
        <w:tab/>
        <w:t>Servicio de Desagregación Compartida del Sub Bucle.</w:t>
      </w:r>
      <w:bookmarkEnd w:id="479"/>
      <w:bookmarkEnd w:id="480"/>
      <w:bookmarkEnd w:id="481"/>
      <w:bookmarkEnd w:id="482"/>
      <w:bookmarkEnd w:id="483"/>
      <w:bookmarkEnd w:id="484"/>
      <w:bookmarkEnd w:id="485"/>
      <w:bookmarkEnd w:id="486"/>
      <w:bookmarkEnd w:id="487"/>
    </w:p>
    <w:p w14:paraId="40E85C7B" w14:textId="77777777" w:rsidR="00555B25"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El </w:t>
      </w:r>
      <w:r w:rsidR="0099383E" w:rsidRPr="00422CA2">
        <w:rPr>
          <w:rFonts w:ascii="ITC Avant Garde" w:hAnsi="ITC Avant Garde"/>
          <w:sz w:val="22"/>
          <w:szCs w:val="22"/>
        </w:rPr>
        <w:t>SDCSBL</w:t>
      </w:r>
      <w:r w:rsidRPr="00422CA2">
        <w:rPr>
          <w:rFonts w:ascii="ITC Avant Garde" w:hAnsi="ITC Avant Garde"/>
          <w:sz w:val="22"/>
          <w:szCs w:val="22"/>
        </w:rPr>
        <w:t xml:space="preserve"> consiste en compartir el sub-bucle (par de cobre que </w:t>
      </w:r>
      <w:r w:rsidRPr="00422CA2">
        <w:rPr>
          <w:rFonts w:ascii="ITC Avant Garde" w:hAnsi="ITC Avant Garde"/>
          <w:sz w:val="22"/>
          <w:szCs w:val="22"/>
          <w:lang w:val="es-MX"/>
        </w:rPr>
        <w:t>se remata en la Caja de Distribución (CD) de la red secundaria), que actualmente está instalado hasta el domicilio del usuario final</w:t>
      </w:r>
      <w:r w:rsidRPr="00422CA2">
        <w:rPr>
          <w:rFonts w:ascii="ITC Avant Garde" w:hAnsi="ITC Avant Garde"/>
          <w:sz w:val="22"/>
          <w:szCs w:val="22"/>
        </w:rPr>
        <w:t>.</w:t>
      </w:r>
    </w:p>
    <w:p w14:paraId="40E85C7D" w14:textId="1C5EF469" w:rsidR="004F02E0"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este servicio, Telmex mantiene la gestión de la banda de frecuencias bajas, y el CS proporciona el servicio de datos en la banda superior de frecuencias siempre que no interfiera con los servicios que Telmex u otro Concesionario proporcionan a través del mismo cable multipar en la red secundaria de acuerdo con lo establecido en el </w:t>
      </w:r>
      <w:r w:rsidR="003E0497" w:rsidRPr="00422CA2">
        <w:rPr>
          <w:rFonts w:ascii="ITC Avant Garde" w:hAnsi="ITC Avant Garde"/>
          <w:sz w:val="22"/>
          <w:szCs w:val="22"/>
        </w:rPr>
        <w:t>PGE</w:t>
      </w:r>
      <w:r w:rsidRPr="00422CA2">
        <w:rPr>
          <w:rFonts w:ascii="ITC Avant Garde" w:hAnsi="ITC Avant Garde"/>
          <w:sz w:val="22"/>
          <w:szCs w:val="22"/>
        </w:rPr>
        <w:t>.</w:t>
      </w:r>
    </w:p>
    <w:p w14:paraId="40E85C7E" w14:textId="77777777" w:rsidR="00480774"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Responsabilidad de Telmex </w:t>
      </w:r>
      <w:r w:rsidRPr="00422CA2">
        <w:rPr>
          <w:rFonts w:ascii="ITC Avant Garde" w:hAnsi="ITC Avant Garde" w:cs="Arial"/>
          <w:sz w:val="22"/>
          <w:szCs w:val="22"/>
          <w:lang w:val="es-ES"/>
        </w:rPr>
        <w:t>y recursos asociados al SDCSBL</w:t>
      </w:r>
    </w:p>
    <w:p w14:paraId="40E85C80" w14:textId="01D30E9B" w:rsidR="00A4016C"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 xml:space="preserve">Telmex es responsable de proveer el sub-bucle local y su mantenimiento desde el Punto de Conexión Terminal (PCT) hasta la tablilla de remate donde se separan las bandas de frecuencias en el Anexo de Caja de Distribución de Telmex (incluye los puentes entre la Caja de Distribución y el </w:t>
      </w:r>
      <w:r w:rsidR="00F00F60" w:rsidRPr="00422CA2">
        <w:rPr>
          <w:rFonts w:ascii="ITC Avant Garde" w:hAnsi="ITC Avant Garde"/>
          <w:sz w:val="22"/>
          <w:szCs w:val="22"/>
        </w:rPr>
        <w:t>Anexo de Caja de Distribución</w:t>
      </w:r>
      <w:r w:rsidRPr="00422CA2">
        <w:rPr>
          <w:rFonts w:ascii="ITC Avant Garde" w:hAnsi="ITC Avant Garde"/>
          <w:sz w:val="22"/>
          <w:szCs w:val="22"/>
        </w:rPr>
        <w:t>).</w:t>
      </w:r>
    </w:p>
    <w:p w14:paraId="40E85C81" w14:textId="77777777" w:rsidR="004F02E0" w:rsidRPr="00422CA2" w:rsidRDefault="00530A32" w:rsidP="00D1195D">
      <w:pPr>
        <w:spacing w:line="360" w:lineRule="auto"/>
        <w:contextualSpacing/>
        <w:jc w:val="center"/>
        <w:rPr>
          <w:rFonts w:ascii="ITC Avant Garde" w:hAnsi="ITC Avant Garde"/>
          <w:sz w:val="22"/>
          <w:szCs w:val="22"/>
        </w:rPr>
      </w:pPr>
      <w:r w:rsidRPr="00422CA2">
        <w:rPr>
          <w:rFonts w:ascii="ITC Avant Garde" w:hAnsi="ITC Avant Garde"/>
          <w:noProof/>
          <w:sz w:val="22"/>
          <w:szCs w:val="22"/>
          <w:lang w:val="es-MX" w:eastAsia="es-MX"/>
        </w:rPr>
        <w:lastRenderedPageBreak/>
        <w:drawing>
          <wp:inline distT="0" distB="0" distL="0" distR="0" wp14:anchorId="40E860EC" wp14:editId="40E860ED">
            <wp:extent cx="4906010" cy="2496820"/>
            <wp:effectExtent l="19050" t="0" r="889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srcRect/>
                    <a:stretch>
                      <a:fillRect/>
                    </a:stretch>
                  </pic:blipFill>
                  <pic:spPr bwMode="auto">
                    <a:xfrm>
                      <a:off x="0" y="0"/>
                      <a:ext cx="4908699" cy="2496368"/>
                    </a:xfrm>
                    <a:prstGeom prst="rect">
                      <a:avLst/>
                    </a:prstGeom>
                    <a:noFill/>
                    <a:ln w="9525">
                      <a:noFill/>
                      <a:miter lim="800000"/>
                      <a:headEnd/>
                      <a:tailEnd/>
                    </a:ln>
                  </pic:spPr>
                </pic:pic>
              </a:graphicData>
            </a:graphic>
          </wp:inline>
        </w:drawing>
      </w:r>
    </w:p>
    <w:p w14:paraId="40E85C82" w14:textId="77777777" w:rsidR="004F02E0" w:rsidRPr="00422CA2" w:rsidRDefault="00011A1B" w:rsidP="007C546C">
      <w:pPr>
        <w:spacing w:after="200" w:line="276" w:lineRule="auto"/>
        <w:jc w:val="center"/>
        <w:rPr>
          <w:rFonts w:ascii="ITC Avant Garde" w:hAnsi="ITC Avant Garde"/>
          <w:sz w:val="18"/>
          <w:szCs w:val="18"/>
        </w:rPr>
      </w:pPr>
      <w:r w:rsidRPr="00422CA2">
        <w:rPr>
          <w:rFonts w:ascii="ITC Avant Garde" w:hAnsi="ITC Avant Garde"/>
          <w:sz w:val="18"/>
          <w:szCs w:val="18"/>
        </w:rPr>
        <w:t>Servicio de Desagregación Compartida del Sub-bucle</w:t>
      </w:r>
    </w:p>
    <w:p w14:paraId="40E85C84" w14:textId="4FDCE2BD" w:rsidR="000D585A" w:rsidRPr="00422CA2" w:rsidRDefault="00011A1B" w:rsidP="007C546C">
      <w:pPr>
        <w:pStyle w:val="Texto1"/>
        <w:spacing w:after="200" w:line="276" w:lineRule="auto"/>
        <w:ind w:left="0"/>
        <w:rPr>
          <w:rFonts w:ascii="ITC Avant Garde" w:hAnsi="ITC Avant Garde"/>
          <w:sz w:val="22"/>
          <w:szCs w:val="22"/>
        </w:rPr>
      </w:pPr>
      <w:r w:rsidRPr="00422CA2">
        <w:rPr>
          <w:rFonts w:ascii="ITC Avant Garde" w:hAnsi="ITC Avant Garde"/>
          <w:sz w:val="22"/>
          <w:szCs w:val="22"/>
        </w:rPr>
        <w:t>Telmex instalará divisores (</w:t>
      </w:r>
      <w:r w:rsidRPr="00422CA2">
        <w:rPr>
          <w:rFonts w:ascii="ITC Avant Garde" w:hAnsi="ITC Avant Garde"/>
          <w:i/>
          <w:sz w:val="22"/>
          <w:szCs w:val="22"/>
        </w:rPr>
        <w:t>splitters</w:t>
      </w:r>
      <w:r w:rsidRPr="00422CA2">
        <w:rPr>
          <w:rFonts w:ascii="ITC Avant Garde" w:hAnsi="ITC Avant Garde"/>
          <w:sz w:val="22"/>
          <w:szCs w:val="22"/>
        </w:rPr>
        <w:t xml:space="preserve">) en tablillas en el Anexo de Caja de Distribución, para separar el servicio de voz del servicio de datos que proporcionara el CS. Las frecuencias de la banda alta serán entregadas al CS para que éste provea servicios de </w:t>
      </w:r>
      <w:r w:rsidR="00264D6A" w:rsidRPr="00422CA2">
        <w:rPr>
          <w:rFonts w:ascii="ITC Avant Garde" w:hAnsi="ITC Avant Garde"/>
          <w:sz w:val="22"/>
          <w:szCs w:val="22"/>
        </w:rPr>
        <w:t xml:space="preserve">datos </w:t>
      </w:r>
      <w:r w:rsidRPr="00422CA2">
        <w:rPr>
          <w:rFonts w:ascii="ITC Avant Garde" w:hAnsi="ITC Avant Garde"/>
          <w:sz w:val="22"/>
          <w:szCs w:val="22"/>
        </w:rPr>
        <w:t xml:space="preserve">al usuario final, no obstante el servicio de telefonía será gestionado por Telmex, ya sea que Telmex provea el servicio o la línea sea contratada en SRL. En este servicio, el CS </w:t>
      </w:r>
      <w:r w:rsidR="00264D6A" w:rsidRPr="00422CA2">
        <w:rPr>
          <w:rFonts w:ascii="ITC Avant Garde" w:hAnsi="ITC Avant Garde"/>
          <w:sz w:val="22"/>
          <w:szCs w:val="22"/>
        </w:rPr>
        <w:t>podrá elegir entre adquirir</w:t>
      </w:r>
      <w:r w:rsidRPr="00422CA2">
        <w:rPr>
          <w:rFonts w:ascii="ITC Avant Garde" w:hAnsi="ITC Avant Garde"/>
          <w:sz w:val="22"/>
          <w:szCs w:val="22"/>
        </w:rPr>
        <w:t xml:space="preserve"> </w:t>
      </w:r>
      <w:r w:rsidR="00264D6A" w:rsidRPr="00422CA2">
        <w:rPr>
          <w:rFonts w:ascii="ITC Avant Garde" w:hAnsi="ITC Avant Garde"/>
          <w:sz w:val="22"/>
          <w:szCs w:val="22"/>
        </w:rPr>
        <w:t>y llevar a cabo</w:t>
      </w:r>
      <w:r w:rsidRPr="00422CA2">
        <w:rPr>
          <w:rFonts w:ascii="ITC Avant Garde" w:hAnsi="ITC Avant Garde"/>
          <w:sz w:val="22"/>
          <w:szCs w:val="22"/>
        </w:rPr>
        <w:t xml:space="preserve"> la instalación de los divisores de banda de frecuencias en el domicilio del usuario, cuando el Punto de Conexión Terminal no incluya </w:t>
      </w:r>
      <w:r w:rsidRPr="00422CA2">
        <w:rPr>
          <w:rFonts w:ascii="ITC Avant Garde" w:hAnsi="ITC Avant Garde"/>
          <w:i/>
          <w:sz w:val="22"/>
          <w:szCs w:val="22"/>
        </w:rPr>
        <w:t>splitters</w:t>
      </w:r>
      <w:r w:rsidRPr="00422CA2">
        <w:rPr>
          <w:rFonts w:ascii="ITC Avant Garde" w:hAnsi="ITC Avant Garde"/>
          <w:sz w:val="22"/>
          <w:szCs w:val="22"/>
        </w:rPr>
        <w:t xml:space="preserve">; o bien, Telmex podrá proveer los </w:t>
      </w:r>
      <w:r w:rsidR="00BA620C" w:rsidRPr="00422CA2">
        <w:rPr>
          <w:rFonts w:ascii="ITC Avant Garde" w:hAnsi="ITC Avant Garde"/>
          <w:sz w:val="22"/>
          <w:szCs w:val="22"/>
        </w:rPr>
        <w:t xml:space="preserve">splitters </w:t>
      </w:r>
      <w:r w:rsidRPr="00422CA2">
        <w:rPr>
          <w:rFonts w:ascii="ITC Avant Garde" w:hAnsi="ITC Avant Garde"/>
          <w:sz w:val="22"/>
          <w:szCs w:val="22"/>
        </w:rPr>
        <w:t xml:space="preserve">de conformidad con lo establecido en la sección 5.2 de esta </w:t>
      </w:r>
      <w:r w:rsidR="00540109" w:rsidRPr="00422CA2">
        <w:rPr>
          <w:rFonts w:ascii="ITC Avant Garde" w:hAnsi="ITC Avant Garde"/>
          <w:sz w:val="22"/>
          <w:szCs w:val="22"/>
        </w:rPr>
        <w:t>OREDA</w:t>
      </w:r>
      <w:r w:rsidRPr="00422CA2">
        <w:rPr>
          <w:rFonts w:ascii="ITC Avant Garde" w:hAnsi="ITC Avant Garde"/>
          <w:sz w:val="22"/>
          <w:szCs w:val="22"/>
        </w:rPr>
        <w:t>.</w:t>
      </w:r>
    </w:p>
    <w:p w14:paraId="40E85C86" w14:textId="77777777" w:rsidR="000D585A"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El tipo de mantenimiento a realizar estará en función del elemento del sub bucle local identificado con daño. Por otra parte las actividades primordiales a seguir son:</w:t>
      </w:r>
    </w:p>
    <w:p w14:paraId="40E85C87" w14:textId="77777777" w:rsidR="000D585A" w:rsidRPr="00422CA2" w:rsidRDefault="00011A1B" w:rsidP="007C546C">
      <w:pPr>
        <w:pStyle w:val="Prrafodelista2"/>
        <w:numPr>
          <w:ilvl w:val="0"/>
          <w:numId w:val="104"/>
        </w:numPr>
        <w:spacing w:after="200" w:line="276" w:lineRule="auto"/>
        <w:jc w:val="both"/>
        <w:rPr>
          <w:rFonts w:ascii="ITC Avant Garde" w:hAnsi="ITC Avant Garde"/>
          <w:sz w:val="22"/>
          <w:szCs w:val="22"/>
        </w:rPr>
      </w:pPr>
      <w:r w:rsidRPr="00422CA2">
        <w:rPr>
          <w:rFonts w:ascii="ITC Avant Garde" w:hAnsi="ITC Avant Garde"/>
          <w:sz w:val="22"/>
          <w:szCs w:val="22"/>
        </w:rPr>
        <w:t>Ubicación del daño.</w:t>
      </w:r>
    </w:p>
    <w:p w14:paraId="40E85C88" w14:textId="77777777" w:rsidR="000D585A" w:rsidRPr="00422CA2" w:rsidRDefault="00011A1B" w:rsidP="007C546C">
      <w:pPr>
        <w:pStyle w:val="Prrafodelista2"/>
        <w:numPr>
          <w:ilvl w:val="0"/>
          <w:numId w:val="104"/>
        </w:numPr>
        <w:spacing w:after="200" w:line="276" w:lineRule="auto"/>
        <w:jc w:val="both"/>
        <w:rPr>
          <w:rFonts w:ascii="ITC Avant Garde" w:hAnsi="ITC Avant Garde"/>
          <w:sz w:val="22"/>
          <w:szCs w:val="22"/>
        </w:rPr>
      </w:pPr>
      <w:r w:rsidRPr="00422CA2">
        <w:rPr>
          <w:rFonts w:ascii="ITC Avant Garde" w:hAnsi="ITC Avant Garde"/>
          <w:sz w:val="22"/>
          <w:szCs w:val="22"/>
        </w:rPr>
        <w:t>Cuando el daño se localice en el sub bucle local:</w:t>
      </w:r>
    </w:p>
    <w:p w14:paraId="40E85C89" w14:textId="77777777"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Identificación de un par libre en buen estado eléctrico y físico.</w:t>
      </w:r>
    </w:p>
    <w:p w14:paraId="40E85C8A" w14:textId="77777777"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 xml:space="preserve">Reasignación del SDCSBL al par libre en buen estado eléctrico y físico, </w:t>
      </w:r>
      <w:r w:rsidRPr="00422CA2">
        <w:rPr>
          <w:rFonts w:ascii="ITC Avant Garde" w:hAnsi="ITC Avant Garde" w:cs="Arial"/>
          <w:sz w:val="22"/>
          <w:szCs w:val="22"/>
          <w:lang w:val="es-ES"/>
        </w:rPr>
        <w:t>y se notifica al CS la nueva posición de la tablilla</w:t>
      </w:r>
      <w:r w:rsidRPr="00422CA2">
        <w:rPr>
          <w:rFonts w:ascii="ITC Avant Garde" w:hAnsi="ITC Avant Garde"/>
          <w:sz w:val="22"/>
          <w:szCs w:val="22"/>
        </w:rPr>
        <w:t>.</w:t>
      </w:r>
    </w:p>
    <w:p w14:paraId="40E85C8B" w14:textId="77777777" w:rsidR="000D585A" w:rsidRPr="00422CA2" w:rsidRDefault="00011A1B" w:rsidP="007C546C">
      <w:pPr>
        <w:pStyle w:val="Prrafodelista2"/>
        <w:numPr>
          <w:ilvl w:val="0"/>
          <w:numId w:val="103"/>
        </w:numPr>
        <w:spacing w:after="200" w:line="276" w:lineRule="auto"/>
        <w:ind w:left="993" w:hanging="436"/>
        <w:jc w:val="both"/>
        <w:rPr>
          <w:rFonts w:ascii="ITC Avant Garde" w:hAnsi="ITC Avant Garde"/>
          <w:sz w:val="22"/>
          <w:szCs w:val="22"/>
        </w:rPr>
      </w:pPr>
      <w:r w:rsidRPr="00422CA2">
        <w:rPr>
          <w:rFonts w:ascii="ITC Avant Garde" w:hAnsi="ITC Avant Garde"/>
          <w:sz w:val="22"/>
          <w:szCs w:val="22"/>
        </w:rPr>
        <w:t>Cuando no exista un par libre en buen estado eléctrico y físico, Telmex procederá con la localización del daño eléctrico y/o físico para su reparación.</w:t>
      </w:r>
    </w:p>
    <w:p w14:paraId="40E85C8C" w14:textId="77777777" w:rsidR="000D585A" w:rsidRPr="00422CA2" w:rsidRDefault="00011A1B" w:rsidP="007C546C">
      <w:pPr>
        <w:pStyle w:val="Prrafodelista2"/>
        <w:numPr>
          <w:ilvl w:val="0"/>
          <w:numId w:val="104"/>
        </w:numPr>
        <w:spacing w:after="200" w:line="276" w:lineRule="auto"/>
        <w:jc w:val="both"/>
        <w:rPr>
          <w:rFonts w:ascii="ITC Avant Garde" w:hAnsi="ITC Avant Garde"/>
          <w:sz w:val="22"/>
          <w:szCs w:val="22"/>
        </w:rPr>
      </w:pPr>
      <w:r w:rsidRPr="00422CA2">
        <w:rPr>
          <w:rFonts w:ascii="ITC Avant Garde" w:hAnsi="ITC Avant Garde"/>
          <w:sz w:val="22"/>
          <w:szCs w:val="22"/>
        </w:rPr>
        <w:t>Cuando el daño se localice en el par procedente del usuario final, el elemento dañado será sustituido.</w:t>
      </w:r>
    </w:p>
    <w:p w14:paraId="40E85C94" w14:textId="71837125" w:rsidR="00530A32" w:rsidRPr="00422CA2" w:rsidRDefault="00011A1B" w:rsidP="00586B55">
      <w:pPr>
        <w:pStyle w:val="Ttulo1"/>
      </w:pPr>
      <w:bookmarkStart w:id="488" w:name="_Toc396337579"/>
      <w:bookmarkStart w:id="489" w:name="_Toc436840913"/>
      <w:bookmarkStart w:id="490" w:name="_Toc436846350"/>
      <w:bookmarkStart w:id="491" w:name="_Toc436848300"/>
      <w:bookmarkStart w:id="492" w:name="_Toc436856548"/>
      <w:bookmarkStart w:id="493" w:name="_Toc436862694"/>
      <w:bookmarkStart w:id="494" w:name="_Toc436866344"/>
      <w:bookmarkStart w:id="495" w:name="_Toc436870923"/>
      <w:bookmarkStart w:id="496" w:name="_Toc436875915"/>
      <w:bookmarkStart w:id="497" w:name="_Toc437602102"/>
      <w:r w:rsidRPr="00422CA2">
        <w:lastRenderedPageBreak/>
        <w:t>6.</w:t>
      </w:r>
      <w:r w:rsidR="00260194" w:rsidRPr="00422CA2">
        <w:t>3</w:t>
      </w:r>
      <w:r w:rsidRPr="00422CA2">
        <w:tab/>
        <w:t>Procedimientos de contratación, modificación y baja de los servicio</w:t>
      </w:r>
      <w:bookmarkEnd w:id="488"/>
      <w:r w:rsidR="00C232D6" w:rsidRPr="00422CA2">
        <w:t>s SDTBL, SDCBL, SDT</w:t>
      </w:r>
      <w:r w:rsidRPr="00422CA2">
        <w:t>S</w:t>
      </w:r>
      <w:r w:rsidR="00C232D6" w:rsidRPr="00422CA2">
        <w:t>B</w:t>
      </w:r>
      <w:r w:rsidRPr="00422CA2">
        <w:t>L, SDCSBL</w:t>
      </w:r>
      <w:bookmarkEnd w:id="489"/>
      <w:bookmarkEnd w:id="490"/>
      <w:bookmarkEnd w:id="491"/>
      <w:bookmarkEnd w:id="492"/>
      <w:bookmarkEnd w:id="493"/>
      <w:bookmarkEnd w:id="494"/>
      <w:bookmarkEnd w:id="495"/>
      <w:bookmarkEnd w:id="496"/>
      <w:bookmarkEnd w:id="497"/>
    </w:p>
    <w:p w14:paraId="40E85C95" w14:textId="77777777" w:rsidR="002F2151" w:rsidRPr="00422CA2" w:rsidRDefault="00011A1B" w:rsidP="007C546C">
      <w:pPr>
        <w:spacing w:after="200" w:line="276" w:lineRule="auto"/>
        <w:ind w:left="1" w:hanging="1"/>
        <w:jc w:val="both"/>
        <w:rPr>
          <w:rFonts w:ascii="ITC Avant Garde" w:hAnsi="ITC Avant Garde"/>
          <w:sz w:val="22"/>
          <w:szCs w:val="22"/>
          <w:lang w:val="es-MX"/>
        </w:rPr>
      </w:pPr>
      <w:r w:rsidRPr="00422CA2">
        <w:rPr>
          <w:rFonts w:ascii="ITC Avant Garde" w:hAnsi="ITC Avant Garde"/>
          <w:sz w:val="22"/>
          <w:szCs w:val="22"/>
          <w:lang w:val="es-MX"/>
        </w:rPr>
        <w:t>Queda establecido que mediante el envío de la solicitud, el CS consiente efectuar el pago por las actividades a realizar así como por los elementos de cobro que conforman el servicio, en el momento que se indique en el procedimiento. Asimismo, si el CS rechaza el servicio o decide no continuar con el procedimiento, deberá liquidar el monto generado por las actividades realizadas hasta el momento que decidió terminar el procedimiento.</w:t>
      </w:r>
    </w:p>
    <w:p w14:paraId="40E85C97" w14:textId="77777777" w:rsidR="00C67264" w:rsidRPr="00422CA2" w:rsidRDefault="00011A1B" w:rsidP="007C546C">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contratación y entrega (Usuarios existentes)</w:t>
      </w:r>
    </w:p>
    <w:p w14:paraId="40E85C98" w14:textId="0E23A82C" w:rsidR="00B53094" w:rsidRPr="00422CA2" w:rsidRDefault="00011A1B" w:rsidP="007C546C">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contratación y entrega de los Servicios de Desagregación Total y Compartida del Bucle y del Sub-bucle para el caso de</w:t>
      </w:r>
      <w:r w:rsidRPr="00422CA2">
        <w:rPr>
          <w:rFonts w:ascii="ITC Avant Garde" w:hAnsi="ITC Avant Garde" w:cs="Arial"/>
          <w:b/>
          <w:sz w:val="22"/>
          <w:szCs w:val="22"/>
          <w:lang w:val="es-ES" w:eastAsia="es-MX"/>
        </w:rPr>
        <w:t xml:space="preserve"> </w:t>
      </w:r>
      <w:r w:rsidRPr="00422CA2">
        <w:rPr>
          <w:rFonts w:ascii="ITC Avant Garde" w:hAnsi="ITC Avant Garde" w:cs="Arial"/>
          <w:sz w:val="22"/>
          <w:szCs w:val="22"/>
          <w:lang w:val="es-ES" w:eastAsia="es-MX"/>
        </w:rPr>
        <w:t xml:space="preserve">usuarios existentes;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 xml:space="preserve">Análisis de </w:t>
      </w:r>
      <w:r w:rsidR="009C0E8C" w:rsidRPr="00422CA2">
        <w:rPr>
          <w:rFonts w:ascii="ITC Avant Garde" w:hAnsi="ITC Avant Garde" w:cs="Arial"/>
          <w:sz w:val="22"/>
          <w:szCs w:val="22"/>
        </w:rPr>
        <w:t>f</w:t>
      </w:r>
      <w:r w:rsidRPr="00422CA2">
        <w:rPr>
          <w:rFonts w:ascii="ITC Avant Garde" w:hAnsi="ITC Avant Garde" w:cs="Arial"/>
          <w:sz w:val="22"/>
          <w:szCs w:val="22"/>
        </w:rPr>
        <w:t>actibilidad a fin de que Telmex pueda verificar que cuenta con los elementos para brindar el servicio solicitado; y (iii) Habilitación y aprovisionamiento del servicio solicitado, que detonará los procesos de pruebas de entrega y facturación.</w:t>
      </w:r>
    </w:p>
    <w:p w14:paraId="40E85C9A" w14:textId="7F888597" w:rsidR="00C67264" w:rsidRPr="00422CA2" w:rsidRDefault="00011A1B" w:rsidP="007C546C">
      <w:pPr>
        <w:pStyle w:val="Prrafodelista"/>
        <w:numPr>
          <w:ilvl w:val="0"/>
          <w:numId w:val="7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formato correspondiente a través del Sistema de Captura, o del SEG una vez que entre en operación, </w:t>
      </w:r>
      <w:r w:rsidRPr="00422CA2">
        <w:rPr>
          <w:rFonts w:ascii="ITC Avant Garde" w:hAnsi="ITC Avant Garde" w:cs="Arial"/>
          <w:sz w:val="22"/>
          <w:szCs w:val="22"/>
          <w:lang w:val="es-MX" w:eastAsia="es-MX"/>
        </w:rPr>
        <w:t xml:space="preserve">indicando si desea que para los servicios de Desagregación Compartida Telmex suministre los módems y si prefiere que la entrega sea vía mensajería en el domicilio del usuario o que el equipo sea recogido en Tienda, así como la tecnología </w:t>
      </w:r>
      <w:r w:rsidR="00E7277A" w:rsidRPr="00422CA2">
        <w:rPr>
          <w:rFonts w:ascii="ITC Avant Garde" w:hAnsi="ITC Avant Garde" w:cs="Arial"/>
          <w:sz w:val="22"/>
          <w:szCs w:val="22"/>
          <w:lang w:val="es-MX" w:eastAsia="es-MX"/>
        </w:rPr>
        <w:t>a</w:t>
      </w:r>
      <w:r w:rsidRPr="00422CA2">
        <w:rPr>
          <w:rFonts w:ascii="ITC Avant Garde" w:hAnsi="ITC Avant Garde" w:cs="Arial"/>
          <w:sz w:val="22"/>
          <w:szCs w:val="22"/>
          <w:lang w:val="es-MX" w:eastAsia="es-MX"/>
        </w:rPr>
        <w:t xml:space="preserve"> habilitar en el bucle.</w:t>
      </w:r>
    </w:p>
    <w:p w14:paraId="40E85C9B" w14:textId="34FEBBC4" w:rsidR="00C67264" w:rsidRPr="00422CA2" w:rsidRDefault="00011A1B" w:rsidP="007C546C">
      <w:pPr>
        <w:pStyle w:val="Prrafodelista"/>
        <w:numPr>
          <w:ilvl w:val="0"/>
          <w:numId w:val="7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La solicitud del CS será validada en un plazo máximo de 1 día hábil, se dará seguimiento a la solicitud con un folio hasta que se asigne un Número de Identificación de Solicitud (NIS), si la solicitud no cumple con la información correspondiente, será devuelta al CS </w:t>
      </w:r>
      <w:r w:rsidR="002A6B54" w:rsidRPr="00422CA2">
        <w:rPr>
          <w:rFonts w:ascii="ITC Avant Garde" w:hAnsi="ITC Avant Garde"/>
          <w:sz w:val="22"/>
          <w:szCs w:val="22"/>
          <w:lang w:val="es-ES"/>
        </w:rPr>
        <w:t xml:space="preserve">junto con el motivo por el cual no fue validada la solicitud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rPr>
        <w:t>.</w:t>
      </w:r>
    </w:p>
    <w:p w14:paraId="40E85C9C" w14:textId="08F75CFB" w:rsidR="00C67264" w:rsidRPr="00422CA2" w:rsidRDefault="00011A1B" w:rsidP="007C546C">
      <w:pPr>
        <w:pStyle w:val="Prrafodelista"/>
        <w:numPr>
          <w:ilvl w:val="0"/>
          <w:numId w:val="7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validado la solicitud, se revisará la factibilidad y en un plazo máximo de 1 día hábil se responderá al CS conforme a lo siguiente:</w:t>
      </w:r>
    </w:p>
    <w:p w14:paraId="40E85C9D" w14:textId="43B2C3EB" w:rsidR="00C67264" w:rsidRPr="00422CA2" w:rsidRDefault="00011A1B" w:rsidP="007C546C">
      <w:pPr>
        <w:pStyle w:val="Prrafodelista"/>
        <w:numPr>
          <w:ilvl w:val="0"/>
          <w:numId w:val="6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 xml:space="preserve">Si existe </w:t>
      </w:r>
      <w:r w:rsidR="00AD49EA" w:rsidRPr="00422CA2">
        <w:rPr>
          <w:rFonts w:ascii="ITC Avant Garde" w:hAnsi="ITC Avant Garde" w:cs="Arial"/>
          <w:sz w:val="22"/>
          <w:szCs w:val="22"/>
        </w:rPr>
        <w:t xml:space="preserve">factibilidad </w:t>
      </w:r>
      <w:r w:rsidRPr="00422CA2">
        <w:rPr>
          <w:rFonts w:ascii="ITC Avant Garde" w:hAnsi="ITC Avant Garde" w:cs="Arial"/>
          <w:sz w:val="22"/>
          <w:szCs w:val="22"/>
        </w:rPr>
        <w:t>se asignará un NIS y se procederá a habilitar el servicio en un plazo no mayor a 5 días hábiles los cuales contabilizarán a partir del ingreso de la solicitud.</w:t>
      </w:r>
      <w:r w:rsidR="00AD49EA" w:rsidRPr="00422CA2">
        <w:rPr>
          <w:rFonts w:ascii="ITC Avant Garde" w:hAnsi="ITC Avant Garde" w:cs="Arial"/>
          <w:sz w:val="22"/>
          <w:szCs w:val="22"/>
        </w:rPr>
        <w:t xml:space="preserve"> Una vez </w:t>
      </w:r>
      <w:r w:rsidR="00BB411E" w:rsidRPr="00422CA2">
        <w:rPr>
          <w:rFonts w:ascii="ITC Avant Garde" w:hAnsi="ITC Avant Garde" w:cs="Arial"/>
          <w:sz w:val="22"/>
          <w:szCs w:val="22"/>
        </w:rPr>
        <w:t>realizado el puente</w:t>
      </w:r>
      <w:r w:rsidR="00AD49EA" w:rsidRPr="00422CA2">
        <w:rPr>
          <w:rFonts w:ascii="ITC Avant Garde" w:hAnsi="ITC Avant Garde" w:cs="Arial"/>
          <w:sz w:val="22"/>
          <w:szCs w:val="22"/>
        </w:rPr>
        <w:t xml:space="preserve"> </w:t>
      </w:r>
      <w:r w:rsidR="00E64508" w:rsidRPr="00422CA2">
        <w:rPr>
          <w:rFonts w:ascii="ITC Avant Garde" w:hAnsi="ITC Avant Garde" w:cs="Arial"/>
          <w:sz w:val="22"/>
          <w:szCs w:val="22"/>
        </w:rPr>
        <w:t>Telmex</w:t>
      </w:r>
      <w:r w:rsidR="00AD49EA" w:rsidRPr="00422CA2">
        <w:rPr>
          <w:rFonts w:ascii="ITC Avant Garde" w:hAnsi="ITC Avant Garde" w:cs="Arial"/>
          <w:sz w:val="22"/>
          <w:szCs w:val="22"/>
        </w:rPr>
        <w:t xml:space="preserve"> notificará </w:t>
      </w:r>
      <w:r w:rsidR="006D6F11" w:rsidRPr="00422CA2">
        <w:rPr>
          <w:rFonts w:ascii="ITC Avant Garde" w:hAnsi="ITC Avant Garde" w:cs="Arial"/>
          <w:sz w:val="22"/>
          <w:szCs w:val="22"/>
        </w:rPr>
        <w:t xml:space="preserve">inmediatamente </w:t>
      </w:r>
      <w:r w:rsidR="00AD49EA" w:rsidRPr="00422CA2">
        <w:rPr>
          <w:rFonts w:ascii="ITC Avant Garde" w:hAnsi="ITC Avant Garde" w:cs="Arial"/>
          <w:sz w:val="22"/>
          <w:szCs w:val="22"/>
        </w:rPr>
        <w:t>al CS</w:t>
      </w:r>
      <w:r w:rsidR="007F1259" w:rsidRPr="00422CA2">
        <w:rPr>
          <w:rFonts w:ascii="ITC Avant Garde" w:hAnsi="ITC Avant Garde" w:cs="Arial"/>
          <w:sz w:val="22"/>
          <w:szCs w:val="22"/>
        </w:rPr>
        <w:t xml:space="preserve"> al número telefónico indicado en la solicitud</w:t>
      </w:r>
      <w:r w:rsidR="00BB411E" w:rsidRPr="00422CA2">
        <w:rPr>
          <w:rFonts w:ascii="ITC Avant Garde" w:hAnsi="ITC Avant Garde" w:cs="Arial"/>
          <w:sz w:val="22"/>
          <w:szCs w:val="22"/>
        </w:rPr>
        <w:t>.</w:t>
      </w:r>
    </w:p>
    <w:p w14:paraId="40E85C9E" w14:textId="3153D6A8" w:rsidR="00C67264" w:rsidRPr="00422CA2" w:rsidRDefault="00011A1B" w:rsidP="007C546C">
      <w:pPr>
        <w:pStyle w:val="Prrafodelista"/>
        <w:numPr>
          <w:ilvl w:val="0"/>
          <w:numId w:val="6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No existe factibilidad, se presentará al CS, a través del SC o del SEG, la justificación así como las evidencias correspondientes, el CS contará con 2 días hábiles para indicar si desea habilitar el servicio bajo las mismas condiciones que existen en el bucle o sub-bucle</w:t>
      </w:r>
      <w:r w:rsidRPr="00422CA2">
        <w:rPr>
          <w:rStyle w:val="Refdenotaalpie"/>
          <w:rFonts w:ascii="ITC Avant Garde" w:hAnsi="ITC Avant Garde" w:cs="Arial"/>
          <w:sz w:val="22"/>
          <w:szCs w:val="22"/>
        </w:rPr>
        <w:footnoteReference w:id="35"/>
      </w:r>
      <w:r w:rsidRPr="00422CA2">
        <w:rPr>
          <w:rFonts w:ascii="ITC Avant Garde" w:hAnsi="ITC Avant Garde" w:cs="Arial"/>
          <w:sz w:val="22"/>
          <w:szCs w:val="22"/>
        </w:rPr>
        <w:t>.</w:t>
      </w:r>
    </w:p>
    <w:p w14:paraId="7B0F3732" w14:textId="30DD67FA" w:rsidR="006D6F11" w:rsidRPr="00422CA2" w:rsidRDefault="000F301D" w:rsidP="007C546C">
      <w:pPr>
        <w:pStyle w:val="Prrafodelista"/>
        <w:numPr>
          <w:ilvl w:val="0"/>
          <w:numId w:val="74"/>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En un tiempo máximo de 30 minutos después de notificada la ejecución del puente </w:t>
      </w:r>
      <w:r w:rsidR="006D6F11" w:rsidRPr="00422CA2">
        <w:rPr>
          <w:rFonts w:ascii="ITC Avant Garde" w:hAnsi="ITC Avant Garde"/>
          <w:sz w:val="22"/>
          <w:szCs w:val="22"/>
        </w:rPr>
        <w:t xml:space="preserve">El CS deberá comunicarse al </w:t>
      </w:r>
      <w:r w:rsidR="006D6F11" w:rsidRPr="00422CA2">
        <w:rPr>
          <w:rFonts w:ascii="ITC Avant Garde" w:hAnsi="ITC Avant Garde" w:cs="Arial"/>
          <w:sz w:val="22"/>
          <w:szCs w:val="22"/>
        </w:rPr>
        <w:t>01800-4040734</w:t>
      </w:r>
      <w:r w:rsidRPr="00422CA2">
        <w:rPr>
          <w:rFonts w:ascii="ITC Avant Garde" w:hAnsi="ITC Avant Garde" w:cs="Arial"/>
          <w:sz w:val="22"/>
          <w:szCs w:val="22"/>
        </w:rPr>
        <w:t xml:space="preserve">, </w:t>
      </w:r>
      <w:r w:rsidR="006D6F11" w:rsidRPr="00422CA2">
        <w:rPr>
          <w:rFonts w:ascii="ITC Avant Garde" w:hAnsi="ITC Avant Garde"/>
          <w:sz w:val="22"/>
          <w:szCs w:val="22"/>
        </w:rPr>
        <w:t>para asegurar que su servicio esté operando correctamente</w:t>
      </w:r>
      <w:r w:rsidRPr="00422CA2">
        <w:rPr>
          <w:rFonts w:ascii="ITC Avant Garde" w:hAnsi="ITC Avant Garde"/>
          <w:sz w:val="22"/>
          <w:szCs w:val="22"/>
        </w:rPr>
        <w:t xml:space="preserve"> o indicar cualquier anomalía</w:t>
      </w:r>
      <w:r w:rsidR="006D6F11" w:rsidRPr="00422CA2">
        <w:rPr>
          <w:rFonts w:ascii="ITC Avant Garde" w:hAnsi="ITC Avant Garde" w:cs="Arial"/>
          <w:sz w:val="22"/>
          <w:szCs w:val="22"/>
        </w:rPr>
        <w:t>.</w:t>
      </w:r>
    </w:p>
    <w:p w14:paraId="40E85C9F" w14:textId="11C574F3" w:rsidR="00C67264" w:rsidRPr="00422CA2" w:rsidRDefault="006D6F11" w:rsidP="007C546C">
      <w:pPr>
        <w:pStyle w:val="Prrafodelista"/>
        <w:numPr>
          <w:ilvl w:val="0"/>
          <w:numId w:val="74"/>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 </w:t>
      </w:r>
      <w:r w:rsidR="00011A1B" w:rsidRPr="00422CA2">
        <w:rPr>
          <w:rFonts w:ascii="ITC Avant Garde" w:hAnsi="ITC Avant Garde" w:cs="Arial"/>
          <w:sz w:val="22"/>
          <w:szCs w:val="22"/>
        </w:rPr>
        <w:t>Una vez que se haya habilitado el servicio, Telmex realizará la prueba correspondiente,</w:t>
      </w:r>
      <w:r w:rsidR="00E07A8B" w:rsidRPr="00422CA2">
        <w:rPr>
          <w:rFonts w:ascii="ITC Avant Garde" w:hAnsi="ITC Avant Garde" w:cs="Arial"/>
          <w:sz w:val="22"/>
          <w:szCs w:val="22"/>
        </w:rPr>
        <w:t xml:space="preserve"> la cual será almacenada en el </w:t>
      </w:r>
      <w:r w:rsidR="00011A1B" w:rsidRPr="00422CA2">
        <w:rPr>
          <w:rFonts w:ascii="ITC Avant Garde" w:hAnsi="ITC Avant Garde" w:cs="Arial"/>
          <w:sz w:val="22"/>
          <w:szCs w:val="22"/>
        </w:rPr>
        <w:t xml:space="preserve">Sistema de Captura o SEG para que sea consultada por el CS además de notificársele para que realice todas las adecuaciones necesarias para configurar el servicio en su red (incluida la conexión de su módem en caso de aplicar). </w:t>
      </w:r>
    </w:p>
    <w:p w14:paraId="05CCFCBF" w14:textId="77777777" w:rsidR="00F27E64" w:rsidRPr="00422CA2" w:rsidRDefault="00011A1B" w:rsidP="00F27E64">
      <w:pPr>
        <w:autoSpaceDE w:val="0"/>
        <w:autoSpaceDN w:val="0"/>
        <w:adjustRightInd w:val="0"/>
        <w:spacing w:after="200" w:line="276" w:lineRule="auto"/>
        <w:ind w:left="709"/>
        <w:jc w:val="both"/>
        <w:rPr>
          <w:rFonts w:ascii="ITC Avant Garde" w:hAnsi="ITC Avant Garde" w:cs="Arial"/>
          <w:sz w:val="22"/>
          <w:szCs w:val="22"/>
        </w:rPr>
      </w:pPr>
      <w:r w:rsidRPr="00422CA2">
        <w:rPr>
          <w:rFonts w:ascii="ITC Avant Garde" w:hAnsi="ITC Avant Garde" w:cs="Arial"/>
          <w:sz w:val="22"/>
          <w:szCs w:val="22"/>
        </w:rPr>
        <w:t>Al corte del mes se comenzará a facturar la renta correspondiente, contando el CS con la posibilidad de solicitar ajustes o aclaraciones respecto a la cantidad de los servicios incluidos en su factura</w:t>
      </w:r>
      <w:r w:rsidR="000A25F0" w:rsidRPr="00422CA2">
        <w:rPr>
          <w:rFonts w:ascii="ITC Avant Garde" w:hAnsi="ITC Avant Garde" w:cs="Arial"/>
          <w:sz w:val="22"/>
          <w:szCs w:val="22"/>
        </w:rPr>
        <w:t>.</w:t>
      </w:r>
      <w:r w:rsidR="00107688" w:rsidRPr="00422CA2">
        <w:rPr>
          <w:rFonts w:ascii="ITC Avant Garde" w:hAnsi="ITC Avant Garde" w:cs="Arial"/>
          <w:sz w:val="22"/>
          <w:szCs w:val="22"/>
        </w:rPr>
        <w:t xml:space="preserve"> </w:t>
      </w:r>
    </w:p>
    <w:p w14:paraId="40E85CA2" w14:textId="2408EBFA" w:rsidR="003E6467" w:rsidRPr="00422CA2" w:rsidRDefault="00011A1B" w:rsidP="00F27E64">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Notas: </w:t>
      </w:r>
    </w:p>
    <w:p w14:paraId="40E85CA3" w14:textId="2046658E" w:rsidR="00745103" w:rsidRPr="00422CA2" w:rsidRDefault="00011A1B" w:rsidP="007C546C">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Para garantizar la continuidad del servicio el CS deberá otorgar un número telefónico en e</w:t>
      </w:r>
      <w:r w:rsidR="006E24EA" w:rsidRPr="00422CA2">
        <w:rPr>
          <w:rFonts w:ascii="ITC Avant Garde" w:hAnsi="ITC Avant Garde"/>
          <w:sz w:val="22"/>
          <w:szCs w:val="22"/>
        </w:rPr>
        <w:t>l que desee recibir el servicio</w:t>
      </w:r>
      <w:r w:rsidRPr="00422CA2">
        <w:rPr>
          <w:rFonts w:ascii="ITC Avant Garde" w:hAnsi="ITC Avant Garde"/>
          <w:sz w:val="22"/>
          <w:szCs w:val="22"/>
        </w:rPr>
        <w:t xml:space="preserve"> al momento de la desagregación efectiva. Una vez que se ha habilitado el servicio de desagregación, el CS deberá </w:t>
      </w:r>
      <w:r w:rsidR="00007288" w:rsidRPr="00422CA2">
        <w:rPr>
          <w:rFonts w:ascii="ITC Avant Garde" w:hAnsi="ITC Avant Garde"/>
          <w:sz w:val="22"/>
          <w:szCs w:val="22"/>
        </w:rPr>
        <w:t xml:space="preserve">continuar con </w:t>
      </w:r>
      <w:r w:rsidRPr="00422CA2">
        <w:rPr>
          <w:rFonts w:ascii="ITC Avant Garde" w:hAnsi="ITC Avant Garde"/>
          <w:sz w:val="22"/>
          <w:szCs w:val="22"/>
        </w:rPr>
        <w:t>el procedimiento de la portabilidad, de acuerdo con los plazos regulados de dicho servicio</w:t>
      </w:r>
      <w:r w:rsidR="00007288" w:rsidRPr="00422CA2">
        <w:rPr>
          <w:rStyle w:val="Refdenotaalpie"/>
          <w:rFonts w:ascii="ITC Avant Garde" w:hAnsi="ITC Avant Garde"/>
          <w:sz w:val="22"/>
          <w:szCs w:val="22"/>
        </w:rPr>
        <w:footnoteReference w:id="36"/>
      </w:r>
      <w:r w:rsidRPr="00422CA2">
        <w:rPr>
          <w:rFonts w:ascii="ITC Avant Garde" w:hAnsi="ITC Avant Garde"/>
          <w:sz w:val="22"/>
          <w:szCs w:val="22"/>
        </w:rPr>
        <w:t xml:space="preserve">. </w:t>
      </w:r>
    </w:p>
    <w:p w14:paraId="40E85CA4" w14:textId="77777777" w:rsidR="003E6467" w:rsidRPr="00422CA2" w:rsidRDefault="006E24EA" w:rsidP="007C546C">
      <w:pPr>
        <w:spacing w:after="200" w:line="276" w:lineRule="auto"/>
        <w:jc w:val="both"/>
        <w:rPr>
          <w:rFonts w:ascii="ITC Avant Garde" w:hAnsi="ITC Avant Garde"/>
          <w:sz w:val="22"/>
          <w:szCs w:val="22"/>
        </w:rPr>
      </w:pPr>
      <w:r w:rsidRPr="00422CA2">
        <w:rPr>
          <w:rFonts w:ascii="ITC Avant Garde" w:hAnsi="ITC Avant Garde"/>
          <w:sz w:val="22"/>
          <w:szCs w:val="22"/>
        </w:rPr>
        <w:t>La instalación del Módem</w:t>
      </w:r>
      <w:r w:rsidR="00011A1B" w:rsidRPr="00422CA2">
        <w:rPr>
          <w:rFonts w:ascii="ITC Avant Garde" w:hAnsi="ITC Avant Garde"/>
          <w:sz w:val="22"/>
          <w:szCs w:val="22"/>
        </w:rPr>
        <w:t xml:space="preserve"> y la provisión de los servicios de telecomunicaciones, son responsabilidad del CS.</w:t>
      </w:r>
    </w:p>
    <w:p w14:paraId="40E85CA6" w14:textId="77777777" w:rsidR="00C235B3" w:rsidRPr="00422CA2" w:rsidRDefault="00011A1B" w:rsidP="007C546C">
      <w:pPr>
        <w:spacing w:after="200" w:line="276" w:lineRule="auto"/>
        <w:jc w:val="both"/>
        <w:rPr>
          <w:rFonts w:ascii="ITC Avant Garde" w:hAnsi="ITC Avant Garde" w:cs="Arial"/>
          <w:b/>
          <w:sz w:val="22"/>
          <w:szCs w:val="22"/>
          <w:lang w:val="es-ES" w:eastAsia="es-MX"/>
        </w:rPr>
      </w:pPr>
      <w:bookmarkStart w:id="498" w:name="_Toc398890449"/>
      <w:bookmarkStart w:id="499" w:name="_Toc400610139"/>
      <w:bookmarkStart w:id="500" w:name="_Toc423018258"/>
      <w:r w:rsidRPr="00422CA2">
        <w:rPr>
          <w:rFonts w:ascii="ITC Avant Garde" w:hAnsi="ITC Avant Garde" w:cs="Arial"/>
          <w:b/>
          <w:sz w:val="22"/>
          <w:szCs w:val="22"/>
          <w:lang w:val="es-ES" w:eastAsia="es-MX"/>
        </w:rPr>
        <w:t>Procedimiento de contratación (Usuarios nuevos con y sin acometida)</w:t>
      </w:r>
    </w:p>
    <w:p w14:paraId="40E85CA7" w14:textId="77777777" w:rsidR="006F1707" w:rsidRPr="00422CA2" w:rsidRDefault="00011A1B" w:rsidP="007C546C">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lastRenderedPageBreak/>
        <w:t>El objetivo y alcance de este procedimiento es definir los pasos y actividades a desarrollar por parte de Telmex y del CS, a fin de realizar la contratación y entrega de los Servicios de Desagregación Total y Compartida del Bucle y del Sub-bucle para el caso de</w:t>
      </w:r>
      <w:r w:rsidRPr="00422CA2">
        <w:rPr>
          <w:rFonts w:ascii="ITC Avant Garde" w:hAnsi="ITC Avant Garde" w:cs="Arial"/>
          <w:b/>
          <w:sz w:val="22"/>
          <w:szCs w:val="22"/>
          <w:lang w:val="es-ES" w:eastAsia="es-MX"/>
        </w:rPr>
        <w:t xml:space="preserve"> </w:t>
      </w:r>
      <w:r w:rsidRPr="00422CA2">
        <w:rPr>
          <w:rFonts w:ascii="ITC Avant Garde" w:hAnsi="ITC Avant Garde" w:cs="Arial"/>
          <w:sz w:val="22"/>
          <w:szCs w:val="22"/>
          <w:lang w:val="es-ES" w:eastAsia="es-MX"/>
        </w:rPr>
        <w:t xml:space="preserve">usuarios nuevos que pueden o no tener acometida;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w:t>
      </w:r>
      <w:r w:rsidRPr="00422CA2">
        <w:rPr>
          <w:rFonts w:ascii="ITC Avant Garde" w:hAnsi="ITC Avant Garde" w:cs="Arial"/>
          <w:sz w:val="22"/>
          <w:szCs w:val="22"/>
        </w:rPr>
        <w:t>Análisis de Factibilidad técnica a fin de que Telmex pueda verificar que cuenta con los elementos para brindar el servicio solicitado; y (iii) Habilitación y aprovisionamiento del servicio solicitado, que detonará los procesos de pruebas de entrega y facturación.</w:t>
      </w:r>
    </w:p>
    <w:p w14:paraId="40E85CA9" w14:textId="1C9A7BD8" w:rsidR="006177D1" w:rsidRPr="00422CA2" w:rsidRDefault="00011A1B" w:rsidP="009D40E9">
      <w:pPr>
        <w:pStyle w:val="Prrafodelista"/>
        <w:numPr>
          <w:ilvl w:val="0"/>
          <w:numId w:val="1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por usuario final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 indicando si desea que para los servicios de Desagregación Compartida Telmex suministre los módems y si prefiere que la entrega sea vía mensajería en el domicilio del usuario o que el equipo sea recogido en Tienda, así como la tecnología que desea habilitar en el bucle.</w:t>
      </w:r>
      <w:r w:rsidR="008F0E3C" w:rsidRPr="00422CA2">
        <w:rPr>
          <w:rFonts w:ascii="ITC Avant Garde" w:hAnsi="ITC Avant Garde" w:cs="Arial"/>
          <w:sz w:val="22"/>
          <w:szCs w:val="22"/>
          <w:lang w:val="es-MX" w:eastAsia="es-MX"/>
        </w:rPr>
        <w:t xml:space="preserve"> Adicionalmente el CS indicará la fecha en la que se deberá realizar la habilitación del servicio, teniendo que ser esta después del cuarto día hábil de presentada la solicitud, para que Telmex pueda coordinar cualquier aspecto logístico</w:t>
      </w:r>
      <w:r w:rsidR="001D6C4A" w:rsidRPr="00422CA2">
        <w:rPr>
          <w:rFonts w:ascii="ITC Avant Garde" w:hAnsi="ITC Avant Garde" w:cs="Arial"/>
          <w:sz w:val="22"/>
          <w:szCs w:val="22"/>
          <w:lang w:val="es-MX" w:eastAsia="es-MX"/>
        </w:rPr>
        <w:t xml:space="preserve"> y a partir del séptimo día hábil se es que se solicita entregar equipo</w:t>
      </w:r>
      <w:r w:rsidR="004B0DBB" w:rsidRPr="00422CA2">
        <w:rPr>
          <w:rFonts w:ascii="ITC Avant Garde" w:hAnsi="ITC Avant Garde" w:cs="Arial"/>
          <w:sz w:val="22"/>
          <w:szCs w:val="22"/>
          <w:lang w:val="es-MX" w:eastAsia="es-MX"/>
        </w:rPr>
        <w:t>.</w:t>
      </w:r>
    </w:p>
    <w:p w14:paraId="40E85CAA" w14:textId="66CD8090" w:rsidR="008E4D54" w:rsidRPr="00422CA2" w:rsidRDefault="00011A1B" w:rsidP="009D40E9">
      <w:pPr>
        <w:pStyle w:val="Prrafodelista"/>
        <w:numPr>
          <w:ilvl w:val="0"/>
          <w:numId w:val="1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 xml:space="preserve">La solicitud del CS será validada en un plazo máximo de 1 día hábil, se dará seguimiento con un folio hasta que se asigne un Número de Identificación de Solicitud (NIS), si la solicitud no cumple con la información correspondiente, será devuelta al CS </w:t>
      </w:r>
      <w:r w:rsidR="008F0E3C" w:rsidRPr="00422CA2">
        <w:rPr>
          <w:rFonts w:ascii="ITC Avant Garde" w:hAnsi="ITC Avant Garde"/>
          <w:sz w:val="22"/>
          <w:szCs w:val="22"/>
          <w:lang w:val="es-ES"/>
        </w:rPr>
        <w:t>junto con el motivo por el cual no fue validada la solicitud</w:t>
      </w:r>
      <w:r w:rsidRPr="00422CA2">
        <w:rPr>
          <w:rFonts w:ascii="ITC Avant Garde" w:hAnsi="ITC Avant Garde"/>
          <w:sz w:val="22"/>
          <w:szCs w:val="22"/>
          <w:lang w:val="es-ES"/>
        </w:rPr>
        <w:t xml:space="preserve"> para que sea corregida y reenviada a Telmex a fin de que vuelva a ser validada.</w:t>
      </w:r>
    </w:p>
    <w:p w14:paraId="40E85CAB" w14:textId="77777777" w:rsidR="008E4D54" w:rsidRPr="00422CA2" w:rsidRDefault="00011A1B" w:rsidP="009D40E9">
      <w:pPr>
        <w:pStyle w:val="Prrafodelista"/>
        <w:numPr>
          <w:ilvl w:val="0"/>
          <w:numId w:val="1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 validado la solicitud, se revisará la factibilidad técnica</w:t>
      </w:r>
      <w:r w:rsidRPr="00422CA2">
        <w:rPr>
          <w:rStyle w:val="Refdenotaalpie"/>
          <w:rFonts w:ascii="ITC Avant Garde" w:hAnsi="ITC Avant Garde" w:cs="Arial"/>
          <w:sz w:val="22"/>
          <w:szCs w:val="22"/>
        </w:rPr>
        <w:footnoteReference w:id="37"/>
      </w:r>
      <w:r w:rsidRPr="00422CA2">
        <w:rPr>
          <w:rFonts w:ascii="ITC Avant Garde" w:hAnsi="ITC Avant Garde" w:cs="Arial"/>
          <w:sz w:val="22"/>
          <w:szCs w:val="22"/>
        </w:rPr>
        <w:t xml:space="preserve"> en un plazo máximo de 1 día hábil y se responderá al CS conforme a lo siguiente: </w:t>
      </w:r>
    </w:p>
    <w:p w14:paraId="32577172" w14:textId="56A3B5D5" w:rsidR="004D0E0A" w:rsidRPr="00422CA2" w:rsidRDefault="004D0E0A" w:rsidP="007C546C">
      <w:pPr>
        <w:pStyle w:val="Prrafodelista"/>
        <w:numPr>
          <w:ilvl w:val="0"/>
          <w:numId w:val="11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No existen facilidades asociadas, se presentará al CS, a través del SC o del SEG, la justificación de los motivos descritos en el apartado 1.4 </w:t>
      </w:r>
      <w:r w:rsidRPr="00422CA2">
        <w:rPr>
          <w:rFonts w:ascii="ITC Avant Garde" w:hAnsi="ITC Avant Garde" w:cs="Arial"/>
          <w:sz w:val="22"/>
          <w:szCs w:val="22"/>
        </w:rPr>
        <w:lastRenderedPageBreak/>
        <w:t>relativo a los recursos de red asociados a los servicios, así como las evidencias correspondientes.</w:t>
      </w:r>
    </w:p>
    <w:p w14:paraId="40E85CAC" w14:textId="05EC7D11" w:rsidR="00530A32" w:rsidRPr="00422CA2" w:rsidRDefault="00011A1B" w:rsidP="007C546C">
      <w:pPr>
        <w:pStyle w:val="Prrafodelista"/>
        <w:numPr>
          <w:ilvl w:val="0"/>
          <w:numId w:val="11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el usuario tiene acometida </w:t>
      </w:r>
      <w:r w:rsidR="004D0E0A" w:rsidRPr="00422CA2">
        <w:rPr>
          <w:rFonts w:ascii="ITC Avant Garde" w:hAnsi="ITC Avant Garde" w:cs="Arial"/>
          <w:sz w:val="22"/>
          <w:szCs w:val="22"/>
        </w:rPr>
        <w:t xml:space="preserve">o no cuenta con ella pero existen con recursos de red se asignará un NIS, se probará, se remplazará y/o se instalará la acometida además de habilitar el servicio el día estipulado por el CS en su solicitud. Considerando lo siguiente: </w:t>
      </w:r>
    </w:p>
    <w:p w14:paraId="40E85CAD" w14:textId="77777777" w:rsidR="004C2747" w:rsidRPr="00422CA2" w:rsidRDefault="00011A1B" w:rsidP="007C546C">
      <w:pPr>
        <w:pStyle w:val="Prrafodelista"/>
        <w:numPr>
          <w:ilvl w:val="2"/>
          <w:numId w:val="8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Telmex acudió al domicilio del usuario y no fue factible la instalación de la acometida, por razones asociadas al usuario o al CS, </w:t>
      </w:r>
      <w:r w:rsidRPr="00422CA2">
        <w:rPr>
          <w:rFonts w:ascii="ITC Avant Garde" w:hAnsi="ITC Avant Garde"/>
          <w:sz w:val="22"/>
          <w:szCs w:val="22"/>
        </w:rPr>
        <w:t>Telmex desde el sitio (fuera del domicilio) contactará al CS para informar que el usuario no atendió o no se encontró en el domicilio, Telmex esperará un tiempo máximo de 15 minutos para realizar la instalación, el CS tendrá este tiempo para solucionar la situación con su usuario.</w:t>
      </w:r>
    </w:p>
    <w:p w14:paraId="40E85CAE" w14:textId="41CE5FEC" w:rsidR="005F53AD" w:rsidRPr="00422CA2" w:rsidRDefault="00011A1B" w:rsidP="007C546C">
      <w:pPr>
        <w:pStyle w:val="Prrafodelista"/>
        <w:numPr>
          <w:ilvl w:val="2"/>
          <w:numId w:val="8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Si durante este periodo no fue posible la prueba, el CS deberá indicar si desea realizar la reprogramación de la prueba</w:t>
      </w:r>
      <w:r w:rsidR="004D0E0A" w:rsidRPr="00422CA2">
        <w:rPr>
          <w:rFonts w:ascii="ITC Avant Garde" w:hAnsi="ITC Avant Garde" w:cs="Arial"/>
          <w:sz w:val="22"/>
          <w:szCs w:val="22"/>
        </w:rPr>
        <w:t xml:space="preserve"> y habilitación del servicio</w:t>
      </w:r>
      <w:r w:rsidR="004D0E0A" w:rsidRPr="00422CA2">
        <w:rPr>
          <w:rStyle w:val="Refdenotaalpie"/>
          <w:rFonts w:ascii="ITC Avant Garde" w:hAnsi="ITC Avant Garde" w:cs="Arial"/>
          <w:sz w:val="22"/>
          <w:szCs w:val="22"/>
        </w:rPr>
        <w:t xml:space="preserve"> </w:t>
      </w:r>
      <w:r w:rsidRPr="00422CA2">
        <w:rPr>
          <w:rStyle w:val="Refdenotaalpie"/>
          <w:rFonts w:ascii="ITC Avant Garde" w:hAnsi="ITC Avant Garde" w:cs="Arial"/>
          <w:sz w:val="22"/>
          <w:szCs w:val="22"/>
        </w:rPr>
        <w:footnoteReference w:id="38"/>
      </w:r>
      <w:r w:rsidRPr="00422CA2">
        <w:rPr>
          <w:rFonts w:ascii="ITC Avant Garde" w:hAnsi="ITC Avant Garde" w:cs="Arial"/>
          <w:sz w:val="22"/>
          <w:szCs w:val="22"/>
        </w:rPr>
        <w:t xml:space="preserve"> debiendo correr a cargo del CS los gastos por la visita en falso, o bien si el CS rechaza el servicio.</w:t>
      </w:r>
    </w:p>
    <w:p w14:paraId="40E85CAF" w14:textId="5C869E9C" w:rsidR="005F53AD" w:rsidRPr="00422CA2" w:rsidRDefault="00011A1B" w:rsidP="007C546C">
      <w:pPr>
        <w:pStyle w:val="Prrafodelista"/>
        <w:numPr>
          <w:ilvl w:val="2"/>
          <w:numId w:val="8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rPr>
        <w:t>Si por causas atribuibles a Telmex</w:t>
      </w:r>
      <w:r w:rsidRPr="00422CA2">
        <w:rPr>
          <w:rStyle w:val="Refdenotaalpie"/>
          <w:rFonts w:ascii="ITC Avant Garde" w:hAnsi="ITC Avant Garde"/>
          <w:sz w:val="22"/>
          <w:szCs w:val="22"/>
        </w:rPr>
        <w:footnoteReference w:id="39"/>
      </w:r>
      <w:r w:rsidRPr="00422CA2">
        <w:rPr>
          <w:rFonts w:ascii="ITC Avant Garde" w:hAnsi="ITC Avant Garde"/>
          <w:sz w:val="22"/>
          <w:szCs w:val="22"/>
        </w:rPr>
        <w:t xml:space="preserve"> no fue factible realizar la prueba de la acometida, se informará al CS para que </w:t>
      </w:r>
      <w:r w:rsidR="004D0E0A" w:rsidRPr="00422CA2">
        <w:rPr>
          <w:rFonts w:ascii="ITC Avant Garde" w:hAnsi="ITC Avant Garde"/>
          <w:sz w:val="22"/>
          <w:szCs w:val="22"/>
        </w:rPr>
        <w:t xml:space="preserve">indique a </w:t>
      </w:r>
      <w:r w:rsidRPr="00422CA2">
        <w:rPr>
          <w:rFonts w:ascii="ITC Avant Garde" w:hAnsi="ITC Avant Garde"/>
          <w:sz w:val="22"/>
          <w:szCs w:val="22"/>
        </w:rPr>
        <w:t>Telmex la fecha de reprogramación de la misma, debiendo Tel</w:t>
      </w:r>
      <w:r w:rsidRPr="00422CA2">
        <w:rPr>
          <w:rFonts w:ascii="ITC Avant Garde" w:hAnsi="ITC Avant Garde" w:cs="Arial"/>
          <w:sz w:val="22"/>
          <w:szCs w:val="22"/>
        </w:rPr>
        <w:t>mex asumir los costos de la visita reprogramada.</w:t>
      </w:r>
    </w:p>
    <w:p w14:paraId="40E85CB8" w14:textId="77777777" w:rsidR="006F1707" w:rsidRPr="00422CA2" w:rsidRDefault="00011A1B" w:rsidP="009D40E9">
      <w:pPr>
        <w:pStyle w:val="Prrafodelista"/>
        <w:numPr>
          <w:ilvl w:val="0"/>
          <w:numId w:val="1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habilitado el servicio, Telmex realizará la prueba correspondiente, la cual será almacenada en el Sistema de Captura o SEG para que sea consultada por el CS además de notificársele para que realice todas las adecuaciones necesarias para configurar el servicio en su red (incluida la conexión de su módem en caso de aplicar). </w:t>
      </w:r>
    </w:p>
    <w:p w14:paraId="40E85CB9" w14:textId="5CA81C46" w:rsidR="008E4D54" w:rsidRPr="00422CA2" w:rsidRDefault="00011A1B" w:rsidP="009D40E9">
      <w:pPr>
        <w:pStyle w:val="Prrafodelista"/>
        <w:numPr>
          <w:ilvl w:val="0"/>
          <w:numId w:val="1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Al corte del mes se comenzará a facturar la renta correspondiente, contando el CS con la posibilidad de solicitar ajustes o aclaraciones respecto a la cantidad de los servicios incluidos en su factura. </w:t>
      </w:r>
    </w:p>
    <w:p w14:paraId="40E85CBA" w14:textId="77777777" w:rsidR="002670ED" w:rsidRPr="00422CA2" w:rsidRDefault="002670ED" w:rsidP="007C546C">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Nota:</w:t>
      </w:r>
    </w:p>
    <w:p w14:paraId="40E85CBB" w14:textId="77777777" w:rsidR="005500D2" w:rsidRPr="00422CA2" w:rsidRDefault="00011A1B" w:rsidP="007C546C">
      <w:pPr>
        <w:spacing w:after="200" w:line="276" w:lineRule="auto"/>
        <w:jc w:val="both"/>
        <w:rPr>
          <w:rFonts w:ascii="ITC Avant Garde" w:hAnsi="ITC Avant Garde"/>
          <w:sz w:val="22"/>
          <w:szCs w:val="22"/>
        </w:rPr>
      </w:pPr>
      <w:r w:rsidRPr="00422CA2">
        <w:rPr>
          <w:rFonts w:ascii="ITC Avant Garde" w:hAnsi="ITC Avant Garde"/>
          <w:sz w:val="22"/>
          <w:szCs w:val="22"/>
        </w:rPr>
        <w:t>La instalación del Módem y la provisión del servicio de telecomunicaciones, es responsabilidad del CS.</w:t>
      </w:r>
    </w:p>
    <w:bookmarkEnd w:id="498"/>
    <w:bookmarkEnd w:id="499"/>
    <w:bookmarkEnd w:id="500"/>
    <w:p w14:paraId="40E85CBD" w14:textId="77777777" w:rsidR="00D9438C" w:rsidRPr="00422CA2" w:rsidRDefault="00011A1B" w:rsidP="007C546C">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Domicilio</w:t>
      </w:r>
    </w:p>
    <w:p w14:paraId="40E85CBE" w14:textId="77777777" w:rsidR="00D9438C"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el usuario final cambie de domicilio y el CS siga proveyendo el servicio, dicho cambio será atendido conforme al procedimiento de contratación (baja por alta). </w:t>
      </w:r>
    </w:p>
    <w:p w14:paraId="40E85CC0" w14:textId="77777777" w:rsidR="00C85DCC" w:rsidRPr="00422CA2" w:rsidRDefault="00011A1B" w:rsidP="007C546C">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Cambio de modalidad de Desagregación</w:t>
      </w:r>
    </w:p>
    <w:p w14:paraId="40E85CC1" w14:textId="77777777" w:rsidR="00C85DCC" w:rsidRPr="00422CA2" w:rsidRDefault="00011A1B" w:rsidP="007C546C">
      <w:p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En caso de que el CS requiera modificaciones para cambiar a un servicio distinto de desagregación, deberá presentar su solicitud en el formato correspondiente al nuevo servicio solicitado. Se considerará como una nueva solicitud y estará sujeta al procedimiento, plazos y cuotas de contratación descritos en el apartado correspondiente.</w:t>
      </w:r>
    </w:p>
    <w:p w14:paraId="40E85CC3" w14:textId="77777777" w:rsidR="0041047C" w:rsidRPr="00422CA2" w:rsidRDefault="00011A1B" w:rsidP="007C546C">
      <w:pPr>
        <w:spacing w:after="200" w:line="276" w:lineRule="auto"/>
        <w:jc w:val="both"/>
        <w:rPr>
          <w:rFonts w:ascii="ITC Avant Garde" w:hAnsi="ITC Avant Garde" w:cs="Arial"/>
          <w:b/>
          <w:sz w:val="22"/>
          <w:szCs w:val="22"/>
        </w:rPr>
      </w:pPr>
      <w:r w:rsidRPr="00422CA2">
        <w:rPr>
          <w:rFonts w:ascii="ITC Avant Garde" w:hAnsi="ITC Avant Garde" w:cs="Arial"/>
          <w:b/>
          <w:sz w:val="22"/>
          <w:szCs w:val="22"/>
        </w:rPr>
        <w:t>Baja del servicio</w:t>
      </w:r>
    </w:p>
    <w:p w14:paraId="40E85CC4" w14:textId="77777777" w:rsidR="006F1707" w:rsidRPr="00422CA2" w:rsidRDefault="00011A1B" w:rsidP="007C546C">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baja de los servicios de Desagregación Total y Compartida del Bucle y del Sub-bucle; las fases en que se divide este procedimiento son: (i) Entrega y validación de la solicitud para que el CS manifieste su intención de dar de baja los </w:t>
      </w:r>
      <w:r w:rsidR="005C6BB7" w:rsidRPr="00422CA2">
        <w:rPr>
          <w:rFonts w:ascii="ITC Avant Garde" w:hAnsi="ITC Avant Garde" w:cs="Arial"/>
          <w:sz w:val="22"/>
          <w:szCs w:val="22"/>
          <w:lang w:val="es-ES" w:eastAsia="es-MX"/>
        </w:rPr>
        <w:t>servicios</w:t>
      </w:r>
      <w:r w:rsidRPr="00422CA2">
        <w:rPr>
          <w:rFonts w:ascii="ITC Avant Garde" w:hAnsi="ITC Avant Garde" w:cs="Arial"/>
          <w:sz w:val="22"/>
          <w:szCs w:val="22"/>
          <w:lang w:val="es-ES" w:eastAsia="es-MX"/>
        </w:rPr>
        <w:t xml:space="preserve">, y la validación por parte de Telmex de que la solicitud cuenta con todos los elementos; </w:t>
      </w:r>
      <w:r w:rsidRPr="00422CA2">
        <w:rPr>
          <w:rFonts w:ascii="ITC Avant Garde" w:hAnsi="ITC Avant Garde" w:cs="Arial"/>
          <w:sz w:val="22"/>
          <w:szCs w:val="22"/>
        </w:rPr>
        <w:t>y (ii) Baja del (los) servicio (s) y de la facturación correspondiente.</w:t>
      </w:r>
    </w:p>
    <w:p w14:paraId="40E85CC6" w14:textId="77777777" w:rsidR="0041047C" w:rsidRPr="00422CA2" w:rsidRDefault="00011A1B" w:rsidP="007C546C">
      <w:pPr>
        <w:pStyle w:val="Prrafodelista"/>
        <w:numPr>
          <w:ilvl w:val="0"/>
          <w:numId w:val="47"/>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40E85CC7" w14:textId="77777777" w:rsidR="0041047C" w:rsidRPr="00422CA2" w:rsidRDefault="00011A1B" w:rsidP="007C546C">
      <w:pPr>
        <w:pStyle w:val="Prrafodelista"/>
        <w:numPr>
          <w:ilvl w:val="0"/>
          <w:numId w:val="47"/>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Se validará que la solicitud cumpla con la información de los formatos y en un plazo máximo de 1 día hábil se contestará conforme lo siguiente:</w:t>
      </w:r>
    </w:p>
    <w:p w14:paraId="40E85CC8" w14:textId="77777777" w:rsidR="0041047C" w:rsidRPr="00422CA2" w:rsidRDefault="00011A1B" w:rsidP="007C546C">
      <w:pPr>
        <w:pStyle w:val="Prrafodelista"/>
        <w:numPr>
          <w:ilvl w:val="1"/>
          <w:numId w:val="47"/>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cumple con lo establecido se dará seguimiento con un Número de Identificación de Solicitud. </w:t>
      </w:r>
    </w:p>
    <w:p w14:paraId="40E85CC9" w14:textId="2AB8EDA2" w:rsidR="0041047C" w:rsidRPr="00422CA2" w:rsidRDefault="00011A1B" w:rsidP="007C546C">
      <w:pPr>
        <w:pStyle w:val="Prrafodelista"/>
        <w:numPr>
          <w:ilvl w:val="1"/>
          <w:numId w:val="47"/>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información no cumple con lo establecido será devuelta al CS </w:t>
      </w:r>
      <w:r w:rsidR="00DD3E2D" w:rsidRPr="00422CA2">
        <w:rPr>
          <w:rFonts w:ascii="ITC Avant Garde" w:hAnsi="ITC Avant Garde"/>
          <w:sz w:val="22"/>
          <w:szCs w:val="22"/>
          <w:lang w:val="es-ES"/>
        </w:rPr>
        <w:t xml:space="preserve">junto con el motivo por el cual no fue validada la solicitud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lang w:val="es-MX"/>
        </w:rPr>
        <w:t>.</w:t>
      </w:r>
    </w:p>
    <w:p w14:paraId="40E85CCA" w14:textId="5AC3DBF0" w:rsidR="0041047C" w:rsidRPr="00422CA2" w:rsidRDefault="00011A1B" w:rsidP="007C546C">
      <w:pPr>
        <w:pStyle w:val="Prrafodelista"/>
        <w:numPr>
          <w:ilvl w:val="0"/>
          <w:numId w:val="47"/>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lastRenderedPageBreak/>
        <w:t>Una vez asignado el NIS se dará de baja el servicio correspondiente y se realizará la baja en un plazo máximo de 1 día hábil</w:t>
      </w:r>
      <w:r w:rsidR="006D4E36" w:rsidRPr="00422CA2">
        <w:rPr>
          <w:rFonts w:ascii="ITC Avant Garde" w:hAnsi="ITC Avant Garde" w:cs="Arial"/>
          <w:sz w:val="22"/>
          <w:szCs w:val="22"/>
          <w:lang w:val="es-MX" w:eastAsia="es-MX"/>
        </w:rPr>
        <w:t xml:space="preserve"> a partir de la entrega de la solicitud</w:t>
      </w:r>
      <w:r w:rsidRPr="00422CA2">
        <w:rPr>
          <w:rFonts w:ascii="ITC Avant Garde" w:hAnsi="ITC Avant Garde" w:cs="Arial"/>
          <w:sz w:val="22"/>
          <w:szCs w:val="22"/>
          <w:lang w:val="es-MX" w:eastAsia="es-MX"/>
        </w:rPr>
        <w:t>.</w:t>
      </w:r>
    </w:p>
    <w:p w14:paraId="40E85CCB" w14:textId="77777777" w:rsidR="006F1707" w:rsidRPr="00422CA2" w:rsidRDefault="00011A1B" w:rsidP="007C546C">
      <w:pPr>
        <w:pStyle w:val="Prrafodelista"/>
        <w:numPr>
          <w:ilvl w:val="0"/>
          <w:numId w:val="47"/>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En un plazo máximo de 2 días hábiles a partir de la solicitud de baja, Telmex dejará de generar nuevos cargos a los CS por el servicio.</w:t>
      </w:r>
    </w:p>
    <w:p w14:paraId="40E85CCD" w14:textId="77777777" w:rsidR="006300D0" w:rsidRPr="00422CA2" w:rsidRDefault="00011A1B" w:rsidP="007C546C">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Nota:</w:t>
      </w:r>
    </w:p>
    <w:p w14:paraId="40E85CCE" w14:textId="77777777" w:rsidR="00806C52" w:rsidRPr="00422CA2" w:rsidRDefault="00011A1B" w:rsidP="007C546C">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El CS deberá tomar en cuenta que no existe el esquema de rentas parciales sino sólo de rentas mensuales, por lo que no será posible realizar cobros parciales de los servicios. </w:t>
      </w:r>
    </w:p>
    <w:p w14:paraId="40E85CD0" w14:textId="52ECEB39" w:rsidR="00530A32" w:rsidRPr="00422CA2" w:rsidRDefault="00011A1B" w:rsidP="00586B55">
      <w:pPr>
        <w:pStyle w:val="Ttulo1"/>
      </w:pPr>
      <w:bookmarkStart w:id="501" w:name="_Toc436840914"/>
      <w:bookmarkStart w:id="502" w:name="_Toc436846351"/>
      <w:bookmarkStart w:id="503" w:name="_Toc436848301"/>
      <w:bookmarkStart w:id="504" w:name="_Toc436856549"/>
      <w:bookmarkStart w:id="505" w:name="_Toc436862695"/>
      <w:bookmarkStart w:id="506" w:name="_Toc436866345"/>
      <w:bookmarkStart w:id="507" w:name="_Toc436870924"/>
      <w:bookmarkStart w:id="508" w:name="_Toc436875916"/>
      <w:bookmarkStart w:id="509" w:name="_Toc437602103"/>
      <w:r w:rsidRPr="00422CA2">
        <w:t>6.</w:t>
      </w:r>
      <w:r w:rsidR="00260194" w:rsidRPr="00422CA2">
        <w:t>4</w:t>
      </w:r>
      <w:r w:rsidRPr="00422CA2">
        <w:tab/>
        <w:t>Plazos de Entrega.</w:t>
      </w:r>
      <w:bookmarkEnd w:id="501"/>
      <w:bookmarkEnd w:id="502"/>
      <w:bookmarkEnd w:id="503"/>
      <w:bookmarkEnd w:id="504"/>
      <w:bookmarkEnd w:id="505"/>
      <w:bookmarkEnd w:id="506"/>
      <w:bookmarkEnd w:id="507"/>
      <w:bookmarkEnd w:id="508"/>
      <w:bookmarkEnd w:id="509"/>
    </w:p>
    <w:p w14:paraId="018D50D2" w14:textId="38CA387B" w:rsidR="00145AE9" w:rsidRPr="00422CA2" w:rsidRDefault="00145AE9" w:rsidP="00145AE9">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Validación de la solicitud junto con verificación de factibilidad: máximo 2 días hábiles.</w:t>
      </w:r>
    </w:p>
    <w:p w14:paraId="47E1FC72" w14:textId="77777777" w:rsidR="002F46D3" w:rsidRPr="00422CA2" w:rsidRDefault="002F46D3" w:rsidP="00B54180">
      <w:pPr>
        <w:pStyle w:val="Prrafodelista"/>
        <w:numPr>
          <w:ilvl w:val="0"/>
          <w:numId w:val="32"/>
        </w:numPr>
        <w:spacing w:after="200" w:line="276" w:lineRule="auto"/>
        <w:rPr>
          <w:rFonts w:ascii="ITC Avant Garde" w:hAnsi="ITC Avant Garde"/>
          <w:sz w:val="22"/>
          <w:szCs w:val="22"/>
          <w:lang w:val="es-MX"/>
        </w:rPr>
      </w:pPr>
      <w:r w:rsidRPr="00422CA2">
        <w:rPr>
          <w:rFonts w:ascii="ITC Avant Garde" w:hAnsi="ITC Avant Garde"/>
          <w:sz w:val="22"/>
          <w:szCs w:val="22"/>
          <w:lang w:val="es-MX"/>
        </w:rPr>
        <w:t xml:space="preserve">Entrega del servicio para usuarios existentes (habilitación): máximo 5 días hábiles que se contabilizarán </w:t>
      </w:r>
      <w:r w:rsidRPr="00422CA2">
        <w:rPr>
          <w:rFonts w:ascii="ITC Avant Garde" w:hAnsi="ITC Avant Garde"/>
          <w:sz w:val="22"/>
          <w:szCs w:val="22"/>
          <w:lang w:val="es-ES"/>
        </w:rPr>
        <w:t>a partir de la solicitud</w:t>
      </w:r>
      <w:r w:rsidRPr="00422CA2">
        <w:rPr>
          <w:rFonts w:ascii="ITC Avant Garde" w:hAnsi="ITC Avant Garde"/>
          <w:sz w:val="22"/>
          <w:szCs w:val="22"/>
          <w:lang w:val="es-MX"/>
        </w:rPr>
        <w:t>.</w:t>
      </w:r>
    </w:p>
    <w:p w14:paraId="40E85CD4" w14:textId="3449C300" w:rsidR="006E24EA" w:rsidRPr="00422CA2" w:rsidRDefault="002F46D3" w:rsidP="00B54180">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Entrega del servicio para usuarios nuevos con acometida o recursos de red (habilitación): día indicado por el CS en la solicitud (del día 5 hábil en adelante a partir de la solicitud sin provisión de equipo y del día 7 hábil en adelante a partir de la solicitud con provisión de equipo)</w:t>
      </w:r>
    </w:p>
    <w:p w14:paraId="40E85CD5" w14:textId="0B67CDF8" w:rsidR="00530A32" w:rsidRPr="00422CA2" w:rsidRDefault="00011A1B" w:rsidP="00586B55">
      <w:pPr>
        <w:pStyle w:val="Ttulo1"/>
      </w:pPr>
      <w:bookmarkStart w:id="510" w:name="_Toc436840915"/>
      <w:bookmarkStart w:id="511" w:name="_Toc436846352"/>
      <w:bookmarkStart w:id="512" w:name="_Toc436848302"/>
      <w:bookmarkStart w:id="513" w:name="_Toc436856550"/>
      <w:bookmarkStart w:id="514" w:name="_Toc436862696"/>
      <w:bookmarkStart w:id="515" w:name="_Toc436866346"/>
      <w:bookmarkStart w:id="516" w:name="_Toc436870925"/>
      <w:bookmarkStart w:id="517" w:name="_Toc436875917"/>
      <w:bookmarkStart w:id="518" w:name="_Toc437602104"/>
      <w:r w:rsidRPr="00422CA2">
        <w:t>6.</w:t>
      </w:r>
      <w:r w:rsidR="00260194" w:rsidRPr="00422CA2">
        <w:t>5</w:t>
      </w:r>
      <w:r w:rsidRPr="00422CA2">
        <w:tab/>
        <w:t xml:space="preserve">Parámetros e indicadores de calidad de </w:t>
      </w:r>
      <w:r w:rsidR="0099383E" w:rsidRPr="00422CA2">
        <w:t>SDTBL</w:t>
      </w:r>
      <w:r w:rsidRPr="00422CA2">
        <w:t xml:space="preserve">, </w:t>
      </w:r>
      <w:r w:rsidR="0099383E" w:rsidRPr="00422CA2">
        <w:t>SDCBL</w:t>
      </w:r>
      <w:r w:rsidRPr="00422CA2">
        <w:t xml:space="preserve">, </w:t>
      </w:r>
      <w:r w:rsidR="0099383E" w:rsidRPr="00422CA2">
        <w:t>SDTSBL</w:t>
      </w:r>
      <w:r w:rsidRPr="00422CA2">
        <w:t xml:space="preserve"> y </w:t>
      </w:r>
      <w:r w:rsidR="0099383E" w:rsidRPr="00422CA2">
        <w:t>SDCSBL</w:t>
      </w:r>
      <w:r w:rsidRPr="00422CA2">
        <w:t>.</w:t>
      </w:r>
      <w:bookmarkEnd w:id="510"/>
      <w:bookmarkEnd w:id="511"/>
      <w:bookmarkEnd w:id="512"/>
      <w:bookmarkEnd w:id="513"/>
      <w:bookmarkEnd w:id="514"/>
      <w:bookmarkEnd w:id="515"/>
      <w:bookmarkEnd w:id="516"/>
      <w:bookmarkEnd w:id="517"/>
      <w:bookmarkEnd w:id="518"/>
    </w:p>
    <w:p w14:paraId="40E85CD6" w14:textId="77777777" w:rsidR="0002741C" w:rsidRPr="00422CA2" w:rsidRDefault="00011A1B" w:rsidP="007C546C">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esta sección se muestran los parámetros e indicadores de calidad referentes a la provisión, continuidad y atención de fallas del Servicio de Desagregación Total del Bucle, Servicio de Desagregación Total del Sub Bucle, Servicio de Desagregación Compartida del Bucle y Servicio de Desagregación Compartida del Sub Bucle. Estos parámetros e indicadores corresponden a los utilizados en la propia operación de Telmex, y se medirán con una periodicidad trimestral por cada uno de los CS.</w:t>
      </w:r>
    </w:p>
    <w:p w14:paraId="40E85CD8" w14:textId="77777777" w:rsidR="0002741C" w:rsidRPr="00422CA2" w:rsidRDefault="00011A1B" w:rsidP="007C546C">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para Provisión del Servicio</w:t>
      </w:r>
    </w:p>
    <w:p w14:paraId="40E85CD9" w14:textId="77777777" w:rsidR="0002741C" w:rsidRPr="00422CA2" w:rsidRDefault="00011A1B" w:rsidP="009D40E9">
      <w:pPr>
        <w:spacing w:before="120" w:after="200" w:line="276" w:lineRule="auto"/>
        <w:jc w:val="both"/>
        <w:rPr>
          <w:rFonts w:ascii="ITC Avant Garde" w:hAnsi="ITC Avant Garde"/>
          <w:sz w:val="22"/>
          <w:szCs w:val="22"/>
          <w:lang w:val="es-MX"/>
        </w:rPr>
      </w:pPr>
      <w:r w:rsidRPr="00422CA2">
        <w:rPr>
          <w:rFonts w:ascii="ITC Avant Garde" w:hAnsi="ITC Avant Garde"/>
          <w:sz w:val="22"/>
          <w:szCs w:val="22"/>
          <w:lang w:val="es-MX"/>
        </w:rPr>
        <w:t>En lo referente a la provisión de los servicios</w:t>
      </w:r>
      <w:r w:rsidR="007D7542" w:rsidRPr="00422CA2">
        <w:rPr>
          <w:rFonts w:ascii="ITC Avant Garde" w:hAnsi="ITC Avant Garde"/>
          <w:sz w:val="22"/>
          <w:szCs w:val="22"/>
          <w:lang w:val="es-MX"/>
        </w:rPr>
        <w:t xml:space="preserve"> (validación de la solicitud, verificación de factibilidad y habilitación)</w:t>
      </w:r>
      <w:r w:rsidRPr="00422CA2">
        <w:rPr>
          <w:rFonts w:ascii="ITC Avant Garde" w:hAnsi="ITC Avant Garde"/>
          <w:sz w:val="22"/>
          <w:szCs w:val="22"/>
          <w:lang w:val="es-MX"/>
        </w:rPr>
        <w:t>, se tienen los siguientes indicadores:</w:t>
      </w:r>
    </w:p>
    <w:p w14:paraId="3EFBED37" w14:textId="0903D797" w:rsidR="003416E2" w:rsidRPr="00422CA2" w:rsidRDefault="003416E2" w:rsidP="00F27E64">
      <w:pPr>
        <w:pStyle w:val="CondicionesFinales"/>
        <w:numPr>
          <w:ilvl w:val="0"/>
          <w:numId w:val="32"/>
        </w:numPr>
        <w:rPr>
          <w:color w:val="auto"/>
        </w:rPr>
      </w:pPr>
      <w:r w:rsidRPr="00422CA2">
        <w:rPr>
          <w:color w:val="auto"/>
        </w:rPr>
        <w:t xml:space="preserve">Validación de la solicitud junto con validación de la factibilidad: 90% de las solicitudes en máximo de 2 días hábiles. El </w:t>
      </w:r>
      <w:r w:rsidR="000169CF" w:rsidRPr="00422CA2">
        <w:rPr>
          <w:color w:val="auto"/>
        </w:rPr>
        <w:t xml:space="preserve">10% </w:t>
      </w:r>
      <w:r w:rsidRPr="00422CA2">
        <w:rPr>
          <w:color w:val="auto"/>
        </w:rPr>
        <w:t>restante en un máximo de 3 días hábiles.</w:t>
      </w:r>
    </w:p>
    <w:p w14:paraId="0E4F5A24" w14:textId="6B66339F" w:rsidR="003416E2" w:rsidRPr="00422CA2" w:rsidRDefault="00011A1B" w:rsidP="00B54180">
      <w:pPr>
        <w:spacing w:after="200" w:line="276" w:lineRule="auto"/>
        <w:jc w:val="both"/>
        <w:rPr>
          <w:rFonts w:ascii="ITC Avant Garde" w:hAnsi="ITC Avant Garde"/>
          <w:sz w:val="22"/>
          <w:szCs w:val="22"/>
          <w:lang w:val="es-MX"/>
        </w:rPr>
      </w:pPr>
      <w:r w:rsidRPr="00422CA2">
        <w:rPr>
          <w:rFonts w:ascii="ITC Avant Garde" w:hAnsi="ITC Avant Garde"/>
          <w:b/>
          <w:sz w:val="22"/>
          <w:szCs w:val="22"/>
          <w:lang w:val="es-MX"/>
        </w:rPr>
        <w:lastRenderedPageBreak/>
        <w:t>Con pronóstico:</w:t>
      </w:r>
    </w:p>
    <w:p w14:paraId="4D4819B8" w14:textId="73B4E97E" w:rsidR="009411F7" w:rsidRPr="00422CA2" w:rsidRDefault="009411F7" w:rsidP="00F27E64">
      <w:pPr>
        <w:pStyle w:val="CondicionesFinales"/>
        <w:numPr>
          <w:ilvl w:val="0"/>
          <w:numId w:val="32"/>
        </w:numPr>
        <w:rPr>
          <w:color w:val="auto"/>
        </w:rPr>
      </w:pPr>
      <w:r w:rsidRPr="00422CA2">
        <w:rPr>
          <w:color w:val="auto"/>
        </w:rPr>
        <w:t xml:space="preserve">Habilitación para usuarios existentes en tiempo: 90% en un máximo de 5 días hábiles. El </w:t>
      </w:r>
      <w:r w:rsidR="000169CF" w:rsidRPr="00422CA2">
        <w:rPr>
          <w:color w:val="auto"/>
        </w:rPr>
        <w:t xml:space="preserve">10% </w:t>
      </w:r>
      <w:r w:rsidRPr="00422CA2">
        <w:rPr>
          <w:color w:val="auto"/>
        </w:rPr>
        <w:t>restante validada en un máximo de 8 días hábiles.</w:t>
      </w:r>
    </w:p>
    <w:p w14:paraId="040BE73A" w14:textId="77777777" w:rsidR="00370E33" w:rsidRPr="00422CA2" w:rsidRDefault="00370E33" w:rsidP="00370E33">
      <w:pPr>
        <w:pStyle w:val="CondicionesFinales"/>
        <w:numPr>
          <w:ilvl w:val="0"/>
          <w:numId w:val="32"/>
        </w:numPr>
        <w:rPr>
          <w:color w:val="auto"/>
        </w:rPr>
      </w:pPr>
      <w:r w:rsidRPr="00422CA2">
        <w:rPr>
          <w:color w:val="auto"/>
        </w:rPr>
        <w:t>Habilitación para usuarios nuevos con acometida o recursos de red el día indicado por el CS en la solicitud, en caso contrario aplica una pena conforme el Anexo B.</w:t>
      </w:r>
    </w:p>
    <w:p w14:paraId="40E85CE1" w14:textId="77777777" w:rsidR="0002741C" w:rsidRPr="00422CA2" w:rsidRDefault="00011A1B" w:rsidP="009D40E9">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Sin pronóstico:</w:t>
      </w:r>
    </w:p>
    <w:p w14:paraId="7ABFD761" w14:textId="53389877" w:rsidR="000169CF" w:rsidRPr="00422CA2" w:rsidRDefault="000169CF" w:rsidP="00F27E64">
      <w:pPr>
        <w:pStyle w:val="CondicionesFinales"/>
        <w:numPr>
          <w:ilvl w:val="0"/>
          <w:numId w:val="32"/>
        </w:numPr>
        <w:rPr>
          <w:color w:val="auto"/>
        </w:rPr>
      </w:pPr>
      <w:r w:rsidRPr="00422CA2">
        <w:rPr>
          <w:color w:val="auto"/>
        </w:rPr>
        <w:t>Habilitación para usuarios existentes en tiempo: 65% en un máximo de 5 días hábiles. El 35% restante validada en un máximo de 8 días hábiles.</w:t>
      </w:r>
    </w:p>
    <w:p w14:paraId="7AEE6B23" w14:textId="290E7D26" w:rsidR="00370E33" w:rsidRPr="00422CA2" w:rsidRDefault="00370E33" w:rsidP="00370E33">
      <w:pPr>
        <w:pStyle w:val="CondicionesFinales"/>
        <w:numPr>
          <w:ilvl w:val="0"/>
          <w:numId w:val="32"/>
        </w:numPr>
        <w:rPr>
          <w:color w:val="auto"/>
        </w:rPr>
      </w:pPr>
      <w:r w:rsidRPr="00422CA2">
        <w:rPr>
          <w:color w:val="auto"/>
        </w:rPr>
        <w:t>Habilitación para usuarios nuevos con acometida o recursos de red el día indicado por el CS en la solicitud, en caso contrario aplica una pena conforme el Anexo B.</w:t>
      </w:r>
    </w:p>
    <w:p w14:paraId="40E85CE9" w14:textId="77777777" w:rsidR="0002741C" w:rsidRPr="00422CA2" w:rsidRDefault="00011A1B" w:rsidP="009D40E9">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40E85CEA" w14:textId="77777777" w:rsidR="0002741C" w:rsidRPr="00422CA2" w:rsidRDefault="00011A1B" w:rsidP="009D40E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realizar la medición de los indicadores presentados, se descontarán los plazos de entrega señalados en la sección 6.4 de este documento de los días totales utilizados para la realización de dicha actividad, considerando como inicio del proceso el día en que se solicitó el servicio por parte del CS. </w:t>
      </w:r>
    </w:p>
    <w:p w14:paraId="40E85CEC" w14:textId="77777777" w:rsidR="00F553F3" w:rsidRPr="00422CA2" w:rsidRDefault="00F74396" w:rsidP="009D40E9">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 xml:space="preserve">Parámetros de </w:t>
      </w:r>
      <w:r w:rsidR="00011A1B" w:rsidRPr="00422CA2">
        <w:rPr>
          <w:rFonts w:ascii="ITC Avant Garde" w:hAnsi="ITC Avant Garde"/>
          <w:b/>
          <w:sz w:val="22"/>
          <w:szCs w:val="22"/>
          <w:lang w:val="es-MX"/>
        </w:rPr>
        <w:t>Reparación de Fallas</w:t>
      </w:r>
    </w:p>
    <w:p w14:paraId="40E85CED" w14:textId="77777777" w:rsidR="0002741C" w:rsidRPr="00422CA2" w:rsidRDefault="00011A1B" w:rsidP="009D40E9">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En cuanto a los parámetros de calidad asociados a la reparación de fallas que afecten a los usuarios residenciales o comerciales, se tiene el siguiente alcance:</w:t>
      </w:r>
    </w:p>
    <w:p w14:paraId="40E85CEE" w14:textId="7AE5E169" w:rsidR="0002741C" w:rsidRPr="00422CA2" w:rsidRDefault="00011A1B" w:rsidP="00F27E64">
      <w:pPr>
        <w:pStyle w:val="Default"/>
        <w:numPr>
          <w:ilvl w:val="0"/>
          <w:numId w:val="106"/>
        </w:numPr>
        <w:spacing w:after="200" w:line="276" w:lineRule="auto"/>
        <w:ind w:left="851"/>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Total de reparaciones atendidas dentro del día hábil siguiente a la recepción de la queja, del total de reportes levantados. </w:t>
      </w:r>
      <w:r w:rsidR="00B53E09" w:rsidRPr="00422CA2">
        <w:rPr>
          <w:rFonts w:ascii="ITC Avant Garde" w:hAnsi="ITC Avant Garde"/>
          <w:color w:val="auto"/>
          <w:sz w:val="22"/>
          <w:szCs w:val="22"/>
          <w:lang w:val="es-MX"/>
        </w:rPr>
        <w:t xml:space="preserve">Al menos </w:t>
      </w:r>
      <w:r w:rsidRPr="00422CA2">
        <w:rPr>
          <w:rFonts w:ascii="ITC Avant Garde" w:hAnsi="ITC Avant Garde"/>
          <w:color w:val="auto"/>
          <w:sz w:val="22"/>
          <w:szCs w:val="22"/>
          <w:lang w:val="es-MX"/>
        </w:rPr>
        <w:t>8</w:t>
      </w:r>
      <w:r w:rsidR="00B53E0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xml:space="preserve"> % </w:t>
      </w:r>
    </w:p>
    <w:p w14:paraId="40E85CEF" w14:textId="4B9A4DD6" w:rsidR="0002741C" w:rsidRPr="00422CA2" w:rsidRDefault="00011A1B" w:rsidP="00F27E64">
      <w:pPr>
        <w:pStyle w:val="Default"/>
        <w:numPr>
          <w:ilvl w:val="0"/>
          <w:numId w:val="106"/>
        </w:numPr>
        <w:spacing w:after="200" w:line="276" w:lineRule="auto"/>
        <w:ind w:left="851"/>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Total de reparaciones atendidas dentro de los 3 días hábiles siguientes a la recepción de la queja, del total de reportes levantados. </w:t>
      </w:r>
      <w:r w:rsidR="00B53E09" w:rsidRPr="00422CA2">
        <w:rPr>
          <w:rFonts w:ascii="ITC Avant Garde" w:hAnsi="ITC Avant Garde"/>
          <w:color w:val="auto"/>
          <w:sz w:val="22"/>
          <w:szCs w:val="22"/>
          <w:lang w:val="es-MX"/>
        </w:rPr>
        <w:t xml:space="preserve">Al menos </w:t>
      </w:r>
      <w:r w:rsidRPr="00422CA2">
        <w:rPr>
          <w:rFonts w:ascii="ITC Avant Garde" w:hAnsi="ITC Avant Garde"/>
          <w:color w:val="auto"/>
          <w:sz w:val="22"/>
          <w:szCs w:val="22"/>
          <w:lang w:val="es-MX"/>
        </w:rPr>
        <w:t>9</w:t>
      </w:r>
      <w:r w:rsidR="00B53E0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xml:space="preserve"> % </w:t>
      </w:r>
    </w:p>
    <w:p w14:paraId="40E85CF0" w14:textId="79A8EC98" w:rsidR="0002741C" w:rsidRPr="00422CA2" w:rsidRDefault="00011A1B" w:rsidP="009D40E9">
      <w:pPr>
        <w:pStyle w:val="Default"/>
        <w:spacing w:after="200" w:line="276" w:lineRule="auto"/>
        <w:jc w:val="both"/>
        <w:rPr>
          <w:rFonts w:ascii="ITC Avant Garde" w:hAnsi="ITC Avant Garde"/>
          <w:color w:val="auto"/>
          <w:sz w:val="22"/>
          <w:szCs w:val="22"/>
          <w:lang w:val="es-MX"/>
        </w:rPr>
      </w:pPr>
      <w:r w:rsidRPr="00422CA2">
        <w:rPr>
          <w:rFonts w:ascii="ITC Avant Garde" w:hAnsi="ITC Avant Garde"/>
          <w:color w:val="auto"/>
          <w:sz w:val="22"/>
          <w:szCs w:val="22"/>
          <w:lang w:val="es-MX"/>
        </w:rPr>
        <w:t xml:space="preserve">Para los casos anteriores, la reparación de fallas para el </w:t>
      </w:r>
      <w:r w:rsidR="00B53E09" w:rsidRPr="00422CA2">
        <w:rPr>
          <w:rFonts w:ascii="ITC Avant Garde" w:hAnsi="ITC Avant Garde"/>
          <w:color w:val="auto"/>
          <w:sz w:val="22"/>
          <w:szCs w:val="22"/>
          <w:lang w:val="es-MX"/>
        </w:rPr>
        <w:t>5</w:t>
      </w:r>
      <w:r w:rsidRPr="00422CA2">
        <w:rPr>
          <w:rFonts w:ascii="ITC Avant Garde" w:hAnsi="ITC Avant Garde"/>
          <w:color w:val="auto"/>
          <w:sz w:val="22"/>
          <w:szCs w:val="22"/>
          <w:lang w:val="es-MX"/>
        </w:rPr>
        <w:t>% de reportes restante no excederá de 10 días hábiles siguientes a la recepción de la queja.</w:t>
      </w:r>
    </w:p>
    <w:p w14:paraId="40E85CF2" w14:textId="77777777" w:rsidR="00530A32" w:rsidRPr="00422CA2" w:rsidRDefault="00011A1B" w:rsidP="009D40E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realizar las mediciones de estos indicadores, se considerarán los reportes levantados en un horario de 8:00 a 14:00 horas, aquellos que se reciban después de ese horario, se contabilizarán para el día hábil siguiente.</w:t>
      </w:r>
    </w:p>
    <w:p w14:paraId="40E85CF3" w14:textId="77777777" w:rsidR="00396495" w:rsidRPr="00422CA2" w:rsidRDefault="00396495" w:rsidP="009D40E9">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lastRenderedPageBreak/>
        <w:t>Metodología</w:t>
      </w:r>
    </w:p>
    <w:p w14:paraId="40E85CF4" w14:textId="77777777" w:rsidR="00396495" w:rsidRPr="00422CA2" w:rsidRDefault="00396495" w:rsidP="00F27E64">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cálculo de los indicadores de reparación de fallas, se calcula de la siguiente forma, y se mide para reparaciones en 1, 3 y 10 días hábiles posteriores a la recepción de la queja: </w:t>
      </w:r>
    </w:p>
    <w:p w14:paraId="40E85CF6" w14:textId="6F91D566" w:rsidR="00396495" w:rsidRPr="00422CA2" w:rsidRDefault="00396495" w:rsidP="009D40E9">
      <w:pPr>
        <w:spacing w:after="200" w:line="276" w:lineRule="auto"/>
        <w:jc w:val="both"/>
        <w:rPr>
          <w:rFonts w:ascii="ITC Avant Garde" w:hAnsi="ITC Avant Garde"/>
          <w:sz w:val="22"/>
          <w:szCs w:val="22"/>
          <w:lang w:val="es-MX"/>
        </w:rPr>
      </w:pPr>
      <w:r w:rsidRPr="00422CA2">
        <w:rPr>
          <w:rFonts w:ascii="ITC Avant Garde" w:hAnsi="ITC Avant Garde" w:cstheme="minorHAnsi"/>
          <w:b/>
          <w:sz w:val="22"/>
          <w:szCs w:val="22"/>
        </w:rPr>
        <w:t xml:space="preserve">Reparación de </w:t>
      </w:r>
      <w:r w:rsidR="00FE289B" w:rsidRPr="00422CA2">
        <w:rPr>
          <w:rFonts w:ascii="ITC Avant Garde" w:hAnsi="ITC Avant Garde" w:cstheme="minorHAnsi"/>
          <w:b/>
          <w:sz w:val="22"/>
          <w:szCs w:val="22"/>
        </w:rPr>
        <w:t>fallas</w:t>
      </w:r>
      <w:r w:rsidRPr="00422CA2">
        <w:rPr>
          <w:rFonts w:ascii="ITC Avant Garde" w:hAnsi="ITC Avant Garde" w:cstheme="minorHAnsi"/>
          <w:b/>
          <w:sz w:val="22"/>
          <w:szCs w:val="22"/>
        </w:rPr>
        <w:t xml:space="preserve">: </w:t>
      </w:r>
      <w:r w:rsidRPr="00422CA2">
        <w:rPr>
          <w:rFonts w:ascii="ITC Avant Garde" w:hAnsi="ITC Avant Garde" w:cstheme="minorHAnsi"/>
          <w:sz w:val="22"/>
          <w:szCs w:val="22"/>
        </w:rPr>
        <w:t>porcentaje de las fallas reportadas, que son atendidas dentro del plazo a medir (1,3, 10 días hábiles siguientes a la recepción de la queja), durante el trimestre.</w:t>
      </w:r>
    </w:p>
    <w:p w14:paraId="40E85CF8" w14:textId="77777777" w:rsidR="00396495" w:rsidRPr="00422CA2" w:rsidRDefault="00396495" w:rsidP="00396495">
      <w:pPr>
        <w:autoSpaceDE w:val="0"/>
        <w:autoSpaceDN w:val="0"/>
        <w:adjustRightInd w:val="0"/>
        <w:spacing w:line="360" w:lineRule="auto"/>
        <w:jc w:val="center"/>
        <w:rPr>
          <w:rFonts w:ascii="ITC Avant Garde" w:hAnsi="ITC Avant Garde"/>
          <w:sz w:val="22"/>
          <w:szCs w:val="22"/>
          <w:lang w:val="es-MX"/>
        </w:rPr>
      </w:pPr>
      <w:r w:rsidRPr="00422CA2">
        <w:rPr>
          <w:rFonts w:ascii="ITC Avant Garde" w:hAnsi="ITC Avant Garde"/>
          <w:i/>
          <w:sz w:val="20"/>
          <w:szCs w:val="22"/>
          <w:lang w:val="es-MX"/>
        </w:rPr>
        <w:t xml:space="preserve">Reparación de Fallas </w:t>
      </w:r>
      <w:r w:rsidRPr="00422CA2">
        <w:rPr>
          <w:rFonts w:ascii="ITC Avant Garde" w:hAnsi="ITC Avant Garde"/>
          <w:sz w:val="22"/>
          <w:szCs w:val="22"/>
          <w:lang w:val="es-MX"/>
        </w:rPr>
        <w:t xml:space="preserve">= </w:t>
      </w:r>
      <m:oMath>
        <m:f>
          <m:fPr>
            <m:ctrlPr>
              <w:rPr>
                <w:rFonts w:ascii="Cambria Math" w:hAnsi="Cambria Math"/>
                <w:i/>
                <w:sz w:val="22"/>
                <w:szCs w:val="22"/>
                <w:lang w:val="es-MX"/>
              </w:rPr>
            </m:ctrlPr>
          </m:fPr>
          <m:num>
            <m:r>
              <w:rPr>
                <w:rFonts w:ascii="Cambria Math" w:hAnsi="Cambria Math"/>
                <w:sz w:val="22"/>
                <w:szCs w:val="22"/>
                <w:lang w:val="es-MX"/>
              </w:rPr>
              <m:t>Fallas efectivas reparadas en el plazo a medir en  días hábiles</m:t>
            </m:r>
          </m:num>
          <m:den>
            <m:r>
              <w:rPr>
                <w:rFonts w:ascii="Cambria Math" w:hAnsi="Cambria Math"/>
                <w:sz w:val="22"/>
                <w:szCs w:val="22"/>
                <w:lang w:val="es-MX"/>
              </w:rPr>
              <m:t>Fallas Efectivas</m:t>
            </m:r>
          </m:den>
        </m:f>
        <m:r>
          <w:rPr>
            <w:rFonts w:ascii="Cambria Math" w:hAnsi="Cambria Math"/>
            <w:sz w:val="22"/>
            <w:szCs w:val="22"/>
            <w:lang w:val="es-MX"/>
          </w:rPr>
          <m:t xml:space="preserve"> x 100</m:t>
        </m:r>
      </m:oMath>
    </w:p>
    <w:p w14:paraId="40E85CF9" w14:textId="77777777" w:rsidR="00396495" w:rsidRPr="00422CA2" w:rsidRDefault="00396495" w:rsidP="00396495">
      <w:pPr>
        <w:autoSpaceDE w:val="0"/>
        <w:autoSpaceDN w:val="0"/>
        <w:adjustRightInd w:val="0"/>
        <w:spacing w:line="360" w:lineRule="auto"/>
        <w:rPr>
          <w:rFonts w:ascii="ITC Avant Garde" w:hAnsi="ITC Avant Garde"/>
          <w:b/>
          <w:sz w:val="22"/>
          <w:szCs w:val="22"/>
          <w:lang w:val="es-MX"/>
        </w:rPr>
      </w:pPr>
    </w:p>
    <w:p w14:paraId="40E85CFA" w14:textId="77777777" w:rsidR="00396495" w:rsidRPr="00422CA2" w:rsidRDefault="00396495" w:rsidP="009D40E9">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 xml:space="preserve">Donde: </w:t>
      </w:r>
    </w:p>
    <w:p w14:paraId="16111609" w14:textId="77777777" w:rsidR="00321ACA" w:rsidRPr="00422CA2" w:rsidRDefault="00396495" w:rsidP="00F27E64">
      <w:pPr>
        <w:autoSpaceDE w:val="0"/>
        <w:autoSpaceDN w:val="0"/>
        <w:adjustRightInd w:val="0"/>
        <w:spacing w:after="200" w:line="276" w:lineRule="auto"/>
        <w:jc w:val="both"/>
        <w:rPr>
          <w:rFonts w:ascii="ITC Avant Garde" w:hAnsi="ITC Avant Garde"/>
          <w:i/>
          <w:sz w:val="22"/>
          <w:szCs w:val="22"/>
          <w:lang w:val="es-MX"/>
        </w:rPr>
      </w:pPr>
      <w:r w:rsidRPr="00422CA2">
        <w:rPr>
          <w:rFonts w:ascii="ITC Avant Garde" w:hAnsi="ITC Avant Garde"/>
          <w:i/>
          <w:sz w:val="22"/>
          <w:szCs w:val="22"/>
          <w:lang w:val="es-MX"/>
        </w:rPr>
        <w:t xml:space="preserve">Fallas efectivas reparadas en el plazo a medir (días hábiles) = </w:t>
      </w:r>
      <w:r w:rsidRPr="00422CA2">
        <w:rPr>
          <w:rFonts w:ascii="ITC Avant Garde" w:hAnsi="ITC Avant Garde" w:cstheme="minorHAnsi"/>
          <w:sz w:val="22"/>
          <w:szCs w:val="22"/>
        </w:rPr>
        <w:t xml:space="preserve">Es la cantidad de fallas reparadas dentro del plazo que interesa medir, en este caso serán 1, 3 y 10 días hábiles siguientes a la recepción de la queja conforme a los procedimientos formales de Telmex. </w:t>
      </w:r>
      <w:r w:rsidR="00321ACA" w:rsidRPr="00422CA2">
        <w:rPr>
          <w:rFonts w:ascii="ITC Avant Garde" w:hAnsi="ITC Avant Garde" w:cstheme="minorHAnsi"/>
          <w:sz w:val="22"/>
          <w:szCs w:val="22"/>
        </w:rPr>
        <w:t>En esta variable se eliminan las quejas debidas a fallas provocadas por fenómenos no previsibles o de fuerza mayor además de las fallas en la red bajo responsabilidad del cliente.</w:t>
      </w:r>
    </w:p>
    <w:p w14:paraId="02AA7924" w14:textId="28871A8F" w:rsidR="00321ACA" w:rsidRPr="00422CA2" w:rsidRDefault="00321ACA" w:rsidP="00321ACA">
      <w:pPr>
        <w:spacing w:after="200" w:line="276" w:lineRule="auto"/>
        <w:jc w:val="both"/>
        <w:rPr>
          <w:rFonts w:ascii="ITC Avant Garde" w:hAnsi="ITC Avant Garde"/>
          <w:i/>
          <w:sz w:val="22"/>
          <w:szCs w:val="22"/>
          <w:lang w:val="es-MX"/>
        </w:rPr>
      </w:pPr>
      <w:r w:rsidRPr="00422CA2">
        <w:rPr>
          <w:rFonts w:ascii="ITC Avant Garde" w:hAnsi="ITC Avant Garde"/>
          <w:i/>
          <w:sz w:val="22"/>
          <w:szCs w:val="22"/>
          <w:lang w:val="es-MX"/>
        </w:rPr>
        <w:t xml:space="preserve">Fallas Efectivas = </w:t>
      </w:r>
      <w:r w:rsidRPr="00422CA2">
        <w:rPr>
          <w:rFonts w:ascii="ITC Avant Garde" w:hAnsi="ITC Avant Garde" w:cstheme="minorHAnsi"/>
          <w:sz w:val="22"/>
          <w:szCs w:val="22"/>
        </w:rPr>
        <w:t>Cantidad de reportes de fallas recibidos excepto las quejas debidas a fallas provocadas por fenómenos no previsibles o de fuerza mayor, además de las fallas en la red bajo responsabilidad del cliente.</w:t>
      </w:r>
    </w:p>
    <w:p w14:paraId="40E85CFE" w14:textId="77777777" w:rsidR="00F74396" w:rsidRPr="00422CA2" w:rsidRDefault="00F74396" w:rsidP="009D40E9">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Indicador para Disponibilidad</w:t>
      </w:r>
    </w:p>
    <w:p w14:paraId="40E85CFF" w14:textId="7E0D8BF1" w:rsidR="00F74396" w:rsidRPr="00422CA2" w:rsidRDefault="00F74396" w:rsidP="009D40E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indicador de disponibilidad establece el porcentaje del tiempo durante el cual, el servicio se encuentra en operación normal respecto del tiempo total de medición. La meta de cumplimiento de este indicador es del 98% al trimestre</w:t>
      </w:r>
      <w:r w:rsidR="00EA4F02" w:rsidRPr="00422CA2">
        <w:rPr>
          <w:rFonts w:ascii="ITC Avant Garde" w:hAnsi="ITC Avant Garde"/>
          <w:sz w:val="22"/>
          <w:szCs w:val="22"/>
          <w:lang w:val="es-MX"/>
        </w:rPr>
        <w:t>.</w:t>
      </w:r>
    </w:p>
    <w:p w14:paraId="40E85D00" w14:textId="77777777" w:rsidR="00F74396" w:rsidRPr="00422CA2" w:rsidRDefault="00F74396" w:rsidP="009D40E9">
      <w:pPr>
        <w:spacing w:after="200" w:line="276" w:lineRule="auto"/>
        <w:jc w:val="both"/>
        <w:rPr>
          <w:rFonts w:ascii="ITC Avant Garde" w:hAnsi="ITC Avant Garde"/>
          <w:b/>
          <w:bCs/>
          <w:sz w:val="22"/>
          <w:szCs w:val="22"/>
        </w:rPr>
      </w:pPr>
      <w:r w:rsidRPr="00422CA2">
        <w:rPr>
          <w:rFonts w:ascii="ITC Avant Garde" w:hAnsi="ITC Avant Garde"/>
          <w:b/>
          <w:bCs/>
          <w:sz w:val="22"/>
          <w:szCs w:val="22"/>
        </w:rPr>
        <w:t>Metodología</w:t>
      </w:r>
    </w:p>
    <w:p w14:paraId="40E85D01" w14:textId="77777777" w:rsidR="00F74396" w:rsidRPr="00422CA2" w:rsidRDefault="00F74396" w:rsidP="009D40E9">
      <w:pPr>
        <w:spacing w:after="200" w:line="276" w:lineRule="auto"/>
        <w:jc w:val="both"/>
        <w:rPr>
          <w:rFonts w:ascii="ITC Avant Garde" w:hAnsi="ITC Avant Garde"/>
          <w:sz w:val="22"/>
          <w:szCs w:val="22"/>
        </w:rPr>
      </w:pPr>
      <w:r w:rsidRPr="00422CA2">
        <w:rPr>
          <w:rFonts w:ascii="ITC Avant Garde" w:hAnsi="ITC Avant Garde"/>
          <w:sz w:val="22"/>
          <w:szCs w:val="22"/>
        </w:rPr>
        <w:t>El indicador se calcula considerando el número de líneas en servicio durante el periodo de medición, menos las fallas efectivas reportadas por el tiempo de interrupción del servicio, respecto del total de líneas en servicio durante dicho período de medición.</w:t>
      </w:r>
    </w:p>
    <w:p w14:paraId="40E85D03" w14:textId="77777777" w:rsidR="00F74396" w:rsidRPr="00422CA2" w:rsidRDefault="00F74396" w:rsidP="00F74396">
      <w:pPr>
        <w:autoSpaceDE w:val="0"/>
        <w:autoSpaceDN w:val="0"/>
        <w:spacing w:line="360" w:lineRule="auto"/>
        <w:jc w:val="center"/>
        <w:rPr>
          <w:rFonts w:ascii="ITC Avant Garde" w:hAnsi="ITC Avant Garde"/>
        </w:rPr>
      </w:pPr>
      <w:r w:rsidRPr="00422CA2">
        <w:rPr>
          <w:rFonts w:ascii="ITC Avant Garde" w:hAnsi="ITC Avant Garde"/>
          <w:i/>
          <w:iCs/>
          <w:sz w:val="18"/>
          <w:szCs w:val="18"/>
        </w:rPr>
        <w:t xml:space="preserve">Disponibilidad </w:t>
      </w:r>
      <w:r w:rsidRPr="00422CA2">
        <w:rPr>
          <w:rFonts w:ascii="ITC Avant Garde" w:hAnsi="ITC Avant Garde"/>
        </w:rPr>
        <w:t xml:space="preserve">= </w:t>
      </w:r>
      <m:oMath>
        <m:f>
          <m:fPr>
            <m:ctrlPr>
              <w:rPr>
                <w:rFonts w:ascii="Cambria Math" w:eastAsiaTheme="minorHAnsi" w:hAnsi="Cambria Math"/>
                <w:i/>
                <w:iCs/>
                <w:sz w:val="20"/>
                <w:szCs w:val="20"/>
              </w:rPr>
            </m:ctrlPr>
          </m:fPr>
          <m:num>
            <m:d>
              <m:dPr>
                <m:ctrlPr>
                  <w:rPr>
                    <w:rFonts w:ascii="Cambria Math" w:eastAsiaTheme="minorHAnsi" w:hAnsi="Cambria Math"/>
                    <w:i/>
                    <w:iCs/>
                    <w:sz w:val="20"/>
                    <w:szCs w:val="20"/>
                  </w:rPr>
                </m:ctrlPr>
              </m:dPr>
              <m:e>
                <m:r>
                  <w:rPr>
                    <w:rFonts w:ascii="Cambria Math" w:hAnsi="Cambria Math"/>
                    <w:sz w:val="20"/>
                    <w:szCs w:val="20"/>
                  </w:rPr>
                  <m:t>Total de líneas en servicio x Periodo de Medición</m:t>
                </m:r>
              </m:e>
            </m:d>
            <m:r>
              <w:rPr>
                <w:rFonts w:ascii="Cambria Math" w:hAnsi="Cambria Math"/>
                <w:sz w:val="20"/>
                <w:szCs w:val="20"/>
              </w:rPr>
              <m:t>-(Fallas Efectivas x Tiempo de Interrupción)</m:t>
            </m:r>
          </m:num>
          <m:den>
            <m:r>
              <w:rPr>
                <w:rFonts w:ascii="Cambria Math" w:hAnsi="Cambria Math"/>
                <w:sz w:val="20"/>
                <w:szCs w:val="20"/>
              </w:rPr>
              <m:t>Total de líneas en servicio x Periodo de Medición</m:t>
            </m:r>
          </m:den>
        </m:f>
        <m:r>
          <w:rPr>
            <w:rFonts w:ascii="Cambria Math" w:hAnsi="Cambria Math"/>
            <w:sz w:val="20"/>
            <w:szCs w:val="20"/>
          </w:rPr>
          <m:t xml:space="preserve"> x 100</m:t>
        </m:r>
      </m:oMath>
    </w:p>
    <w:p w14:paraId="40E85D04" w14:textId="77777777" w:rsidR="00F74396" w:rsidRPr="00422CA2" w:rsidRDefault="00F74396" w:rsidP="009D40E9">
      <w:pPr>
        <w:spacing w:after="200" w:line="276" w:lineRule="auto"/>
        <w:jc w:val="both"/>
        <w:rPr>
          <w:rFonts w:ascii="ITC Avant Garde" w:hAnsi="ITC Avant Garde"/>
          <w:sz w:val="22"/>
          <w:szCs w:val="22"/>
          <w:lang w:val="es-MX"/>
        </w:rPr>
      </w:pPr>
    </w:p>
    <w:p w14:paraId="53AC0F7D" w14:textId="77777777" w:rsidR="00F27E64" w:rsidRPr="00422CA2" w:rsidRDefault="00D42CEC" w:rsidP="009D40E9">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Se consideran fallas efectivas a la cantidad de reportes de fallas en líneas excepto los reportes debidos a fallas provocados por fenómenos no previsibles o de fuerza mayor, además de las fallas en la red bajo responsabilidad del cliente.</w:t>
      </w:r>
    </w:p>
    <w:p w14:paraId="40E85D07" w14:textId="77777777" w:rsidR="0002741C" w:rsidRPr="00422CA2" w:rsidRDefault="00011A1B" w:rsidP="009D40E9">
      <w:pPr>
        <w:autoSpaceDE w:val="0"/>
        <w:autoSpaceDN w:val="0"/>
        <w:adjustRightInd w:val="0"/>
        <w:spacing w:after="200" w:line="276" w:lineRule="auto"/>
        <w:rPr>
          <w:rFonts w:ascii="ITC Avant Garde" w:hAnsi="ITC Avant Garde"/>
          <w:b/>
          <w:sz w:val="22"/>
          <w:szCs w:val="22"/>
          <w:lang w:val="es-MX"/>
        </w:rPr>
      </w:pPr>
      <w:r w:rsidRPr="00422CA2">
        <w:rPr>
          <w:rFonts w:ascii="ITC Avant Garde" w:hAnsi="ITC Avant Garde"/>
          <w:b/>
          <w:sz w:val="22"/>
          <w:szCs w:val="22"/>
          <w:lang w:val="es-MX"/>
        </w:rPr>
        <w:t>Parámetros e Indicadores de Calidad para Pruebas del Servicio</w:t>
      </w:r>
    </w:p>
    <w:p w14:paraId="40E85D08" w14:textId="77777777" w:rsidR="00530A32" w:rsidRPr="00422CA2" w:rsidRDefault="00011A1B" w:rsidP="00F27E64">
      <w:pPr>
        <w:autoSpaceDE w:val="0"/>
        <w:autoSpaceDN w:val="0"/>
        <w:adjustRightInd w:val="0"/>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Resistencia y Capacitancia</w:t>
      </w:r>
    </w:p>
    <w:p w14:paraId="40E85D09" w14:textId="77777777" w:rsidR="006511E6" w:rsidRPr="00422CA2" w:rsidRDefault="006511E6" w:rsidP="009D40E9">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En el proceso de aprovisionamiento y en el proceso de reparación de fallas para líneas de cobre, se realiza la medición de los parámetros eléctricos indicados en la tabla siguiente, esto se realiza entre la línea de cobre y tierra.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6"/>
        <w:gridCol w:w="3186"/>
        <w:gridCol w:w="2167"/>
      </w:tblGrid>
      <w:tr w:rsidR="00422CA2" w:rsidRPr="00422CA2" w14:paraId="40E85D0E" w14:textId="77777777" w:rsidTr="0033555C">
        <w:trPr>
          <w:jc w:val="center"/>
        </w:trPr>
        <w:tc>
          <w:tcPr>
            <w:tcW w:w="3036" w:type="dxa"/>
            <w:shd w:val="clear" w:color="auto" w:fill="548DD4"/>
            <w:vAlign w:val="center"/>
          </w:tcPr>
          <w:p w14:paraId="40E85D0B" w14:textId="77777777" w:rsidR="0002741C" w:rsidRPr="00422CA2" w:rsidRDefault="00011A1B" w:rsidP="009D40E9">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Parámetro</w:t>
            </w:r>
          </w:p>
        </w:tc>
        <w:tc>
          <w:tcPr>
            <w:tcW w:w="3186" w:type="dxa"/>
            <w:shd w:val="clear" w:color="auto" w:fill="548DD4"/>
            <w:vAlign w:val="center"/>
          </w:tcPr>
          <w:p w14:paraId="40E85D0C" w14:textId="77777777" w:rsidR="0002741C" w:rsidRPr="00422CA2" w:rsidRDefault="00011A1B" w:rsidP="009D40E9">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Medición entre puntos (hilos)</w:t>
            </w:r>
          </w:p>
        </w:tc>
        <w:tc>
          <w:tcPr>
            <w:tcW w:w="2167" w:type="dxa"/>
            <w:shd w:val="clear" w:color="auto" w:fill="548DD4"/>
            <w:vAlign w:val="center"/>
          </w:tcPr>
          <w:p w14:paraId="40E85D0D" w14:textId="77777777" w:rsidR="0002741C" w:rsidRPr="00422CA2" w:rsidRDefault="00011A1B" w:rsidP="009D40E9">
            <w:pPr>
              <w:spacing w:before="60" w:after="60" w:line="276" w:lineRule="auto"/>
              <w:jc w:val="center"/>
              <w:rPr>
                <w:rFonts w:ascii="ITC Avant Garde" w:hAnsi="ITC Avant Garde"/>
                <w:b/>
                <w:sz w:val="20"/>
                <w:szCs w:val="20"/>
                <w:lang w:val="es-MX"/>
              </w:rPr>
            </w:pPr>
            <w:r w:rsidRPr="00422CA2">
              <w:rPr>
                <w:rFonts w:ascii="ITC Avant Garde" w:hAnsi="ITC Avant Garde"/>
                <w:b/>
                <w:sz w:val="20"/>
                <w:szCs w:val="20"/>
                <w:lang w:val="es-MX"/>
              </w:rPr>
              <w:t>Valor Aceptable</w:t>
            </w:r>
          </w:p>
        </w:tc>
      </w:tr>
      <w:tr w:rsidR="00422CA2" w:rsidRPr="00422CA2" w14:paraId="40E85D12" w14:textId="77777777" w:rsidTr="0033555C">
        <w:trPr>
          <w:jc w:val="center"/>
        </w:trPr>
        <w:tc>
          <w:tcPr>
            <w:tcW w:w="3036" w:type="dxa"/>
            <w:vMerge w:val="restart"/>
            <w:vAlign w:val="center"/>
          </w:tcPr>
          <w:p w14:paraId="40E85D0F"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Resistencia de aislamiento</w:t>
            </w:r>
          </w:p>
        </w:tc>
        <w:tc>
          <w:tcPr>
            <w:tcW w:w="3186" w:type="dxa"/>
          </w:tcPr>
          <w:p w14:paraId="40E85D10"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vMerge w:val="restart"/>
            <w:vAlign w:val="center"/>
          </w:tcPr>
          <w:p w14:paraId="40E85D11"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Mayor a 1 Mohms</w:t>
            </w:r>
          </w:p>
        </w:tc>
      </w:tr>
      <w:tr w:rsidR="00422CA2" w:rsidRPr="00422CA2" w14:paraId="40E85D16" w14:textId="77777777" w:rsidTr="0033555C">
        <w:trPr>
          <w:jc w:val="center"/>
        </w:trPr>
        <w:tc>
          <w:tcPr>
            <w:tcW w:w="3036" w:type="dxa"/>
            <w:vMerge/>
          </w:tcPr>
          <w:p w14:paraId="40E85D13" w14:textId="77777777" w:rsidR="0002741C" w:rsidRPr="00422CA2" w:rsidRDefault="0002741C" w:rsidP="009D40E9">
            <w:pPr>
              <w:spacing w:before="60" w:after="60" w:line="276" w:lineRule="auto"/>
              <w:rPr>
                <w:rFonts w:ascii="ITC Avant Garde" w:hAnsi="ITC Avant Garde"/>
                <w:sz w:val="20"/>
                <w:szCs w:val="20"/>
                <w:lang w:val="es-MX"/>
              </w:rPr>
            </w:pPr>
          </w:p>
        </w:tc>
        <w:tc>
          <w:tcPr>
            <w:tcW w:w="3186" w:type="dxa"/>
          </w:tcPr>
          <w:p w14:paraId="40E85D14"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vMerge/>
          </w:tcPr>
          <w:p w14:paraId="40E85D15" w14:textId="77777777" w:rsidR="0002741C" w:rsidRPr="00422CA2" w:rsidRDefault="0002741C" w:rsidP="009D40E9">
            <w:pPr>
              <w:spacing w:before="60" w:after="60" w:line="276" w:lineRule="auto"/>
              <w:jc w:val="center"/>
              <w:rPr>
                <w:rFonts w:ascii="ITC Avant Garde" w:hAnsi="ITC Avant Garde"/>
                <w:sz w:val="20"/>
                <w:szCs w:val="20"/>
                <w:lang w:val="es-MX"/>
              </w:rPr>
            </w:pPr>
          </w:p>
        </w:tc>
      </w:tr>
      <w:tr w:rsidR="00422CA2" w:rsidRPr="00422CA2" w14:paraId="40E85D1A" w14:textId="77777777" w:rsidTr="0033555C">
        <w:trPr>
          <w:jc w:val="center"/>
        </w:trPr>
        <w:tc>
          <w:tcPr>
            <w:tcW w:w="3036" w:type="dxa"/>
            <w:vMerge/>
          </w:tcPr>
          <w:p w14:paraId="40E85D17" w14:textId="77777777" w:rsidR="0002741C" w:rsidRPr="00422CA2" w:rsidRDefault="0002741C" w:rsidP="009D40E9">
            <w:pPr>
              <w:spacing w:before="60" w:after="60" w:line="276" w:lineRule="auto"/>
              <w:rPr>
                <w:rFonts w:ascii="ITC Avant Garde" w:hAnsi="ITC Avant Garde"/>
                <w:sz w:val="20"/>
                <w:szCs w:val="20"/>
                <w:lang w:val="es-MX"/>
              </w:rPr>
            </w:pPr>
          </w:p>
        </w:tc>
        <w:tc>
          <w:tcPr>
            <w:tcW w:w="3186" w:type="dxa"/>
          </w:tcPr>
          <w:p w14:paraId="40E85D18"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vMerge/>
          </w:tcPr>
          <w:p w14:paraId="40E85D19" w14:textId="77777777" w:rsidR="0002741C" w:rsidRPr="00422CA2" w:rsidRDefault="0002741C" w:rsidP="009D40E9">
            <w:pPr>
              <w:spacing w:before="60" w:after="60" w:line="276" w:lineRule="auto"/>
              <w:jc w:val="center"/>
              <w:rPr>
                <w:rFonts w:ascii="ITC Avant Garde" w:hAnsi="ITC Avant Garde"/>
                <w:sz w:val="20"/>
                <w:szCs w:val="20"/>
                <w:lang w:val="es-MX"/>
              </w:rPr>
            </w:pPr>
          </w:p>
        </w:tc>
      </w:tr>
      <w:tr w:rsidR="00422CA2" w:rsidRPr="00422CA2" w14:paraId="40E85D1E" w14:textId="77777777" w:rsidTr="0033555C">
        <w:trPr>
          <w:trHeight w:val="275"/>
          <w:jc w:val="center"/>
        </w:trPr>
        <w:tc>
          <w:tcPr>
            <w:tcW w:w="3036" w:type="dxa"/>
            <w:vMerge w:val="restart"/>
            <w:vAlign w:val="center"/>
          </w:tcPr>
          <w:p w14:paraId="40E85D1B"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 xml:space="preserve">Capacitancia </w:t>
            </w:r>
          </w:p>
        </w:tc>
        <w:tc>
          <w:tcPr>
            <w:tcW w:w="3186" w:type="dxa"/>
          </w:tcPr>
          <w:p w14:paraId="40E85D1C"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a-b</w:t>
            </w:r>
          </w:p>
        </w:tc>
        <w:tc>
          <w:tcPr>
            <w:tcW w:w="2167" w:type="dxa"/>
          </w:tcPr>
          <w:p w14:paraId="40E85D1D" w14:textId="77777777" w:rsidR="0002741C" w:rsidRPr="00422CA2" w:rsidRDefault="00011A1B" w:rsidP="00E11FEA">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52.5 nF</w:t>
            </w:r>
            <w:r w:rsidRPr="00422CA2">
              <w:rPr>
                <w:rFonts w:ascii="ITC Avant Garde" w:hAnsi="ITC Avant Garde"/>
                <w:sz w:val="20"/>
                <w:szCs w:val="20"/>
                <w:lang w:val="pt-BR"/>
              </w:rPr>
              <w:t xml:space="preserve">/ Km </w:t>
            </w:r>
            <w:r w:rsidRPr="00422CA2">
              <w:rPr>
                <w:rFonts w:ascii="ITC Avant Garde" w:hAnsi="ITC Avant Garde" w:cs="Arial"/>
                <w:sz w:val="20"/>
                <w:szCs w:val="20"/>
              </w:rPr>
              <w:t>±  5 %</w:t>
            </w:r>
          </w:p>
        </w:tc>
      </w:tr>
      <w:tr w:rsidR="00422CA2" w:rsidRPr="00422CA2" w14:paraId="40E85D22" w14:textId="77777777" w:rsidTr="0033555C">
        <w:trPr>
          <w:trHeight w:val="263"/>
          <w:jc w:val="center"/>
        </w:trPr>
        <w:tc>
          <w:tcPr>
            <w:tcW w:w="3036" w:type="dxa"/>
            <w:vMerge/>
            <w:vAlign w:val="center"/>
          </w:tcPr>
          <w:p w14:paraId="40E85D1F" w14:textId="77777777" w:rsidR="0002741C" w:rsidRPr="00422CA2" w:rsidRDefault="0002741C" w:rsidP="009D40E9">
            <w:pPr>
              <w:spacing w:before="60" w:after="60" w:line="276" w:lineRule="auto"/>
              <w:jc w:val="center"/>
              <w:rPr>
                <w:rFonts w:ascii="ITC Avant Garde" w:hAnsi="ITC Avant Garde"/>
                <w:sz w:val="20"/>
                <w:szCs w:val="20"/>
                <w:lang w:val="es-MX"/>
              </w:rPr>
            </w:pPr>
          </w:p>
        </w:tc>
        <w:tc>
          <w:tcPr>
            <w:tcW w:w="3186" w:type="dxa"/>
          </w:tcPr>
          <w:p w14:paraId="40E85D20"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a-tierra</w:t>
            </w:r>
          </w:p>
        </w:tc>
        <w:tc>
          <w:tcPr>
            <w:tcW w:w="2167" w:type="dxa"/>
          </w:tcPr>
          <w:p w14:paraId="40E85D21" w14:textId="77777777" w:rsidR="0002741C" w:rsidRPr="00422CA2" w:rsidRDefault="00011A1B" w:rsidP="00E11FEA">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r w:rsidR="00422CA2" w:rsidRPr="00422CA2" w14:paraId="40E85D26" w14:textId="77777777" w:rsidTr="0033555C">
        <w:trPr>
          <w:jc w:val="center"/>
        </w:trPr>
        <w:tc>
          <w:tcPr>
            <w:tcW w:w="3036" w:type="dxa"/>
            <w:vMerge/>
            <w:vAlign w:val="center"/>
          </w:tcPr>
          <w:p w14:paraId="40E85D23" w14:textId="77777777" w:rsidR="0002741C" w:rsidRPr="00422CA2" w:rsidRDefault="0002741C" w:rsidP="009D40E9">
            <w:pPr>
              <w:spacing w:before="60" w:after="60" w:line="276" w:lineRule="auto"/>
              <w:rPr>
                <w:rFonts w:ascii="ITC Avant Garde" w:hAnsi="ITC Avant Garde"/>
                <w:sz w:val="20"/>
                <w:szCs w:val="20"/>
                <w:lang w:val="es-MX"/>
              </w:rPr>
            </w:pPr>
          </w:p>
        </w:tc>
        <w:tc>
          <w:tcPr>
            <w:tcW w:w="3186" w:type="dxa"/>
          </w:tcPr>
          <w:p w14:paraId="40E85D24" w14:textId="77777777" w:rsidR="0002741C" w:rsidRPr="00422CA2" w:rsidRDefault="00011A1B" w:rsidP="009D40E9">
            <w:pPr>
              <w:spacing w:before="60" w:after="60" w:line="276" w:lineRule="auto"/>
              <w:jc w:val="center"/>
              <w:rPr>
                <w:rFonts w:ascii="ITC Avant Garde" w:hAnsi="ITC Avant Garde"/>
                <w:sz w:val="20"/>
                <w:szCs w:val="20"/>
                <w:lang w:val="es-MX"/>
              </w:rPr>
            </w:pPr>
            <w:r w:rsidRPr="00422CA2">
              <w:rPr>
                <w:rFonts w:ascii="ITC Avant Garde" w:hAnsi="ITC Avant Garde"/>
                <w:sz w:val="20"/>
                <w:szCs w:val="20"/>
                <w:lang w:val="es-MX"/>
              </w:rPr>
              <w:t>b-tierra</w:t>
            </w:r>
          </w:p>
        </w:tc>
        <w:tc>
          <w:tcPr>
            <w:tcW w:w="2167" w:type="dxa"/>
          </w:tcPr>
          <w:p w14:paraId="40E85D25" w14:textId="77777777" w:rsidR="0002741C" w:rsidRPr="00422CA2" w:rsidRDefault="00011A1B" w:rsidP="00E11FEA">
            <w:pPr>
              <w:spacing w:before="60" w:after="60" w:line="276" w:lineRule="auto"/>
              <w:jc w:val="center"/>
              <w:rPr>
                <w:rFonts w:ascii="ITC Avant Garde" w:hAnsi="ITC Avant Garde"/>
                <w:sz w:val="20"/>
                <w:szCs w:val="20"/>
                <w:lang w:val="es-MX"/>
              </w:rPr>
            </w:pPr>
            <w:r w:rsidRPr="00422CA2">
              <w:rPr>
                <w:rFonts w:ascii="ITC Avant Garde" w:hAnsi="ITC Avant Garde" w:cs="Arial"/>
                <w:sz w:val="20"/>
                <w:szCs w:val="20"/>
              </w:rPr>
              <w:t xml:space="preserve">64 </w:t>
            </w:r>
            <w:r w:rsidRPr="00422CA2">
              <w:rPr>
                <w:rFonts w:ascii="ITC Avant Garde" w:hAnsi="ITC Avant Garde"/>
                <w:sz w:val="20"/>
                <w:szCs w:val="20"/>
                <w:lang w:val="pt-BR"/>
              </w:rPr>
              <w:t>nF/Km</w:t>
            </w:r>
            <w:r w:rsidRPr="00422CA2">
              <w:rPr>
                <w:rFonts w:ascii="ITC Avant Garde" w:hAnsi="ITC Avant Garde" w:cs="Arial"/>
                <w:sz w:val="20"/>
                <w:szCs w:val="20"/>
                <w:lang w:val="pt-BR"/>
              </w:rPr>
              <w:t xml:space="preserve"> </w:t>
            </w:r>
            <w:r w:rsidRPr="00422CA2">
              <w:rPr>
                <w:rFonts w:ascii="ITC Avant Garde" w:hAnsi="ITC Avant Garde" w:cs="Arial"/>
                <w:sz w:val="20"/>
                <w:szCs w:val="20"/>
              </w:rPr>
              <w:t>± 10 %</w:t>
            </w:r>
          </w:p>
        </w:tc>
      </w:tr>
    </w:tbl>
    <w:p w14:paraId="40E85D27" w14:textId="29AB20B9" w:rsidR="00864494" w:rsidRPr="00422CA2" w:rsidRDefault="00347648" w:rsidP="00F27E64">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w:t>
      </w:r>
      <w:r w:rsidR="00AB0CAD" w:rsidRPr="00422CA2">
        <w:rPr>
          <w:rFonts w:ascii="ITC Avant Garde" w:hAnsi="ITC Avant Garde"/>
          <w:sz w:val="18"/>
          <w:szCs w:val="18"/>
          <w:lang w:val="es-MX"/>
        </w:rPr>
        <w:t>18</w:t>
      </w:r>
      <w:r w:rsidRPr="00422CA2">
        <w:rPr>
          <w:rFonts w:ascii="ITC Avant Garde" w:hAnsi="ITC Avant Garde"/>
          <w:sz w:val="18"/>
          <w:szCs w:val="18"/>
          <w:lang w:val="es-MX"/>
        </w:rPr>
        <w:t xml:space="preserve"> </w:t>
      </w:r>
      <w:r w:rsidR="00864494" w:rsidRPr="00422CA2">
        <w:rPr>
          <w:rFonts w:ascii="ITC Avant Garde" w:hAnsi="ITC Avant Garde"/>
          <w:sz w:val="18"/>
          <w:szCs w:val="18"/>
          <w:lang w:val="es-MX"/>
        </w:rPr>
        <w:t>Valores aceptables de resistencia y capacitancia</w:t>
      </w:r>
    </w:p>
    <w:p w14:paraId="40E85D29" w14:textId="77777777" w:rsidR="006511E6" w:rsidRPr="00422CA2" w:rsidRDefault="006511E6" w:rsidP="009D40E9">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Para los casos de servicios de acceso a internet–Infinitum, una vez validado el cobre se realiza la verificación de la sin</w:t>
      </w:r>
      <w:r w:rsidR="00CE0E02" w:rsidRPr="00422CA2">
        <w:rPr>
          <w:rFonts w:ascii="ITC Avant Garde" w:hAnsi="ITC Avant Garde"/>
          <w:sz w:val="22"/>
          <w:szCs w:val="22"/>
        </w:rPr>
        <w:t>cronía con el equipo de pruebas</w:t>
      </w:r>
      <w:r w:rsidRPr="00422CA2">
        <w:rPr>
          <w:rFonts w:ascii="ITC Avant Garde" w:hAnsi="ITC Avant Garde"/>
          <w:sz w:val="22"/>
          <w:szCs w:val="22"/>
        </w:rPr>
        <w:t xml:space="preserve"> </w:t>
      </w:r>
      <w:r w:rsidR="00CE0E02" w:rsidRPr="00422CA2">
        <w:rPr>
          <w:rFonts w:ascii="ITC Avant Garde" w:hAnsi="ITC Avant Garde"/>
          <w:sz w:val="22"/>
          <w:szCs w:val="22"/>
        </w:rPr>
        <w:t xml:space="preserve">correspondiente. </w:t>
      </w:r>
      <w:r w:rsidRPr="00422CA2">
        <w:rPr>
          <w:rFonts w:ascii="ITC Avant Garde" w:hAnsi="ITC Avant Garde"/>
          <w:sz w:val="22"/>
          <w:szCs w:val="22"/>
        </w:rPr>
        <w:t>Misma que consiste en conectar el equipo DSL para constatar que se active la indicación de sincronía DSL.</w:t>
      </w:r>
    </w:p>
    <w:p w14:paraId="40E85D2B" w14:textId="77777777" w:rsidR="006511E6" w:rsidRPr="00422CA2" w:rsidRDefault="006511E6" w:rsidP="009D40E9">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De lo anterior, se tiene que si los resultados de las mediciones se encuentran dentro los rangos mostrados, el servicio opera de forma adecuada, de lo contrario, es posible caracterizar las siguientes fallas:</w:t>
      </w:r>
    </w:p>
    <w:p w14:paraId="40E85D2C" w14:textId="77777777" w:rsidR="006511E6" w:rsidRPr="00422CA2" w:rsidRDefault="006511E6" w:rsidP="009D40E9">
      <w:pPr>
        <w:pStyle w:val="Prrafodelista"/>
        <w:numPr>
          <w:ilvl w:val="0"/>
          <w:numId w:val="130"/>
        </w:numPr>
        <w:spacing w:after="200" w:line="276" w:lineRule="auto"/>
        <w:jc w:val="both"/>
        <w:rPr>
          <w:rFonts w:ascii="ITC Avant Garde" w:hAnsi="ITC Avant Garde"/>
          <w:sz w:val="22"/>
          <w:szCs w:val="22"/>
        </w:rPr>
      </w:pPr>
      <w:r w:rsidRPr="00422CA2">
        <w:rPr>
          <w:rFonts w:ascii="ITC Avant Garde" w:hAnsi="ITC Avant Garde"/>
          <w:sz w:val="22"/>
          <w:szCs w:val="22"/>
        </w:rPr>
        <w:t>Fallas Resistivas (bajo aislamiento)</w:t>
      </w:r>
    </w:p>
    <w:p w14:paraId="40E85D2D" w14:textId="77777777" w:rsidR="006511E6" w:rsidRPr="00422CA2" w:rsidRDefault="006511E6" w:rsidP="009D40E9">
      <w:pPr>
        <w:pStyle w:val="Prrafodelista"/>
        <w:numPr>
          <w:ilvl w:val="0"/>
          <w:numId w:val="130"/>
        </w:numPr>
        <w:spacing w:after="200" w:line="276" w:lineRule="auto"/>
        <w:jc w:val="both"/>
        <w:rPr>
          <w:rFonts w:ascii="ITC Avant Garde" w:hAnsi="ITC Avant Garde"/>
          <w:sz w:val="22"/>
          <w:szCs w:val="22"/>
        </w:rPr>
      </w:pPr>
      <w:r w:rsidRPr="00422CA2">
        <w:rPr>
          <w:rFonts w:ascii="ITC Avant Garde" w:hAnsi="ITC Avant Garde"/>
          <w:sz w:val="22"/>
          <w:szCs w:val="22"/>
        </w:rPr>
        <w:t>Cortos</w:t>
      </w:r>
    </w:p>
    <w:p w14:paraId="40E85D2E" w14:textId="77777777" w:rsidR="006511E6" w:rsidRPr="00422CA2" w:rsidRDefault="006511E6" w:rsidP="009D40E9">
      <w:pPr>
        <w:pStyle w:val="Prrafodelista"/>
        <w:numPr>
          <w:ilvl w:val="0"/>
          <w:numId w:val="130"/>
        </w:numPr>
        <w:spacing w:after="200" w:line="276" w:lineRule="auto"/>
        <w:jc w:val="both"/>
        <w:rPr>
          <w:rFonts w:ascii="ITC Avant Garde" w:hAnsi="ITC Avant Garde"/>
          <w:sz w:val="22"/>
          <w:szCs w:val="22"/>
        </w:rPr>
      </w:pPr>
      <w:r w:rsidRPr="00422CA2">
        <w:rPr>
          <w:rFonts w:ascii="ITC Avant Garde" w:hAnsi="ITC Avant Garde"/>
          <w:sz w:val="22"/>
          <w:szCs w:val="22"/>
        </w:rPr>
        <w:t>Tierras</w:t>
      </w:r>
    </w:p>
    <w:p w14:paraId="40E85D2F" w14:textId="77777777" w:rsidR="006511E6" w:rsidRPr="00422CA2" w:rsidRDefault="006511E6" w:rsidP="009D40E9">
      <w:pPr>
        <w:pStyle w:val="Prrafodelista"/>
        <w:numPr>
          <w:ilvl w:val="0"/>
          <w:numId w:val="130"/>
        </w:numPr>
        <w:spacing w:after="200" w:line="276" w:lineRule="auto"/>
        <w:jc w:val="both"/>
        <w:rPr>
          <w:rFonts w:ascii="ITC Avant Garde" w:hAnsi="ITC Avant Garde"/>
          <w:sz w:val="22"/>
          <w:szCs w:val="22"/>
        </w:rPr>
      </w:pPr>
      <w:r w:rsidRPr="00422CA2">
        <w:rPr>
          <w:rFonts w:ascii="ITC Avant Garde" w:hAnsi="ITC Avant Garde"/>
          <w:sz w:val="22"/>
          <w:szCs w:val="22"/>
        </w:rPr>
        <w:t>Desbalance capacitivo</w:t>
      </w:r>
    </w:p>
    <w:p w14:paraId="40E85D30" w14:textId="77777777" w:rsidR="006511E6" w:rsidRPr="00422CA2" w:rsidRDefault="006511E6" w:rsidP="009D40E9">
      <w:pPr>
        <w:pStyle w:val="Prrafodelista"/>
        <w:numPr>
          <w:ilvl w:val="0"/>
          <w:numId w:val="130"/>
        </w:numPr>
        <w:spacing w:after="200" w:line="276" w:lineRule="auto"/>
        <w:jc w:val="both"/>
        <w:rPr>
          <w:rFonts w:ascii="ITC Avant Garde" w:hAnsi="ITC Avant Garde"/>
          <w:sz w:val="22"/>
          <w:szCs w:val="22"/>
        </w:rPr>
      </w:pPr>
      <w:r w:rsidRPr="00422CA2">
        <w:rPr>
          <w:rFonts w:ascii="ITC Avant Garde" w:hAnsi="ITC Avant Garde"/>
          <w:sz w:val="22"/>
          <w:szCs w:val="22"/>
        </w:rPr>
        <w:t>Abiertos (discontinuidad parcial o total del hilo)</w:t>
      </w:r>
    </w:p>
    <w:p w14:paraId="40E85D32" w14:textId="2AF3E4BE" w:rsidR="00530A32" w:rsidRPr="00422CA2" w:rsidRDefault="00011A1B" w:rsidP="00586B55">
      <w:pPr>
        <w:pStyle w:val="Ttulo1"/>
      </w:pPr>
      <w:bookmarkStart w:id="519" w:name="_Toc436840916"/>
      <w:bookmarkStart w:id="520" w:name="_Toc436846353"/>
      <w:bookmarkStart w:id="521" w:name="_Toc436848303"/>
      <w:bookmarkStart w:id="522" w:name="_Toc436856551"/>
      <w:bookmarkStart w:id="523" w:name="_Toc436862697"/>
      <w:bookmarkStart w:id="524" w:name="_Toc436866347"/>
      <w:bookmarkStart w:id="525" w:name="_Toc436870926"/>
      <w:bookmarkStart w:id="526" w:name="_Toc436875918"/>
      <w:bookmarkStart w:id="527" w:name="_Toc437602105"/>
      <w:r w:rsidRPr="00422CA2">
        <w:lastRenderedPageBreak/>
        <w:t>6.</w:t>
      </w:r>
      <w:r w:rsidR="00260194" w:rsidRPr="00422CA2">
        <w:t>5</w:t>
      </w:r>
      <w:r w:rsidRPr="00422CA2">
        <w:t>.1</w:t>
      </w:r>
      <w:r w:rsidRPr="00422CA2">
        <w:tab/>
        <w:t>Propuesta de mejora de parámetros de calidad</w:t>
      </w:r>
      <w:bookmarkEnd w:id="519"/>
      <w:bookmarkEnd w:id="520"/>
      <w:bookmarkEnd w:id="521"/>
      <w:bookmarkEnd w:id="522"/>
      <w:bookmarkEnd w:id="523"/>
      <w:bookmarkEnd w:id="524"/>
      <w:bookmarkEnd w:id="525"/>
      <w:bookmarkEnd w:id="526"/>
      <w:bookmarkEnd w:id="527"/>
    </w:p>
    <w:p w14:paraId="40E85D33" w14:textId="32BF1B27" w:rsidR="003524CC" w:rsidRPr="00422CA2" w:rsidRDefault="00011A1B" w:rsidP="009D40E9">
      <w:pPr>
        <w:spacing w:after="200" w:line="276" w:lineRule="auto"/>
        <w:jc w:val="both"/>
        <w:rPr>
          <w:rFonts w:ascii="ITC Avant Garde" w:hAnsi="ITC Avant Garde"/>
          <w:sz w:val="22"/>
          <w:szCs w:val="22"/>
        </w:rPr>
      </w:pPr>
      <w:r w:rsidRPr="00422CA2">
        <w:rPr>
          <w:rFonts w:ascii="ITC Avant Garde" w:hAnsi="ITC Avant Garde"/>
          <w:sz w:val="22"/>
          <w:szCs w:val="22"/>
        </w:rPr>
        <w:t xml:space="preserve">A partir de las mediciones y estadísticas que se obtengan durante </w:t>
      </w:r>
      <w:r w:rsidR="00BD1DC1" w:rsidRPr="00422CA2">
        <w:rPr>
          <w:rFonts w:ascii="ITC Avant Garde" w:hAnsi="ITC Avant Garde"/>
          <w:sz w:val="22"/>
          <w:szCs w:val="22"/>
        </w:rPr>
        <w:t xml:space="preserve">medio </w:t>
      </w:r>
      <w:r w:rsidRPr="00422CA2">
        <w:rPr>
          <w:rFonts w:ascii="ITC Avant Garde" w:hAnsi="ITC Avant Garde"/>
          <w:sz w:val="22"/>
          <w:szCs w:val="22"/>
        </w:rPr>
        <w:t xml:space="preserve">año de operación de los parámetros e indicadores de calidad que se proponen en el presente documento, </w:t>
      </w:r>
      <w:r w:rsidR="004445C0" w:rsidRPr="00422CA2">
        <w:rPr>
          <w:rFonts w:ascii="ITC Avant Garde" w:hAnsi="ITC Avant Garde"/>
          <w:sz w:val="22"/>
          <w:szCs w:val="22"/>
        </w:rPr>
        <w:t>mismas que deberán estar disponibles para los CS y para el Instituto,</w:t>
      </w:r>
      <w:r w:rsidRPr="00422CA2">
        <w:rPr>
          <w:rFonts w:ascii="ITC Avant Garde" w:hAnsi="ITC Avant Garde"/>
          <w:sz w:val="22"/>
          <w:szCs w:val="22"/>
        </w:rPr>
        <w:t xml:space="preserve"> se elaborará una estrategia que permita mejorar el desempeño de los mismos, lo anterior implica un ejercicio de identificación de áreas de oportunidad, así como de establecer las acciones a desarrollar en el futuro para introducir mejoras. Por lo anterior, la implementación del Plan de Mejora requerirá de tiempo hasta conseguir un nivel de maduración adecuado. </w:t>
      </w:r>
    </w:p>
    <w:p w14:paraId="40E85D34" w14:textId="0F149B7E" w:rsidR="003524CC" w:rsidRPr="00422CA2" w:rsidRDefault="0085345C" w:rsidP="003524CC">
      <w:pPr>
        <w:spacing w:after="200" w:line="276" w:lineRule="auto"/>
        <w:jc w:val="both"/>
        <w:rPr>
          <w:rFonts w:ascii="ITC Avant Garde" w:hAnsi="ITC Avant Garde"/>
        </w:rPr>
      </w:pPr>
      <w:r>
        <w:rPr>
          <w:rFonts w:ascii="ITC Avant Garde" w:hAnsi="ITC Avant Garde"/>
          <w:noProof/>
          <w:lang w:val="es-MX" w:eastAsia="es-MX"/>
        </w:rPr>
        <mc:AlternateContent>
          <mc:Choice Requires="wps">
            <w:drawing>
              <wp:anchor distT="0" distB="0" distL="114300" distR="114300" simplePos="0" relativeHeight="251658243" behindDoc="0" locked="0" layoutInCell="1" allowOverlap="1" wp14:anchorId="40E860EE" wp14:editId="0FC837E2">
                <wp:simplePos x="0" y="0"/>
                <wp:positionH relativeFrom="column">
                  <wp:posOffset>481965</wp:posOffset>
                </wp:positionH>
                <wp:positionV relativeFrom="paragraph">
                  <wp:posOffset>11430</wp:posOffset>
                </wp:positionV>
                <wp:extent cx="4610100" cy="342900"/>
                <wp:effectExtent l="0" t="0" r="0" b="635"/>
                <wp:wrapNone/>
                <wp:docPr id="37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0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86166" w14:textId="77777777" w:rsidR="00CA026A" w:rsidRPr="009D40E9" w:rsidRDefault="00CA026A" w:rsidP="009D40E9">
                            <w:pPr>
                              <w:jc w:val="center"/>
                              <w:rPr>
                                <w:rFonts w:ascii="ITC Avant Garde" w:hAnsi="ITC Avant Garde"/>
                                <w:b/>
                                <w:sz w:val="22"/>
                                <w:szCs w:val="22"/>
                                <w:lang w:val="es-MX"/>
                              </w:rPr>
                            </w:pPr>
                            <w:r w:rsidRPr="009D40E9">
                              <w:rPr>
                                <w:rFonts w:ascii="ITC Avant Garde" w:hAnsi="ITC Avant Garde"/>
                                <w:b/>
                                <w:sz w:val="22"/>
                                <w:szCs w:val="22"/>
                                <w:lang w:val="es-MX"/>
                              </w:rPr>
                              <w:t>Componentes del Plan de Mejora de Indicadores de Calidad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860EE" id="Rectangle 38" o:spid="_x0000_s1027" style="position:absolute;left:0;text-align:left;margin-left:37.95pt;margin-top:.9pt;width:363pt;height: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" filled="f" stroked="f">
                <v:textbox>
                  <w:txbxContent>
                    <w:p w14:paraId="40E86166" w14:textId="77777777" w:rsidR="00CA026A" w:rsidRPr="009D40E9" w:rsidRDefault="00CA026A" w:rsidP="009D40E9">
                      <w:pPr>
                        <w:jc w:val="center"/>
                        <w:rPr>
                          <w:rFonts w:ascii="ITC Avant Garde" w:hAnsi="ITC Avant Garde"/>
                          <w:b/>
                          <w:sz w:val="22"/>
                          <w:szCs w:val="22"/>
                          <w:lang w:val="es-MX"/>
                        </w:rPr>
                      </w:pPr>
                      <w:r w:rsidRPr="009D40E9">
                        <w:rPr>
                          <w:rFonts w:ascii="ITC Avant Garde" w:hAnsi="ITC Avant Garde"/>
                          <w:b/>
                          <w:sz w:val="22"/>
                          <w:szCs w:val="22"/>
                          <w:lang w:val="es-MX"/>
                        </w:rPr>
                        <w:t>Componentes del Plan de Mejora de Indicadores de Calidad</w:t>
                      </w:r>
                    </w:p>
                  </w:txbxContent>
                </v:textbox>
              </v:rect>
            </w:pict>
          </mc:Fallback>
        </mc:AlternateContent>
      </w:r>
      <w:r w:rsidR="00530A32" w:rsidRPr="00422CA2">
        <w:rPr>
          <w:rFonts w:ascii="ITC Avant Garde" w:hAnsi="ITC Avant Garde"/>
          <w:noProof/>
          <w:lang w:val="es-MX" w:eastAsia="es-MX"/>
        </w:rPr>
        <w:drawing>
          <wp:inline distT="0" distB="0" distL="0" distR="0" wp14:anchorId="40E860EF" wp14:editId="29CC3111">
            <wp:extent cx="5483225" cy="1153236"/>
            <wp:effectExtent l="19050" t="0" r="22225" b="0"/>
            <wp:docPr id="24"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14:paraId="3DB4E356" w14:textId="61BE1D62" w:rsidR="00BD1DC1" w:rsidRPr="00422CA2" w:rsidRDefault="00BD1DC1" w:rsidP="003524CC">
      <w:pPr>
        <w:spacing w:after="200" w:line="276" w:lineRule="auto"/>
        <w:jc w:val="both"/>
        <w:rPr>
          <w:rFonts w:ascii="ITC Avant Garde" w:hAnsi="ITC Avant Garde"/>
          <w:sz w:val="22"/>
          <w:szCs w:val="22"/>
        </w:rPr>
      </w:pPr>
      <w:r w:rsidRPr="00422CA2">
        <w:rPr>
          <w:rFonts w:ascii="ITC Avant Garde" w:hAnsi="ITC Avant Garde"/>
          <w:sz w:val="22"/>
          <w:szCs w:val="22"/>
        </w:rPr>
        <w:t>Si al término de medio año existen evidencias suficientes para determinar mejoras en los parámetros, se llevará a cabo entonces la identificación de áreas de oportunidad, mientras que si no existen tales evidencias, el ejercicio se podrá realizar al cabo de un año.</w:t>
      </w:r>
    </w:p>
    <w:p w14:paraId="40E85D36" w14:textId="6DB241C2" w:rsidR="00530A32" w:rsidRPr="00422CA2" w:rsidRDefault="00011A1B" w:rsidP="00586B55">
      <w:pPr>
        <w:pStyle w:val="Ttulo1"/>
      </w:pPr>
      <w:bookmarkStart w:id="528" w:name="_Toc436840917"/>
      <w:bookmarkStart w:id="529" w:name="_Toc436846354"/>
      <w:bookmarkStart w:id="530" w:name="_Toc436848304"/>
      <w:bookmarkStart w:id="531" w:name="_Toc436856552"/>
      <w:bookmarkStart w:id="532" w:name="_Toc436862698"/>
      <w:bookmarkStart w:id="533" w:name="_Toc436866348"/>
      <w:bookmarkStart w:id="534" w:name="_Toc436870927"/>
      <w:bookmarkStart w:id="535" w:name="_Toc436875919"/>
      <w:bookmarkStart w:id="536" w:name="_Toc437602106"/>
      <w:r w:rsidRPr="00422CA2">
        <w:t>6.</w:t>
      </w:r>
      <w:r w:rsidR="00260194" w:rsidRPr="00422CA2">
        <w:t>6</w:t>
      </w:r>
      <w:r w:rsidRPr="00422CA2">
        <w:tab/>
        <w:t>Procedimiento para la realización de pruebas de la entrega del SDTBL, SDCBL, SDTBSL, SDCSBL</w:t>
      </w:r>
      <w:bookmarkEnd w:id="528"/>
      <w:bookmarkEnd w:id="529"/>
      <w:bookmarkEnd w:id="530"/>
      <w:bookmarkEnd w:id="531"/>
      <w:bookmarkEnd w:id="532"/>
      <w:bookmarkEnd w:id="533"/>
      <w:bookmarkEnd w:id="534"/>
      <w:bookmarkEnd w:id="535"/>
      <w:bookmarkEnd w:id="536"/>
    </w:p>
    <w:p w14:paraId="40E85D38" w14:textId="77777777" w:rsidR="00D33CB8" w:rsidRPr="00422CA2" w:rsidRDefault="00011A1B" w:rsidP="009D40E9">
      <w:pPr>
        <w:spacing w:after="200" w:line="276" w:lineRule="auto"/>
        <w:jc w:val="both"/>
        <w:rPr>
          <w:rFonts w:ascii="ITC Avant Garde" w:hAnsi="ITC Avant Garde"/>
          <w:sz w:val="22"/>
          <w:szCs w:val="22"/>
        </w:rPr>
      </w:pPr>
      <w:r w:rsidRPr="00422CA2">
        <w:rPr>
          <w:rFonts w:ascii="ITC Avant Garde" w:hAnsi="ITC Avant Garde"/>
          <w:sz w:val="22"/>
          <w:szCs w:val="22"/>
        </w:rPr>
        <w:t>La prueba de entrega de los servicios cuyo medio de acceso sea el par de cobre se realiza mediante la medición de los parámetros eléctricos de resistencia de aislamiento y capacitancia y cuyo valor deberá encontrase dentro de los umbrales de aceptación establecidos en la sección 6.6 de Parámetros e indicadores de calidad.</w:t>
      </w:r>
    </w:p>
    <w:p w14:paraId="14AB7780" w14:textId="77777777" w:rsidR="00502B73" w:rsidRPr="00422CA2" w:rsidRDefault="00502B73" w:rsidP="00502B73">
      <w:pPr>
        <w:spacing w:after="200" w:line="276" w:lineRule="auto"/>
        <w:jc w:val="both"/>
        <w:rPr>
          <w:rFonts w:ascii="ITC Avant Garde" w:hAnsi="ITC Avant Garde"/>
          <w:sz w:val="22"/>
          <w:szCs w:val="22"/>
        </w:rPr>
      </w:pPr>
      <w:r w:rsidRPr="00422CA2">
        <w:rPr>
          <w:rFonts w:ascii="ITC Avant Garde" w:hAnsi="ITC Avant Garde"/>
          <w:sz w:val="22"/>
          <w:szCs w:val="22"/>
        </w:rPr>
        <w:t>El técnico realiza las diversas pruebas que los equipos de medición empleados por Telmex (como referencia y no limitativo se mencionan los equipos Smart Class ADSL/TPS ó Colt 250/350) permiten a fin de consultar velocidades de sincronía de subida y bajada, entre otras pruebas.</w:t>
      </w:r>
    </w:p>
    <w:p w14:paraId="05137B67" w14:textId="77777777" w:rsidR="002D0751" w:rsidRPr="00422CA2" w:rsidRDefault="002D0751" w:rsidP="002D0751">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6BB224D1"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Algunas de las pruebas disponibles son las siguientes:</w:t>
      </w:r>
    </w:p>
    <w:p w14:paraId="2C3B63F5" w14:textId="43CD1B08"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w:t>
      </w:r>
      <w:r w:rsidRPr="00422CA2">
        <w:rPr>
          <w:rFonts w:ascii="ITC Avant Garde" w:hAnsi="ITC Avant Garde"/>
          <w:sz w:val="22"/>
          <w:szCs w:val="22"/>
        </w:rPr>
        <w:tab/>
        <w:t xml:space="preserve">Pruebas extremo a extremo para garantizar el correcto funcionamiento del Bucle Local: A la entrega del servicio de desagregación en las frecuencias altas. Las pruebas conllevarán la realización de medidas de continuidad eléctrica y medidas de atenuación </w:t>
      </w:r>
      <w:r w:rsidR="006A048D" w:rsidRPr="00422CA2">
        <w:rPr>
          <w:rFonts w:ascii="ITC Avant Garde" w:hAnsi="ITC Avant Garde"/>
          <w:sz w:val="22"/>
          <w:szCs w:val="22"/>
        </w:rPr>
        <w:t>a diferentes frecuencias de operación</w:t>
      </w:r>
      <w:r w:rsidRPr="00422CA2">
        <w:rPr>
          <w:rFonts w:ascii="ITC Avant Garde" w:hAnsi="ITC Avant Garde"/>
          <w:sz w:val="22"/>
          <w:szCs w:val="22"/>
        </w:rPr>
        <w:t xml:space="preserve"> del par entre el equipo del CS y el PCT. El CS coubicado confirmará la asistencia de su personal de manera que se puedan efectuar las medidas de caracterización en la fecha y ventana horaria convenida, la citada prueba se realizará una vez </w:t>
      </w:r>
      <w:r w:rsidR="00BB4838" w:rsidRPr="00422CA2">
        <w:rPr>
          <w:rFonts w:ascii="ITC Avant Garde" w:hAnsi="ITC Avant Garde"/>
          <w:sz w:val="22"/>
          <w:szCs w:val="22"/>
        </w:rPr>
        <w:t xml:space="preserve">que </w:t>
      </w:r>
      <w:r w:rsidRPr="00422CA2">
        <w:rPr>
          <w:rFonts w:ascii="ITC Avant Garde" w:hAnsi="ITC Avant Garde"/>
          <w:sz w:val="22"/>
          <w:szCs w:val="22"/>
        </w:rPr>
        <w:t xml:space="preserve">el PCT haya sido instalado ya sea por Telmex o el CS. </w:t>
      </w:r>
    </w:p>
    <w:p w14:paraId="7D76758F"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Pruebas de sincronismo para garantizar una correcta entrega del servicio: A través del diagnóstico de posibles incidencias en el proceso de desagregación. Estas pruebas conllevarán la realización por parte del personal técnico de Telmex de diferentes mediciones  en los distintos tramos de la red de acceso al Bucle Local. Se distinguen dos bloques de pruebas:</w:t>
      </w:r>
    </w:p>
    <w:p w14:paraId="4488DAB2" w14:textId="338B18FA"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 xml:space="preserve">Pruebas en Central Telefónica o Instalación Equivalente. Pruebas de sincronismo sobre el par </w:t>
      </w:r>
      <w:r w:rsidR="00F043B9" w:rsidRPr="00422CA2">
        <w:rPr>
          <w:rFonts w:ascii="ITC Avant Garde" w:hAnsi="ITC Avant Garde"/>
          <w:sz w:val="22"/>
          <w:szCs w:val="22"/>
        </w:rPr>
        <w:t xml:space="preserve">de cobre </w:t>
      </w:r>
      <w:r w:rsidRPr="00422CA2">
        <w:rPr>
          <w:rFonts w:ascii="ITC Avant Garde" w:hAnsi="ITC Avant Garde"/>
          <w:sz w:val="22"/>
          <w:szCs w:val="22"/>
        </w:rPr>
        <w:t>con el equipo (Módem) apropiado para cada servicio conectado en el lado vertical del DG, con posibilidad de inyección de tráfico por parte del CS, a fin de comprobar la sincronización, pérdida</w:t>
      </w:r>
      <w:r w:rsidR="005A6337" w:rsidRPr="00422CA2">
        <w:rPr>
          <w:rFonts w:ascii="ITC Avant Garde" w:hAnsi="ITC Avant Garde"/>
          <w:sz w:val="22"/>
          <w:szCs w:val="22"/>
        </w:rPr>
        <w:t xml:space="preserve"> de tramas,</w:t>
      </w:r>
      <w:r w:rsidRPr="00422CA2">
        <w:rPr>
          <w:rFonts w:ascii="ITC Avant Garde" w:hAnsi="ITC Avant Garde"/>
          <w:sz w:val="22"/>
          <w:szCs w:val="22"/>
        </w:rPr>
        <w:t xml:space="preserve"> cruces de pares, u otro tipo de problemas. En caso de no obtener un correcto sincronismo, la prueba deberá repetirse en los distintos equipos  ubicados entre el lado horizontal del DG y el equipo del CS, para acotar el problema. Telmex  deberá disponer para la prueba de los equipos de las tecnologías que ofrezca comercialmente en la Central Telefónica o Instalación Equivalente. El CS indicará a Telmex cuál deberá utilizar y la configuración de los parámetros adecuada en cada caso.</w:t>
      </w:r>
    </w:p>
    <w:p w14:paraId="513AC04B" w14:textId="0A2CBBB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 xml:space="preserve">Prueba del tramo de red entre el lado vertical del DG y el PCT. En esta prueba se verificará la continuidad y otros parámetros físicos como el valor capacitivo y la resistencia del par. Estas pruebas pueden ser solicitadas </w:t>
      </w:r>
      <w:r w:rsidR="00512056" w:rsidRPr="00422CA2">
        <w:rPr>
          <w:rFonts w:ascii="ITC Avant Garde" w:hAnsi="ITC Avant Garde"/>
          <w:sz w:val="22"/>
          <w:szCs w:val="22"/>
        </w:rPr>
        <w:t xml:space="preserve">a </w:t>
      </w:r>
      <w:r w:rsidRPr="00422CA2">
        <w:rPr>
          <w:rFonts w:ascii="ITC Avant Garde" w:hAnsi="ITC Avant Garde"/>
          <w:sz w:val="22"/>
          <w:szCs w:val="22"/>
        </w:rPr>
        <w:t>Telmex  en el momento de la solicitud de provisión del servicio de desagregación. Estas pruebas permiten la detección de la mayoría de problemas que puedan surgir en el proceso de desagregación.</w:t>
      </w:r>
    </w:p>
    <w:p w14:paraId="55EFF116" w14:textId="01BFF529"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 xml:space="preserve">Pruebas en el domicilio del usuario. Pruebas del tramo de red entre el DG y el PCT del usuario, que requieren la presencia de personal técnico de </w:t>
      </w:r>
      <w:r w:rsidR="00E64508" w:rsidRPr="00422CA2">
        <w:rPr>
          <w:rFonts w:ascii="ITC Avant Garde" w:hAnsi="ITC Avant Garde"/>
          <w:sz w:val="22"/>
          <w:szCs w:val="22"/>
        </w:rPr>
        <w:t xml:space="preserve">Telmex  </w:t>
      </w:r>
      <w:r w:rsidRPr="00422CA2">
        <w:rPr>
          <w:rFonts w:ascii="ITC Avant Garde" w:hAnsi="ITC Avant Garde"/>
          <w:sz w:val="22"/>
          <w:szCs w:val="22"/>
        </w:rPr>
        <w:t>en el domicilio del usuario. En caso de que los resultados de la prueba desde el PCT  sean negativos, Telmex  deberá realizar las pruebas oportunas en todos los elementos del tramo de red para localizar el problema, una vez descartados problemas en todos los elementos de red, Telmex estaría en disposición de informar al CS de que el Bucle Local no es apto para la prestación de los  servicios de desagregación.</w:t>
      </w:r>
    </w:p>
    <w:p w14:paraId="7100ABC9"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w:t>
      </w:r>
      <w:r w:rsidRPr="00422CA2">
        <w:rPr>
          <w:rFonts w:ascii="ITC Avant Garde" w:hAnsi="ITC Avant Garde"/>
          <w:sz w:val="22"/>
          <w:szCs w:val="22"/>
        </w:rPr>
        <w:tab/>
        <w:t>Prueba simple de sincronismo: Telmex llevará a cabo una prueba simple de sincronismo del bucle desde central al punto de entrega del servicio (PCT,), mediante la conexión del equipamiento adecuado en el mismo.</w:t>
      </w:r>
    </w:p>
    <w:p w14:paraId="41CB3335"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La prueba de sincronismo simple se llevará a cabo por defecto para todos los servicios y CS, sin excepción, por lo que no será necesario que los CS manifiesten su voluntad de adherirse a la misma.</w:t>
      </w:r>
    </w:p>
    <w:p w14:paraId="2B785564"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Esta prueba simple se llevará a cabo de la siguiente manera:</w:t>
      </w:r>
    </w:p>
    <w:p w14:paraId="4270AEB3"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1) Llamada del técnico de Telmex al CS desde el domicilio del cliente, una vez concluidos los trabajos de provisión.</w:t>
      </w:r>
    </w:p>
    <w:p w14:paraId="77EAECE7" w14:textId="315646B8"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 xml:space="preserve">2) Se ejecuta una prueba SELT </w:t>
      </w:r>
      <w:r w:rsidR="00FF666A" w:rsidRPr="00422CA2">
        <w:rPr>
          <w:rStyle w:val="Refdenotaalpie"/>
          <w:rFonts w:ascii="ITC Avant Garde" w:hAnsi="ITC Avant Garde"/>
          <w:sz w:val="22"/>
          <w:szCs w:val="22"/>
        </w:rPr>
        <w:footnoteReference w:id="40"/>
      </w:r>
      <w:r w:rsidRPr="00422CA2">
        <w:rPr>
          <w:rFonts w:ascii="ITC Avant Garde" w:hAnsi="ITC Avant Garde"/>
          <w:sz w:val="22"/>
          <w:szCs w:val="22"/>
        </w:rPr>
        <w:t xml:space="preserve"> desde los equipos tanto del CS como de Telmex, verificando así su parte de la red, y comunican el resultado al técnico de Telmex y el CS, respectivamente.</w:t>
      </w:r>
    </w:p>
    <w:p w14:paraId="0A8F5EFF"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3) Si la prueba anterior es satisfactoria, el técnico de Telmex procede a la conexión de su router-modem en el PCT, comprobando si existe sincronismo a nivel xDSL. En caso, contrario, se dará por concluida la prueba simple de sincronismo y ésta no se reintentará hasta que no se resuelva la incidencia y la medida SELT ofrezca valores adecuados.</w:t>
      </w:r>
    </w:p>
    <w:p w14:paraId="393C0087"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4) Si el equipo sincroniza con el DSLAM del CS, se dará la prueba por concluida con éxito, comunicando el CS al técnico del Telmex</w:t>
      </w:r>
    </w:p>
    <w:p w14:paraId="4DED151B"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La supervisión de las pruebas por parte del CS podrá llevarse a cabo en dos formas:</w:t>
      </w:r>
    </w:p>
    <w:p w14:paraId="1B4F9363"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Presencial. Mediante verificación visual de la sincronización del equipo conectado a la red. El equipo configurado para las pruebas podrá ser aportado por el CS.</w:t>
      </w:r>
    </w:p>
    <w:p w14:paraId="56D609FD" w14:textId="77777777" w:rsidR="00E2722A" w:rsidRPr="00422CA2" w:rsidRDefault="00E2722A" w:rsidP="009D40E9">
      <w:pPr>
        <w:spacing w:after="200" w:line="276" w:lineRule="auto"/>
        <w:jc w:val="both"/>
        <w:rPr>
          <w:rFonts w:ascii="ITC Avant Garde" w:hAnsi="ITC Avant Garde"/>
          <w:sz w:val="22"/>
          <w:szCs w:val="22"/>
        </w:rPr>
      </w:pPr>
      <w:r w:rsidRPr="00422CA2">
        <w:rPr>
          <w:rFonts w:ascii="ITC Avant Garde" w:hAnsi="ITC Avant Garde"/>
          <w:sz w:val="22"/>
          <w:szCs w:val="22"/>
        </w:rPr>
        <w:t>-</w:t>
      </w:r>
      <w:r w:rsidRPr="00422CA2">
        <w:rPr>
          <w:rFonts w:ascii="ITC Avant Garde" w:hAnsi="ITC Avant Garde"/>
          <w:sz w:val="22"/>
          <w:szCs w:val="22"/>
        </w:rPr>
        <w:tab/>
        <w:t>Remota. Mediante la comprobación del histórico de sincronismo en el DSLAM del CS por parte de su personal técnico.</w:t>
      </w:r>
    </w:p>
    <w:p w14:paraId="40E85D39" w14:textId="66E6C209" w:rsidR="00FF27CD" w:rsidRPr="00422CA2" w:rsidRDefault="00E64508" w:rsidP="009D40E9">
      <w:pPr>
        <w:spacing w:after="200" w:line="276" w:lineRule="auto"/>
        <w:jc w:val="both"/>
        <w:rPr>
          <w:rFonts w:ascii="ITC Avant Garde" w:hAnsi="ITC Avant Garde"/>
          <w:sz w:val="22"/>
          <w:szCs w:val="22"/>
        </w:rPr>
      </w:pPr>
      <w:r w:rsidRPr="00422CA2">
        <w:rPr>
          <w:rFonts w:ascii="ITC Avant Garde" w:hAnsi="ITC Avant Garde"/>
          <w:sz w:val="22"/>
          <w:szCs w:val="22"/>
        </w:rPr>
        <w:t>Telmex</w:t>
      </w:r>
      <w:r w:rsidR="00E2722A" w:rsidRPr="00422CA2">
        <w:rPr>
          <w:rFonts w:ascii="ITC Avant Garde" w:hAnsi="ITC Avant Garde"/>
          <w:sz w:val="22"/>
          <w:szCs w:val="22"/>
        </w:rPr>
        <w:t xml:space="preserve"> y el CS deberán definir conjuntamente el proceso de coordinación y los parámetros técnicos o umbrales de mínima calidad de servicio aceptable a la entrega. El CS deberá garantizar un tiempo máximo de respuesta de 10 minutos al personal técnico de</w:t>
      </w:r>
      <w:r w:rsidR="00F27E64" w:rsidRPr="00422CA2">
        <w:rPr>
          <w:rFonts w:ascii="ITC Avant Garde" w:hAnsi="ITC Avant Garde"/>
          <w:sz w:val="22"/>
          <w:szCs w:val="22"/>
        </w:rPr>
        <w:t xml:space="preserve"> </w:t>
      </w:r>
      <w:r w:rsidRPr="00422CA2">
        <w:rPr>
          <w:rFonts w:ascii="ITC Avant Garde" w:hAnsi="ITC Avant Garde"/>
          <w:sz w:val="22"/>
          <w:szCs w:val="22"/>
        </w:rPr>
        <w:t>Telmex</w:t>
      </w:r>
      <w:r w:rsidR="00E2722A" w:rsidRPr="00422CA2">
        <w:rPr>
          <w:rFonts w:ascii="ITC Avant Garde" w:hAnsi="ITC Avant Garde"/>
          <w:sz w:val="22"/>
          <w:szCs w:val="22"/>
        </w:rPr>
        <w:t xml:space="preserve">  desplazado en central o en el domicilio del usuario.</w:t>
      </w:r>
    </w:p>
    <w:p w14:paraId="40E85D3A" w14:textId="77777777" w:rsidR="00D33CB8" w:rsidRPr="00422CA2" w:rsidRDefault="00011A1B" w:rsidP="009D40E9">
      <w:pPr>
        <w:spacing w:after="200" w:line="276" w:lineRule="auto"/>
        <w:jc w:val="both"/>
        <w:rPr>
          <w:rFonts w:ascii="ITC Avant Garde" w:hAnsi="ITC Avant Garde"/>
          <w:b/>
          <w:sz w:val="22"/>
          <w:szCs w:val="22"/>
        </w:rPr>
      </w:pPr>
      <w:r w:rsidRPr="00422CA2">
        <w:rPr>
          <w:rFonts w:ascii="ITC Avant Garde" w:hAnsi="ITC Avant Garde"/>
          <w:b/>
          <w:sz w:val="22"/>
          <w:szCs w:val="22"/>
        </w:rPr>
        <w:lastRenderedPageBreak/>
        <w:t>Metodología</w:t>
      </w:r>
    </w:p>
    <w:p w14:paraId="40E85D3B" w14:textId="3F0BC4A7" w:rsidR="00D33CB8" w:rsidRPr="00422CA2" w:rsidRDefault="00011A1B" w:rsidP="009D40E9">
      <w:pPr>
        <w:spacing w:after="200" w:line="276" w:lineRule="auto"/>
        <w:jc w:val="both"/>
        <w:rPr>
          <w:rFonts w:ascii="ITC Avant Garde" w:hAnsi="ITC Avant Garde"/>
          <w:sz w:val="22"/>
          <w:szCs w:val="22"/>
        </w:rPr>
      </w:pPr>
      <w:r w:rsidRPr="00422CA2">
        <w:rPr>
          <w:rFonts w:ascii="ITC Avant Garde" w:hAnsi="ITC Avant Garde"/>
          <w:sz w:val="22"/>
          <w:szCs w:val="22"/>
        </w:rPr>
        <w:t>La medición de los parámetros indicados se realiza en forma remota utilizando los recursos de la propia central o cabezas de prueba de la red al término de la ejecución y se registrarán los valores en el formato de la imagen a continuación, indicando el cumplimiento de acuerdo a la tabla de Parámetr</w:t>
      </w:r>
      <w:r w:rsidR="0069013A" w:rsidRPr="00422CA2">
        <w:rPr>
          <w:rFonts w:ascii="ITC Avant Garde" w:hAnsi="ITC Avant Garde"/>
          <w:sz w:val="22"/>
          <w:szCs w:val="22"/>
        </w:rPr>
        <w:t xml:space="preserve">os Eléctricos de la sección 6.6 de esta </w:t>
      </w:r>
      <w:r w:rsidR="00CA026A">
        <w:rPr>
          <w:rFonts w:ascii="ITC Avant Garde" w:hAnsi="ITC Avant Garde"/>
          <w:sz w:val="22"/>
          <w:szCs w:val="22"/>
        </w:rPr>
        <w:t>OREDA</w:t>
      </w:r>
      <w:r w:rsidR="0069013A" w:rsidRPr="00422CA2">
        <w:rPr>
          <w:rFonts w:ascii="ITC Avant Garde" w:hAnsi="ITC Avant Garde"/>
          <w:sz w:val="22"/>
          <w:szCs w:val="22"/>
        </w:rPr>
        <w:t>.</w:t>
      </w:r>
    </w:p>
    <w:p w14:paraId="40E85D3D" w14:textId="77777777" w:rsidR="00D33CB8" w:rsidRPr="00422CA2" w:rsidRDefault="00530A32" w:rsidP="00D33CB8">
      <w:pPr>
        <w:jc w:val="center"/>
        <w:rPr>
          <w:rFonts w:ascii="ITC Avant Garde" w:hAnsi="ITC Avant Garde"/>
          <w:sz w:val="22"/>
          <w:szCs w:val="22"/>
        </w:rPr>
      </w:pPr>
      <w:r w:rsidRPr="00422CA2">
        <w:rPr>
          <w:rFonts w:ascii="ITC Avant Garde" w:hAnsi="ITC Avant Garde"/>
          <w:noProof/>
          <w:sz w:val="22"/>
          <w:szCs w:val="22"/>
          <w:lang w:val="es-MX" w:eastAsia="es-MX"/>
        </w:rPr>
        <w:drawing>
          <wp:inline distT="0" distB="0" distL="0" distR="0" wp14:anchorId="40E860F1" wp14:editId="40E860F2">
            <wp:extent cx="3886200" cy="1936750"/>
            <wp:effectExtent l="19050" t="0" r="0" b="0"/>
            <wp:docPr id="41" name="Picture 1" descr="cid:image001.jpg@01D110CE.9E4F9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110CE.9E4F9CA0"/>
                    <pic:cNvPicPr>
                      <a:picLocks noChangeAspect="1" noChangeArrowheads="1"/>
                    </pic:cNvPicPr>
                  </pic:nvPicPr>
                  <pic:blipFill>
                    <a:blip r:embed="rId40" r:link="rId41" cstate="print"/>
                    <a:srcRect/>
                    <a:stretch>
                      <a:fillRect/>
                    </a:stretch>
                  </pic:blipFill>
                  <pic:spPr bwMode="auto">
                    <a:xfrm>
                      <a:off x="0" y="0"/>
                      <a:ext cx="3886200" cy="1936750"/>
                    </a:xfrm>
                    <a:prstGeom prst="rect">
                      <a:avLst/>
                    </a:prstGeom>
                    <a:noFill/>
                    <a:ln w="9525">
                      <a:noFill/>
                      <a:miter lim="800000"/>
                      <a:headEnd/>
                      <a:tailEnd/>
                    </a:ln>
                  </pic:spPr>
                </pic:pic>
              </a:graphicData>
            </a:graphic>
          </wp:inline>
        </w:drawing>
      </w:r>
    </w:p>
    <w:p w14:paraId="40E85D3E" w14:textId="77777777" w:rsidR="00D33CB8" w:rsidRPr="00422CA2" w:rsidRDefault="00011A1B" w:rsidP="00D33CB8">
      <w:pPr>
        <w:jc w:val="center"/>
        <w:rPr>
          <w:rFonts w:ascii="ITC Avant Garde" w:hAnsi="ITC Avant Garde"/>
          <w:sz w:val="18"/>
          <w:szCs w:val="18"/>
        </w:rPr>
      </w:pPr>
      <w:r w:rsidRPr="00422CA2">
        <w:rPr>
          <w:rFonts w:ascii="ITC Avant Garde" w:hAnsi="ITC Avant Garde"/>
          <w:sz w:val="18"/>
          <w:szCs w:val="18"/>
        </w:rPr>
        <w:t xml:space="preserve">Prueba automática remota para servicio de voz. </w:t>
      </w:r>
    </w:p>
    <w:p w14:paraId="40E85D3F" w14:textId="77777777" w:rsidR="00EA4E7A" w:rsidRPr="00422CA2" w:rsidRDefault="00EA4E7A" w:rsidP="0083152B">
      <w:pPr>
        <w:spacing w:line="360" w:lineRule="auto"/>
        <w:jc w:val="both"/>
        <w:rPr>
          <w:rFonts w:ascii="ITC Avant Garde" w:hAnsi="ITC Avant Garde"/>
          <w:sz w:val="22"/>
          <w:szCs w:val="22"/>
        </w:rPr>
      </w:pPr>
    </w:p>
    <w:p w14:paraId="40E85D40" w14:textId="77777777" w:rsidR="0083152B" w:rsidRDefault="0083152B" w:rsidP="0083152B">
      <w:pPr>
        <w:spacing w:line="360" w:lineRule="auto"/>
        <w:jc w:val="both"/>
        <w:rPr>
          <w:rFonts w:ascii="ITC Avant Garde" w:hAnsi="ITC Avant Garde"/>
          <w:sz w:val="22"/>
          <w:szCs w:val="22"/>
        </w:rPr>
      </w:pPr>
    </w:p>
    <w:p w14:paraId="421C50EF" w14:textId="77777777" w:rsidR="00C82861" w:rsidRDefault="00C82861" w:rsidP="0083152B">
      <w:pPr>
        <w:spacing w:line="360" w:lineRule="auto"/>
        <w:jc w:val="both"/>
        <w:rPr>
          <w:rFonts w:ascii="ITC Avant Garde" w:hAnsi="ITC Avant Garde"/>
          <w:sz w:val="22"/>
          <w:szCs w:val="22"/>
        </w:rPr>
      </w:pPr>
    </w:p>
    <w:p w14:paraId="5359A8C1" w14:textId="77777777" w:rsidR="00C82861" w:rsidRDefault="00C82861" w:rsidP="0083152B">
      <w:pPr>
        <w:spacing w:line="360" w:lineRule="auto"/>
        <w:jc w:val="both"/>
        <w:rPr>
          <w:rFonts w:ascii="ITC Avant Garde" w:hAnsi="ITC Avant Garde"/>
          <w:sz w:val="22"/>
          <w:szCs w:val="22"/>
        </w:rPr>
      </w:pPr>
    </w:p>
    <w:p w14:paraId="31ABDC57" w14:textId="77777777" w:rsidR="00C82861" w:rsidRDefault="00C82861" w:rsidP="0083152B">
      <w:pPr>
        <w:spacing w:line="360" w:lineRule="auto"/>
        <w:jc w:val="both"/>
        <w:rPr>
          <w:rFonts w:ascii="ITC Avant Garde" w:hAnsi="ITC Avant Garde"/>
          <w:sz w:val="22"/>
          <w:szCs w:val="22"/>
        </w:rPr>
      </w:pPr>
    </w:p>
    <w:p w14:paraId="2930C27C" w14:textId="77777777" w:rsidR="00C82861" w:rsidRDefault="00C82861" w:rsidP="0083152B">
      <w:pPr>
        <w:spacing w:line="360" w:lineRule="auto"/>
        <w:jc w:val="both"/>
        <w:rPr>
          <w:rFonts w:ascii="ITC Avant Garde" w:hAnsi="ITC Avant Garde"/>
          <w:sz w:val="22"/>
          <w:szCs w:val="22"/>
        </w:rPr>
      </w:pPr>
    </w:p>
    <w:p w14:paraId="5E9625BF" w14:textId="77777777" w:rsidR="00C82861" w:rsidRDefault="00C82861" w:rsidP="0083152B">
      <w:pPr>
        <w:spacing w:line="360" w:lineRule="auto"/>
        <w:jc w:val="both"/>
        <w:rPr>
          <w:rFonts w:ascii="ITC Avant Garde" w:hAnsi="ITC Avant Garde"/>
          <w:sz w:val="22"/>
          <w:szCs w:val="22"/>
        </w:rPr>
      </w:pPr>
    </w:p>
    <w:p w14:paraId="4132FDEF" w14:textId="77777777" w:rsidR="00C82861" w:rsidRDefault="00C82861" w:rsidP="0083152B">
      <w:pPr>
        <w:spacing w:line="360" w:lineRule="auto"/>
        <w:jc w:val="both"/>
        <w:rPr>
          <w:rFonts w:ascii="ITC Avant Garde" w:hAnsi="ITC Avant Garde"/>
          <w:sz w:val="22"/>
          <w:szCs w:val="22"/>
        </w:rPr>
      </w:pPr>
    </w:p>
    <w:p w14:paraId="5C4482BA" w14:textId="77777777" w:rsidR="00C82861" w:rsidRDefault="00C82861" w:rsidP="0083152B">
      <w:pPr>
        <w:spacing w:line="360" w:lineRule="auto"/>
        <w:jc w:val="both"/>
        <w:rPr>
          <w:rFonts w:ascii="ITC Avant Garde" w:hAnsi="ITC Avant Garde"/>
          <w:sz w:val="22"/>
          <w:szCs w:val="22"/>
        </w:rPr>
      </w:pPr>
    </w:p>
    <w:p w14:paraId="4B580FA8" w14:textId="77777777" w:rsidR="00C82861" w:rsidRDefault="00C82861" w:rsidP="0083152B">
      <w:pPr>
        <w:spacing w:line="360" w:lineRule="auto"/>
        <w:jc w:val="both"/>
        <w:rPr>
          <w:rFonts w:ascii="ITC Avant Garde" w:hAnsi="ITC Avant Garde"/>
          <w:sz w:val="22"/>
          <w:szCs w:val="22"/>
        </w:rPr>
      </w:pPr>
    </w:p>
    <w:p w14:paraId="0C5D8410" w14:textId="77777777" w:rsidR="00C82861" w:rsidRDefault="00C82861" w:rsidP="0083152B">
      <w:pPr>
        <w:spacing w:line="360" w:lineRule="auto"/>
        <w:jc w:val="both"/>
        <w:rPr>
          <w:rFonts w:ascii="ITC Avant Garde" w:hAnsi="ITC Avant Garde"/>
          <w:sz w:val="22"/>
          <w:szCs w:val="22"/>
        </w:rPr>
      </w:pPr>
    </w:p>
    <w:p w14:paraId="7AA02018" w14:textId="77777777" w:rsidR="00C82861" w:rsidRDefault="00C82861" w:rsidP="0083152B">
      <w:pPr>
        <w:spacing w:line="360" w:lineRule="auto"/>
        <w:jc w:val="both"/>
        <w:rPr>
          <w:rFonts w:ascii="ITC Avant Garde" w:hAnsi="ITC Avant Garde"/>
          <w:sz w:val="22"/>
          <w:szCs w:val="22"/>
        </w:rPr>
      </w:pPr>
    </w:p>
    <w:p w14:paraId="6BFC2117" w14:textId="77777777" w:rsidR="00C82861" w:rsidRDefault="00C82861" w:rsidP="0083152B">
      <w:pPr>
        <w:spacing w:line="360" w:lineRule="auto"/>
        <w:jc w:val="both"/>
        <w:rPr>
          <w:rFonts w:ascii="ITC Avant Garde" w:hAnsi="ITC Avant Garde"/>
          <w:sz w:val="22"/>
          <w:szCs w:val="22"/>
        </w:rPr>
      </w:pPr>
    </w:p>
    <w:p w14:paraId="428E709B" w14:textId="77777777" w:rsidR="00C82861" w:rsidRDefault="00C82861" w:rsidP="0083152B">
      <w:pPr>
        <w:spacing w:line="360" w:lineRule="auto"/>
        <w:jc w:val="both"/>
        <w:rPr>
          <w:rFonts w:ascii="ITC Avant Garde" w:hAnsi="ITC Avant Garde"/>
          <w:sz w:val="22"/>
          <w:szCs w:val="22"/>
        </w:rPr>
      </w:pPr>
    </w:p>
    <w:p w14:paraId="6D82D0E2" w14:textId="77777777" w:rsidR="00C82861" w:rsidRPr="00422CA2" w:rsidRDefault="00C82861" w:rsidP="0083152B">
      <w:pPr>
        <w:spacing w:line="360" w:lineRule="auto"/>
        <w:jc w:val="both"/>
        <w:rPr>
          <w:rFonts w:ascii="ITC Avant Garde" w:hAnsi="ITC Avant Garde"/>
          <w:sz w:val="22"/>
          <w:szCs w:val="22"/>
        </w:rPr>
      </w:pPr>
    </w:p>
    <w:p w14:paraId="101364DF" w14:textId="33E0E38E" w:rsidR="00586B55" w:rsidRPr="00422CA2" w:rsidRDefault="00B828EB" w:rsidP="00C22B6D">
      <w:pPr>
        <w:pStyle w:val="Ttulo1"/>
      </w:pPr>
      <w:bookmarkStart w:id="537" w:name="_Toc436840918"/>
      <w:bookmarkStart w:id="538" w:name="_Toc436846355"/>
      <w:bookmarkStart w:id="539" w:name="_Toc436848305"/>
      <w:bookmarkStart w:id="540" w:name="_Toc436856553"/>
      <w:bookmarkStart w:id="541" w:name="_Toc436862699"/>
      <w:bookmarkStart w:id="542" w:name="_Toc436866349"/>
      <w:bookmarkStart w:id="543" w:name="_Toc436870928"/>
      <w:bookmarkStart w:id="544" w:name="_Toc436875920"/>
      <w:bookmarkStart w:id="545" w:name="_Toc437602107"/>
      <w:r w:rsidRPr="00422CA2">
        <w:lastRenderedPageBreak/>
        <w:t>6.</w:t>
      </w:r>
      <w:r w:rsidR="00260194" w:rsidRPr="00422CA2">
        <w:t>7</w:t>
      </w:r>
      <w:r w:rsidRPr="00422CA2">
        <w:tab/>
        <w:t>Formatos de los Servicios de Desagregación</w:t>
      </w:r>
      <w:bookmarkEnd w:id="537"/>
      <w:bookmarkEnd w:id="538"/>
      <w:bookmarkEnd w:id="539"/>
      <w:bookmarkEnd w:id="540"/>
      <w:bookmarkEnd w:id="541"/>
      <w:bookmarkEnd w:id="542"/>
      <w:bookmarkEnd w:id="543"/>
      <w:bookmarkEnd w:id="544"/>
      <w:bookmarkEnd w:id="545"/>
    </w:p>
    <w:p w14:paraId="46E45CC9" w14:textId="77777777" w:rsidR="00CF7DDF" w:rsidRPr="00422CA2" w:rsidRDefault="00CF7DDF" w:rsidP="00CF7DDF">
      <w:pPr>
        <w:spacing w:line="360" w:lineRule="auto"/>
        <w:contextualSpacing/>
        <w:jc w:val="center"/>
        <w:rPr>
          <w:rFonts w:ascii="ITC Avant Garde" w:hAnsi="ITC Avant Garde" w:cs="Arial"/>
          <w:b/>
          <w:lang w:eastAsia="es-MX"/>
        </w:rPr>
      </w:pPr>
      <w:r w:rsidRPr="00422CA2">
        <w:rPr>
          <w:rFonts w:ascii="ITC Avant Garde" w:hAnsi="ITC Avant Garde"/>
          <w:noProof/>
          <w:lang w:val="es-MX" w:eastAsia="es-MX"/>
        </w:rPr>
        <w:drawing>
          <wp:inline distT="0" distB="0" distL="0" distR="0" wp14:anchorId="19DEE34F" wp14:editId="5DE599E2">
            <wp:extent cx="5419725" cy="7200900"/>
            <wp:effectExtent l="0" t="0" r="952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26256" cy="7209577"/>
                    </a:xfrm>
                    <a:prstGeom prst="rect">
                      <a:avLst/>
                    </a:prstGeom>
                    <a:noFill/>
                    <a:ln>
                      <a:noFill/>
                    </a:ln>
                  </pic:spPr>
                </pic:pic>
              </a:graphicData>
            </a:graphic>
          </wp:inline>
        </w:drawing>
      </w:r>
    </w:p>
    <w:p w14:paraId="41C86A8E" w14:textId="77777777" w:rsidR="00CF7DDF" w:rsidRPr="00422CA2" w:rsidRDefault="00CF7DDF" w:rsidP="00CF7DDF">
      <w:pPr>
        <w:spacing w:line="360" w:lineRule="auto"/>
        <w:contextualSpacing/>
        <w:jc w:val="center"/>
        <w:rPr>
          <w:rFonts w:ascii="ITC Avant Garde" w:hAnsi="ITC Avant Garde" w:cs="Arial"/>
          <w:b/>
          <w:lang w:eastAsia="es-MX"/>
        </w:rPr>
      </w:pPr>
      <w:r w:rsidRPr="00422CA2">
        <w:rPr>
          <w:rFonts w:ascii="ITC Avant Garde" w:hAnsi="ITC Avant Garde"/>
          <w:noProof/>
          <w:lang w:val="es-MX" w:eastAsia="es-MX"/>
        </w:rPr>
        <w:lastRenderedPageBreak/>
        <w:drawing>
          <wp:inline distT="0" distB="0" distL="0" distR="0" wp14:anchorId="55D6C191" wp14:editId="74771760">
            <wp:extent cx="5611495" cy="8165805"/>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15597" cy="8171774"/>
                    </a:xfrm>
                    <a:prstGeom prst="rect">
                      <a:avLst/>
                    </a:prstGeom>
                    <a:noFill/>
                    <a:ln>
                      <a:noFill/>
                    </a:ln>
                  </pic:spPr>
                </pic:pic>
              </a:graphicData>
            </a:graphic>
          </wp:inline>
        </w:drawing>
      </w:r>
    </w:p>
    <w:p w14:paraId="40AC93C4" w14:textId="77777777" w:rsidR="00CF7DDF" w:rsidRPr="00422CA2" w:rsidRDefault="00CF7DDF" w:rsidP="00CF7DDF">
      <w:pPr>
        <w:spacing w:line="360" w:lineRule="auto"/>
        <w:contextualSpacing/>
        <w:jc w:val="center"/>
        <w:rPr>
          <w:rFonts w:ascii="ITC Avant Garde" w:hAnsi="ITC Avant Garde" w:cs="Arial"/>
          <w:b/>
          <w:lang w:eastAsia="es-MX"/>
        </w:rPr>
      </w:pPr>
      <w:r w:rsidRPr="00422CA2">
        <w:rPr>
          <w:rFonts w:ascii="ITC Avant Garde" w:hAnsi="ITC Avant Garde"/>
          <w:noProof/>
          <w:lang w:val="es-MX" w:eastAsia="es-MX"/>
        </w:rPr>
        <w:lastRenderedPageBreak/>
        <w:drawing>
          <wp:inline distT="0" distB="0" distL="0" distR="0" wp14:anchorId="0927AD9D" wp14:editId="116321C4">
            <wp:extent cx="5611495" cy="8208335"/>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17836" cy="8217610"/>
                    </a:xfrm>
                    <a:prstGeom prst="rect">
                      <a:avLst/>
                    </a:prstGeom>
                    <a:noFill/>
                    <a:ln>
                      <a:noFill/>
                    </a:ln>
                  </pic:spPr>
                </pic:pic>
              </a:graphicData>
            </a:graphic>
          </wp:inline>
        </w:drawing>
      </w:r>
    </w:p>
    <w:p w14:paraId="40E85D47" w14:textId="74719615" w:rsidR="00C751BB" w:rsidRPr="00422CA2" w:rsidRDefault="00CF7DDF" w:rsidP="00CF7DDF">
      <w:pPr>
        <w:spacing w:line="360" w:lineRule="auto"/>
        <w:contextualSpacing/>
        <w:jc w:val="center"/>
        <w:rPr>
          <w:rFonts w:ascii="ITC Avant Garde" w:hAnsi="ITC Avant Garde" w:cs="Arial"/>
          <w:b/>
          <w:lang w:eastAsia="es-MX"/>
        </w:rPr>
      </w:pPr>
      <w:r w:rsidRPr="00422CA2">
        <w:rPr>
          <w:rFonts w:ascii="ITC Avant Garde" w:hAnsi="ITC Avant Garde"/>
          <w:noProof/>
          <w:lang w:val="es-MX" w:eastAsia="es-MX"/>
        </w:rPr>
        <w:lastRenderedPageBreak/>
        <w:drawing>
          <wp:inline distT="0" distB="0" distL="0" distR="0" wp14:anchorId="648EE83A" wp14:editId="64455524">
            <wp:extent cx="5611411" cy="814454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19816" cy="8156739"/>
                    </a:xfrm>
                    <a:prstGeom prst="rect">
                      <a:avLst/>
                    </a:prstGeom>
                    <a:noFill/>
                    <a:ln>
                      <a:noFill/>
                    </a:ln>
                  </pic:spPr>
                </pic:pic>
              </a:graphicData>
            </a:graphic>
          </wp:inline>
        </w:drawing>
      </w:r>
    </w:p>
    <w:p w14:paraId="0ECCF229" w14:textId="4A6A5985" w:rsidR="00FB1E22" w:rsidRPr="00422CA2" w:rsidRDefault="00FB1E22" w:rsidP="00586B55">
      <w:pPr>
        <w:pStyle w:val="Ttulo1"/>
      </w:pPr>
      <w:bookmarkStart w:id="546" w:name="_Toc436840919"/>
      <w:bookmarkStart w:id="547" w:name="_Toc436846356"/>
      <w:bookmarkStart w:id="548" w:name="_Toc436848306"/>
      <w:bookmarkStart w:id="549" w:name="_Toc436856554"/>
      <w:bookmarkStart w:id="550" w:name="_Toc436862700"/>
      <w:bookmarkStart w:id="551" w:name="_Toc436866350"/>
      <w:bookmarkStart w:id="552" w:name="_Toc436870929"/>
      <w:bookmarkStart w:id="553" w:name="_Toc436875921"/>
      <w:bookmarkStart w:id="554" w:name="_Toc437602108"/>
      <w:bookmarkEnd w:id="48"/>
      <w:r w:rsidRPr="00422CA2">
        <w:lastRenderedPageBreak/>
        <w:t>7.</w:t>
      </w:r>
      <w:r w:rsidRPr="00422CA2">
        <w:tab/>
        <w:t>Servicio de Coubicación para Desagregación del Bucle</w:t>
      </w:r>
      <w:bookmarkEnd w:id="546"/>
      <w:bookmarkEnd w:id="547"/>
      <w:bookmarkEnd w:id="548"/>
      <w:bookmarkEnd w:id="549"/>
      <w:bookmarkEnd w:id="550"/>
      <w:bookmarkEnd w:id="551"/>
      <w:bookmarkEnd w:id="552"/>
      <w:bookmarkEnd w:id="553"/>
      <w:bookmarkEnd w:id="554"/>
    </w:p>
    <w:p w14:paraId="6772BF72" w14:textId="7F358A61" w:rsidR="00FB1E22" w:rsidRPr="00422CA2" w:rsidRDefault="00FB1E2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Servicio de arrendamiento de espacio para la colocación de equipos y dispositivos del </w:t>
      </w:r>
      <w:r w:rsidR="00DE3AEB" w:rsidRPr="00422CA2">
        <w:rPr>
          <w:rFonts w:ascii="ITC Avant Garde" w:hAnsi="ITC Avant Garde"/>
          <w:sz w:val="22"/>
          <w:szCs w:val="22"/>
          <w:lang w:val="es-MX"/>
        </w:rPr>
        <w:t>CS</w:t>
      </w:r>
      <w:r w:rsidRPr="00422CA2">
        <w:rPr>
          <w:rFonts w:ascii="ITC Avant Garde" w:hAnsi="ITC Avant Garde"/>
          <w:sz w:val="22"/>
          <w:szCs w:val="22"/>
          <w:lang w:val="es-MX"/>
        </w:rPr>
        <w:t xml:space="preserve"> necesarios para acceder a los servicios de desagregación, mediante su ubicación en los espacios físicos abiertos o cerrados en las Instalaciones de</w:t>
      </w:r>
      <w:r w:rsidR="0032137C" w:rsidRPr="00422CA2">
        <w:rPr>
          <w:rFonts w:ascii="ITC Avant Garde" w:hAnsi="ITC Avant Garde"/>
          <w:sz w:val="22"/>
          <w:szCs w:val="22"/>
          <w:lang w:val="es-MX"/>
        </w:rPr>
        <w:t xml:space="preserve"> Telmex</w:t>
      </w:r>
      <w:r w:rsidRPr="00422CA2">
        <w:rPr>
          <w:rFonts w:ascii="ITC Avant Garde" w:hAnsi="ITC Avant Garde"/>
          <w:sz w:val="22"/>
          <w:szCs w:val="22"/>
          <w:lang w:val="es-MX"/>
        </w:rPr>
        <w:t>, que Incluye el acondicionamiento necesario para la Instalación de equipos, la provisión de recursos técnicos</w:t>
      </w:r>
      <w:r w:rsidR="00A71A43" w:rsidRPr="00422CA2">
        <w:rPr>
          <w:rFonts w:ascii="ITC Avant Garde" w:hAnsi="ITC Avant Garde"/>
          <w:sz w:val="22"/>
          <w:szCs w:val="22"/>
          <w:lang w:val="es-MX"/>
        </w:rPr>
        <w:t>,</w:t>
      </w:r>
      <w:r w:rsidRPr="00422CA2">
        <w:rPr>
          <w:rFonts w:ascii="ITC Avant Garde" w:hAnsi="ITC Avant Garde"/>
          <w:sz w:val="22"/>
          <w:szCs w:val="22"/>
          <w:lang w:val="es-MX"/>
        </w:rPr>
        <w:t xml:space="preserve"> suministro de energía, medidas de seguridad, aire acondicionado, y demás facilidades necesarias para su adecuada operación, así como el acceso a los espacios físicos mencionado. Los espacios para Coubicación se categorizan de conformidad con la zona económica en que se encuentran </w:t>
      </w:r>
      <w:r w:rsidR="00455860" w:rsidRPr="00422CA2">
        <w:rPr>
          <w:rFonts w:ascii="ITC Avant Garde" w:hAnsi="ITC Avant Garde"/>
          <w:sz w:val="22"/>
          <w:szCs w:val="22"/>
          <w:lang w:val="es-MX"/>
        </w:rPr>
        <w:t>situados</w:t>
      </w:r>
      <w:r w:rsidRPr="00422CA2">
        <w:rPr>
          <w:rFonts w:ascii="ITC Avant Garde" w:hAnsi="ITC Avant Garde"/>
          <w:sz w:val="22"/>
          <w:szCs w:val="22"/>
          <w:lang w:val="es-MX"/>
        </w:rPr>
        <w:t>, definiéndose tres zonas: alta, media y baja.</w:t>
      </w:r>
    </w:p>
    <w:p w14:paraId="41C3FF5B" w14:textId="7C30EC07" w:rsidR="00F024A4" w:rsidRPr="00422CA2" w:rsidRDefault="00F024A4" w:rsidP="006A6965">
      <w:pPr>
        <w:pStyle w:val="Prrafodelista"/>
        <w:numPr>
          <w:ilvl w:val="0"/>
          <w:numId w:val="233"/>
        </w:numPr>
        <w:spacing w:after="200" w:line="276" w:lineRule="auto"/>
        <w:ind w:left="714" w:hanging="357"/>
        <w:jc w:val="both"/>
        <w:rPr>
          <w:rFonts w:ascii="ITC Avant Garde" w:hAnsi="ITC Avant Garde"/>
          <w:sz w:val="22"/>
          <w:szCs w:val="22"/>
          <w:lang w:val="es-MX"/>
        </w:rPr>
      </w:pPr>
      <w:r w:rsidRPr="00422CA2">
        <w:rPr>
          <w:rFonts w:ascii="ITC Avant Garde" w:hAnsi="ITC Avant Garde"/>
          <w:b/>
          <w:sz w:val="22"/>
          <w:szCs w:val="22"/>
          <w:lang w:val="es-MX"/>
        </w:rPr>
        <w:t>Zona alta:</w:t>
      </w:r>
      <w:r w:rsidRPr="00422CA2">
        <w:rPr>
          <w:rFonts w:ascii="ITC Avant Garde" w:hAnsi="ITC Avant Garde"/>
          <w:sz w:val="22"/>
          <w:szCs w:val="22"/>
          <w:lang w:val="es-MX"/>
        </w:rPr>
        <w:t xml:space="preserve"> Se trata de sitios ubicados en zonas urbanas, habitacionales o comerciales, cuya población percibe el ingreso promedio más alto en el país.</w:t>
      </w:r>
    </w:p>
    <w:p w14:paraId="688E10B6" w14:textId="0A4684FE" w:rsidR="00F024A4" w:rsidRPr="00422CA2" w:rsidRDefault="00F024A4" w:rsidP="006A6965">
      <w:pPr>
        <w:pStyle w:val="Prrafodelista"/>
        <w:numPr>
          <w:ilvl w:val="0"/>
          <w:numId w:val="233"/>
        </w:numPr>
        <w:spacing w:after="200" w:line="276" w:lineRule="auto"/>
        <w:ind w:left="714" w:hanging="357"/>
        <w:jc w:val="both"/>
        <w:rPr>
          <w:rFonts w:ascii="ITC Avant Garde" w:hAnsi="ITC Avant Garde"/>
          <w:sz w:val="22"/>
          <w:szCs w:val="22"/>
          <w:lang w:val="es-MX"/>
        </w:rPr>
      </w:pPr>
      <w:r w:rsidRPr="00422CA2">
        <w:rPr>
          <w:rFonts w:ascii="ITC Avant Garde" w:hAnsi="ITC Avant Garde"/>
          <w:b/>
          <w:sz w:val="22"/>
          <w:szCs w:val="22"/>
          <w:lang w:val="es-MX"/>
        </w:rPr>
        <w:t>Zona media:</w:t>
      </w:r>
      <w:r w:rsidRPr="00422CA2">
        <w:rPr>
          <w:rFonts w:ascii="ITC Avant Garde" w:hAnsi="ITC Avant Garde"/>
          <w:sz w:val="22"/>
          <w:szCs w:val="22"/>
          <w:lang w:val="es-MX"/>
        </w:rPr>
        <w:t xml:space="preserve"> Se trata de sitios ubicados en zonas urbanas, habitacionales o comerciales, cuya población percibe el ingreso promedio en el país.</w:t>
      </w:r>
    </w:p>
    <w:p w14:paraId="0031BB5C" w14:textId="37C3ABDC" w:rsidR="00F268F9" w:rsidRPr="00422CA2" w:rsidRDefault="00F268F9" w:rsidP="006A6965">
      <w:pPr>
        <w:pStyle w:val="Prrafodelista"/>
        <w:numPr>
          <w:ilvl w:val="0"/>
          <w:numId w:val="233"/>
        </w:numPr>
        <w:spacing w:after="200" w:line="276" w:lineRule="auto"/>
        <w:ind w:left="714" w:hanging="357"/>
        <w:rPr>
          <w:rFonts w:ascii="ITC Avant Garde" w:hAnsi="ITC Avant Garde"/>
          <w:sz w:val="22"/>
          <w:szCs w:val="22"/>
          <w:lang w:val="es-MX"/>
        </w:rPr>
      </w:pPr>
      <w:r w:rsidRPr="00422CA2">
        <w:rPr>
          <w:rFonts w:ascii="ITC Avant Garde" w:hAnsi="ITC Avant Garde"/>
          <w:b/>
          <w:sz w:val="22"/>
          <w:szCs w:val="22"/>
          <w:lang w:val="es-MX"/>
        </w:rPr>
        <w:t>Zona baja:</w:t>
      </w:r>
      <w:r w:rsidRPr="00422CA2">
        <w:rPr>
          <w:rFonts w:ascii="ITC Avant Garde" w:hAnsi="ITC Avant Garde"/>
          <w:sz w:val="22"/>
          <w:szCs w:val="22"/>
          <w:lang w:val="es-MX"/>
        </w:rPr>
        <w:t xml:space="preserve"> Se trata de sitios ubicados en zonas suburbanas, habitacionales o comerciales, cuya población percibe el ingreso promedio más bajo en el país, o bien sitios ubicados en zonas rurales o de cultivo.</w:t>
      </w:r>
    </w:p>
    <w:p w14:paraId="38DECB47" w14:textId="77777777" w:rsidR="00100445" w:rsidRPr="00422CA2" w:rsidRDefault="00FB1E22"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Estos espacios se ubicarán en zonas específicas en donde exista factibilidad técnica dentro de las Centrales, Instalaciones Equivalentes o predios donde se localizan las mismas, diferenciadas e independientes de los espacios que Telmex ocupa para su operación, que provean las facilidades técnicas necesarias y que cuenten con espacios vacantes, dando prioridad a las solicitudes para Centrales o Instalaciones Equivalentes con más de 5,000 líneas activas, sin limitar o negar aquellas solicitudes para Centrales o Instalaciones Equivalentes con una cantidad menor de líneas activas. </w:t>
      </w:r>
    </w:p>
    <w:p w14:paraId="5B962ABA" w14:textId="56294240" w:rsidR="00FB1E22" w:rsidRPr="00422CA2" w:rsidRDefault="00FB1E22"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Quedan excluidas las áreas que estén ocupadas por</w:t>
      </w:r>
      <w:r w:rsidR="004F4552" w:rsidRPr="00422CA2">
        <w:rPr>
          <w:rFonts w:ascii="ITC Avant Garde" w:hAnsi="ITC Avant Garde"/>
          <w:sz w:val="22"/>
          <w:szCs w:val="22"/>
          <w:lang w:val="es-MX"/>
        </w:rPr>
        <w:t xml:space="preserve"> equipos de telecomunicaciones</w:t>
      </w:r>
      <w:r w:rsidR="00DE2503" w:rsidRPr="00422CA2">
        <w:rPr>
          <w:rStyle w:val="Refdenotaalpie"/>
          <w:rFonts w:ascii="ITC Avant Garde" w:hAnsi="ITC Avant Garde"/>
          <w:sz w:val="22"/>
          <w:szCs w:val="22"/>
          <w:lang w:val="es-MX"/>
        </w:rPr>
        <w:footnoteReference w:id="41"/>
      </w:r>
      <w:r w:rsidR="004F4552" w:rsidRPr="00422CA2">
        <w:rPr>
          <w:rFonts w:ascii="ITC Avant Garde" w:hAnsi="ITC Avant Garde"/>
          <w:sz w:val="22"/>
          <w:szCs w:val="22"/>
          <w:lang w:val="es-MX"/>
        </w:rPr>
        <w:t xml:space="preserve"> </w:t>
      </w:r>
      <w:r w:rsidRPr="00422CA2">
        <w:rPr>
          <w:rFonts w:ascii="ITC Avant Garde" w:hAnsi="ITC Avant Garde"/>
          <w:sz w:val="22"/>
          <w:szCs w:val="22"/>
          <w:lang w:val="es-MX"/>
        </w:rPr>
        <w:t>y otros equipamientos auxiliares, así como las áreas que ocupa el personal para su mantenimiento, los espacios comunes necesarios para la movilidad de personas y equipos (tales como pasillos y accesos para apertura de puertas), al igual que aquellos espacios que por su naturaleza se utilizan para la operación de la red (estacionamientos, bodegas, áreas de carga y descarga).</w:t>
      </w:r>
    </w:p>
    <w:p w14:paraId="221867DE" w14:textId="77777777" w:rsidR="00FB1E22" w:rsidRPr="00422CA2" w:rsidRDefault="00FB1E22" w:rsidP="001A46D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Si algún CS ya cuenta con Coubicación en alguna de las instalaciones de Telmex, ésta podrá ser utilizada para dicho servicio bajo las condiciones establecidas en el Servicio de Coubicación para Desagregación, previa firma del Convenio de Desagregación.</w:t>
      </w:r>
    </w:p>
    <w:p w14:paraId="7326ED7F" w14:textId="77777777" w:rsidR="00FB1E22" w:rsidRPr="00422CA2" w:rsidRDefault="00FB1E22" w:rsidP="001A46D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Coubicación para Desagregación podrá ser utilizada por uno o más CS, no obstante, Telmex firmará el Convenio con un solo CS, y será decisión del CS compartir esa Coubicación con otros CS, en cuyo caso el responsable ante Telmex de dicha Coubicación será quien deberá tramitar los accesos y permisos. Si el CS responsable permite la instalación de componentes o equipos de otro CS, será bajo su responsabilidad y siempre informando de esta situación a Telmex. El CS que esté compartiendo la Coubicación (no responsable), podrá solicitar directamente los servicios para lo que deberá entregar a Telmex un documento que demuestre que el CS responsable está de acuerdo con la compartición de la Coubicación.</w:t>
      </w:r>
    </w:p>
    <w:p w14:paraId="11DF134C" w14:textId="77777777" w:rsidR="000652C6" w:rsidRPr="00422CA2" w:rsidRDefault="000652C6" w:rsidP="000652C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Cuando Telmex cierre una Central Telefónica o Instalación Equivalente deberá considerar dentro de sus nuevas instalaciones los servicios actualmente contratados por los CS y realizar su reubicación sin generar algún costo adicional por los trabajos necesarios para la reubicación a los CS.</w:t>
      </w:r>
    </w:p>
    <w:p w14:paraId="5F37FC9F" w14:textId="0033B203" w:rsidR="000652C6" w:rsidRPr="00422CA2" w:rsidRDefault="000652C6" w:rsidP="000652C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Asimismo, notificará con 12 meses de anticipación tanto al Instituto como a los CS, a fin de coordinar con el CS la reubicación del CS, de conformidad con el procedimiento al respecto en la sección 7.7 de esta </w:t>
      </w:r>
      <w:r w:rsidR="00CA026A">
        <w:rPr>
          <w:rFonts w:ascii="ITC Avant Garde" w:hAnsi="ITC Avant Garde"/>
          <w:sz w:val="22"/>
          <w:szCs w:val="22"/>
          <w:lang w:val="es-MX"/>
        </w:rPr>
        <w:t>OREDA</w:t>
      </w:r>
      <w:r w:rsidRPr="00422CA2">
        <w:rPr>
          <w:rFonts w:ascii="ITC Avant Garde" w:hAnsi="ITC Avant Garde"/>
          <w:sz w:val="22"/>
          <w:szCs w:val="22"/>
          <w:lang w:val="es-MX"/>
        </w:rPr>
        <w:t>.</w:t>
      </w:r>
    </w:p>
    <w:p w14:paraId="24EC6E52" w14:textId="43ECB4DF" w:rsidR="000652C6" w:rsidRPr="00422CA2" w:rsidRDefault="000652C6" w:rsidP="000652C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Será responsabilidad de Telmex y los CS realizar de manera conjunta las adecuaciones necesarias para garantizar la continuidad de los servicios. </w:t>
      </w:r>
    </w:p>
    <w:p w14:paraId="2F172822" w14:textId="3F7D640F" w:rsidR="00FB1E22" w:rsidRPr="00422CA2" w:rsidRDefault="00FB1E22" w:rsidP="001A46D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Existen 3 tipos de Coubicación para Desagregación dentro de las instalaciones Telmex: </w:t>
      </w:r>
    </w:p>
    <w:p w14:paraId="266B5E65" w14:textId="73FF0A17" w:rsidR="00FB1E22" w:rsidRPr="00422CA2" w:rsidRDefault="00FB1E22" w:rsidP="001A46D4">
      <w:pPr>
        <w:pStyle w:val="Prrafodelista"/>
        <w:numPr>
          <w:ilvl w:val="0"/>
          <w:numId w:val="163"/>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Coubicación Cerrada</w:t>
      </w:r>
    </w:p>
    <w:p w14:paraId="00110B75" w14:textId="1A32FDEF" w:rsidR="00FB1E22" w:rsidRPr="00422CA2" w:rsidRDefault="00FB1E22" w:rsidP="001A46D4">
      <w:pPr>
        <w:pStyle w:val="Prrafodelista"/>
        <w:numPr>
          <w:ilvl w:val="0"/>
          <w:numId w:val="163"/>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Coubicación Básica</w:t>
      </w:r>
    </w:p>
    <w:p w14:paraId="3A6E1891" w14:textId="31446AC1" w:rsidR="00742B92" w:rsidRPr="00422CA2" w:rsidRDefault="00FB1E22" w:rsidP="001A46D4">
      <w:pPr>
        <w:pStyle w:val="Prrafodelista"/>
        <w:numPr>
          <w:ilvl w:val="0"/>
          <w:numId w:val="163"/>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Coubicación Equipada</w:t>
      </w:r>
    </w:p>
    <w:p w14:paraId="2E97A7CE" w14:textId="072C6470" w:rsidR="00742B92" w:rsidRPr="00422CA2" w:rsidRDefault="00455860" w:rsidP="00586B55">
      <w:pPr>
        <w:pStyle w:val="Ttulo1"/>
      </w:pPr>
      <w:bookmarkStart w:id="555" w:name="_Toc436840920"/>
      <w:bookmarkStart w:id="556" w:name="_Toc436846357"/>
      <w:bookmarkStart w:id="557" w:name="_Toc436848307"/>
      <w:bookmarkStart w:id="558" w:name="_Toc436856555"/>
      <w:bookmarkStart w:id="559" w:name="_Toc436862701"/>
      <w:bookmarkStart w:id="560" w:name="_Toc436866351"/>
      <w:bookmarkStart w:id="561" w:name="_Toc436870930"/>
      <w:bookmarkStart w:id="562" w:name="_Toc436875922"/>
      <w:bookmarkStart w:id="563" w:name="_Toc437602109"/>
      <w:r w:rsidRPr="00422CA2">
        <w:t>7.1</w:t>
      </w:r>
      <w:r w:rsidRPr="00422CA2">
        <w:tab/>
        <w:t>Coubicación Cerrada (CC)</w:t>
      </w:r>
      <w:bookmarkEnd w:id="555"/>
      <w:bookmarkEnd w:id="556"/>
      <w:bookmarkEnd w:id="557"/>
      <w:bookmarkEnd w:id="558"/>
      <w:bookmarkEnd w:id="559"/>
      <w:bookmarkEnd w:id="560"/>
      <w:bookmarkEnd w:id="561"/>
      <w:bookmarkEnd w:id="562"/>
      <w:bookmarkEnd w:id="563"/>
    </w:p>
    <w:p w14:paraId="37E89E57" w14:textId="5F5A7F7A" w:rsidR="00455860" w:rsidRPr="00422CA2" w:rsidRDefault="00455860" w:rsidP="00455860">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Coubicación Cerrada (CC) se refiere al espacio arrendado en los espacios vacantes dentro de las Centrales, Instalaciones Equivalentes o predios de Telmex, delimitada por tabla roca o pared con dimensiones de 2x</w:t>
      </w:r>
      <w:r w:rsidR="002F2EB4" w:rsidRPr="00422CA2">
        <w:rPr>
          <w:rFonts w:ascii="ITC Avant Garde" w:hAnsi="ITC Avant Garde"/>
          <w:sz w:val="22"/>
          <w:szCs w:val="22"/>
          <w:lang w:val="es-MX"/>
        </w:rPr>
        <w:t xml:space="preserve">2m </w:t>
      </w:r>
      <w:r w:rsidR="000E7D6E" w:rsidRPr="00422CA2">
        <w:rPr>
          <w:rFonts w:ascii="ITC Avant Garde" w:hAnsi="ITC Avant Garde"/>
          <w:sz w:val="22"/>
          <w:szCs w:val="22"/>
          <w:lang w:val="es-MX"/>
        </w:rPr>
        <w:t>o</w:t>
      </w:r>
      <w:r w:rsidR="002F2EB4" w:rsidRPr="00422CA2">
        <w:rPr>
          <w:rFonts w:ascii="ITC Avant Garde" w:hAnsi="ITC Avant Garde"/>
          <w:sz w:val="22"/>
          <w:szCs w:val="22"/>
          <w:lang w:val="es-MX"/>
        </w:rPr>
        <w:t xml:space="preserve"> 3x3</w:t>
      </w:r>
      <w:r w:rsidRPr="00422CA2">
        <w:rPr>
          <w:rFonts w:ascii="ITC Avant Garde" w:hAnsi="ITC Avant Garde"/>
          <w:sz w:val="22"/>
          <w:szCs w:val="22"/>
          <w:lang w:val="es-MX"/>
        </w:rPr>
        <w:t>m, acondicionado y habilitado para que los CS instalen sus gabinetes y equipos para acceder a los Servicios de Desagregación.</w:t>
      </w:r>
    </w:p>
    <w:p w14:paraId="4C766F22" w14:textId="77777777" w:rsidR="00455860" w:rsidRPr="00422CA2" w:rsidRDefault="00455860" w:rsidP="00455860">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Esta modalidad de coubicación podrá ser interna o externa y se hará disponible cuando la demanda inicial de coubicación en una Central Telefónica o Instalación Equivalente sea menor a 20m</w:t>
      </w:r>
      <w:r w:rsidRPr="00422CA2">
        <w:rPr>
          <w:rFonts w:ascii="ITC Avant Garde" w:hAnsi="ITC Avant Garde"/>
          <w:sz w:val="22"/>
          <w:szCs w:val="22"/>
          <w:vertAlign w:val="superscript"/>
          <w:lang w:val="es-MX"/>
        </w:rPr>
        <w:t>2</w:t>
      </w:r>
      <w:r w:rsidRPr="00422CA2">
        <w:rPr>
          <w:rFonts w:ascii="ITC Avant Garde" w:hAnsi="ITC Avant Garde"/>
          <w:sz w:val="22"/>
          <w:szCs w:val="22"/>
          <w:lang w:val="es-MX"/>
        </w:rPr>
        <w:t>, los CS la soliciten de forma expresa o no sea posible ofrecer otro tipo de coubicación; será destinada a un solo CS, con independencia de que éste permita a otros CS utilizar el espacio o permita recibir tráficos o servicios de otros CS.</w:t>
      </w:r>
    </w:p>
    <w:p w14:paraId="6AE94C2A" w14:textId="77777777" w:rsidR="00E22C66" w:rsidRPr="00422CA2" w:rsidRDefault="00455860" w:rsidP="002F2EB4">
      <w:pPr>
        <w:spacing w:after="200" w:line="276" w:lineRule="auto"/>
        <w:rPr>
          <w:rFonts w:ascii="ITC Avant Garde" w:hAnsi="ITC Avant Garde"/>
          <w:sz w:val="22"/>
          <w:szCs w:val="22"/>
          <w:lang w:val="es-MX"/>
        </w:rPr>
      </w:pPr>
      <w:r w:rsidRPr="00422CA2">
        <w:rPr>
          <w:rFonts w:ascii="ITC Avant Garde" w:hAnsi="ITC Avant Garde"/>
          <w:sz w:val="22"/>
          <w:szCs w:val="22"/>
          <w:lang w:val="es-MX"/>
        </w:rPr>
        <w:t>En caso de que el CS haya requerido otro tipo de coubicación que no sea posible otorgar en la central solicitada, se le ofrecerá como alternativa la CC. El CS deberá indicar la modalidad de coubicación requerida en el formato de solicitud del servicio.</w:t>
      </w:r>
      <w:r w:rsidR="00E22C66" w:rsidRPr="00422CA2">
        <w:rPr>
          <w:rFonts w:ascii="ITC Avant Garde" w:hAnsi="ITC Avant Garde"/>
          <w:sz w:val="22"/>
          <w:szCs w:val="22"/>
          <w:lang w:val="es-MX"/>
        </w:rPr>
        <w:t xml:space="preserve"> </w:t>
      </w:r>
    </w:p>
    <w:p w14:paraId="61B25D74" w14:textId="131BD6E7" w:rsidR="00455860" w:rsidRPr="00422CA2" w:rsidRDefault="002F2EB4" w:rsidP="002F2EB4">
      <w:pPr>
        <w:spacing w:after="200" w:line="276" w:lineRule="auto"/>
        <w:rPr>
          <w:rFonts w:ascii="ITC Avant Garde" w:hAnsi="ITC Avant Garde"/>
          <w:b/>
          <w:sz w:val="22"/>
          <w:szCs w:val="22"/>
          <w:lang w:val="es-MX"/>
        </w:rPr>
      </w:pPr>
      <w:r w:rsidRPr="00422CA2">
        <w:rPr>
          <w:rFonts w:ascii="ITC Avant Garde" w:hAnsi="ITC Avant Garde"/>
          <w:b/>
          <w:sz w:val="22"/>
          <w:szCs w:val="22"/>
          <w:lang w:val="es-MX"/>
        </w:rPr>
        <w:t>Características técnicas mínimas para Coubicación Cerrada (CC):</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70" w:type="dxa"/>
          <w:right w:w="70" w:type="dxa"/>
        </w:tblCellMar>
        <w:tblLook w:val="04A0" w:firstRow="1" w:lastRow="0" w:firstColumn="1" w:lastColumn="0" w:noHBand="0" w:noVBand="1"/>
      </w:tblPr>
      <w:tblGrid>
        <w:gridCol w:w="2439"/>
        <w:gridCol w:w="6391"/>
      </w:tblGrid>
      <w:tr w:rsidR="00422CA2" w:rsidRPr="00422CA2" w14:paraId="4D38E9F4" w14:textId="77777777" w:rsidTr="00A145C5">
        <w:trPr>
          <w:trHeight w:val="375"/>
        </w:trPr>
        <w:tc>
          <w:tcPr>
            <w:tcW w:w="5000" w:type="pct"/>
            <w:gridSpan w:val="2"/>
            <w:shd w:val="clear" w:color="auto" w:fill="548DD4"/>
            <w:noWrap/>
            <w:vAlign w:val="center"/>
            <w:hideMark/>
          </w:tcPr>
          <w:p w14:paraId="00EADD50" w14:textId="77777777" w:rsidR="000940FA" w:rsidRPr="00422CA2" w:rsidRDefault="00094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Características Físicas</w:t>
            </w:r>
          </w:p>
        </w:tc>
      </w:tr>
      <w:tr w:rsidR="00422CA2" w:rsidRPr="00422CA2" w14:paraId="2B5C7DB9" w14:textId="77777777" w:rsidTr="00A145C5">
        <w:trPr>
          <w:trHeight w:val="600"/>
        </w:trPr>
        <w:tc>
          <w:tcPr>
            <w:tcW w:w="1381" w:type="pct"/>
            <w:shd w:val="clear" w:color="auto" w:fill="auto"/>
            <w:noWrap/>
            <w:vAlign w:val="center"/>
            <w:hideMark/>
          </w:tcPr>
          <w:p w14:paraId="1B7426B4"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Espacio</w:t>
            </w:r>
          </w:p>
        </w:tc>
        <w:tc>
          <w:tcPr>
            <w:tcW w:w="3619" w:type="pct"/>
            <w:shd w:val="clear" w:color="auto" w:fill="auto"/>
            <w:vAlign w:val="center"/>
            <w:hideMark/>
          </w:tcPr>
          <w:p w14:paraId="51FD91CB" w14:textId="77777777" w:rsidR="000940FA" w:rsidRPr="00422CA2" w:rsidRDefault="000940FA" w:rsidP="00BF2AEC">
            <w:pPr>
              <w:pStyle w:val="Prrafodelista"/>
              <w:numPr>
                <w:ilvl w:val="0"/>
                <w:numId w:val="164"/>
              </w:numPr>
              <w:spacing w:before="60" w:after="60" w:line="276" w:lineRule="auto"/>
              <w:ind w:left="355"/>
              <w:rPr>
                <w:rFonts w:ascii="ITC Avant Garde" w:hAnsi="ITC Avant Garde"/>
                <w:sz w:val="20"/>
                <w:szCs w:val="20"/>
              </w:rPr>
            </w:pPr>
            <w:r w:rsidRPr="00422CA2">
              <w:rPr>
                <w:rFonts w:ascii="ITC Avant Garde" w:hAnsi="ITC Avant Garde"/>
                <w:sz w:val="20"/>
                <w:szCs w:val="20"/>
              </w:rPr>
              <w:t>4 m</w:t>
            </w:r>
            <w:r w:rsidRPr="00422CA2">
              <w:rPr>
                <w:rFonts w:ascii="ITC Avant Garde" w:hAnsi="ITC Avant Garde"/>
                <w:sz w:val="20"/>
                <w:szCs w:val="20"/>
                <w:vertAlign w:val="superscript"/>
              </w:rPr>
              <w:t>2</w:t>
            </w:r>
            <w:r w:rsidRPr="00422CA2">
              <w:rPr>
                <w:rFonts w:ascii="ITC Avant Garde" w:hAnsi="ITC Avant Garde"/>
                <w:sz w:val="20"/>
                <w:szCs w:val="20"/>
              </w:rPr>
              <w:t xml:space="preserve"> (2x2 m) o </w:t>
            </w:r>
          </w:p>
          <w:p w14:paraId="07CF00C0" w14:textId="77777777" w:rsidR="000940FA" w:rsidRPr="00422CA2" w:rsidRDefault="000940FA" w:rsidP="00BF2AEC">
            <w:pPr>
              <w:pStyle w:val="Prrafodelista"/>
              <w:numPr>
                <w:ilvl w:val="0"/>
                <w:numId w:val="164"/>
              </w:numPr>
              <w:spacing w:before="60" w:after="60" w:line="276" w:lineRule="auto"/>
              <w:ind w:left="355"/>
              <w:rPr>
                <w:rFonts w:ascii="ITC Avant Garde" w:hAnsi="ITC Avant Garde"/>
                <w:sz w:val="20"/>
                <w:szCs w:val="20"/>
              </w:rPr>
            </w:pPr>
            <w:r w:rsidRPr="00422CA2">
              <w:rPr>
                <w:rFonts w:ascii="ITC Avant Garde" w:hAnsi="ITC Avant Garde"/>
                <w:sz w:val="20"/>
                <w:szCs w:val="20"/>
              </w:rPr>
              <w:t>9 m</w:t>
            </w:r>
            <w:r w:rsidRPr="00422CA2">
              <w:rPr>
                <w:rFonts w:ascii="ITC Avant Garde" w:hAnsi="ITC Avant Garde"/>
                <w:sz w:val="20"/>
                <w:szCs w:val="20"/>
                <w:vertAlign w:val="superscript"/>
              </w:rPr>
              <w:t>2</w:t>
            </w:r>
            <w:r w:rsidRPr="00422CA2">
              <w:rPr>
                <w:rFonts w:ascii="ITC Avant Garde" w:hAnsi="ITC Avant Garde"/>
                <w:sz w:val="20"/>
                <w:szCs w:val="20"/>
              </w:rPr>
              <w:t xml:space="preserve"> (3x3 m)</w:t>
            </w:r>
          </w:p>
        </w:tc>
      </w:tr>
      <w:tr w:rsidR="00422CA2" w:rsidRPr="00422CA2" w14:paraId="5661B5E6" w14:textId="77777777" w:rsidTr="00A145C5">
        <w:trPr>
          <w:trHeight w:val="600"/>
        </w:trPr>
        <w:tc>
          <w:tcPr>
            <w:tcW w:w="1381" w:type="pct"/>
            <w:shd w:val="clear" w:color="auto" w:fill="auto"/>
            <w:noWrap/>
            <w:vAlign w:val="center"/>
            <w:hideMark/>
          </w:tcPr>
          <w:p w14:paraId="164FEFFC"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Acabado del Piso</w:t>
            </w:r>
          </w:p>
        </w:tc>
        <w:tc>
          <w:tcPr>
            <w:tcW w:w="3619" w:type="pct"/>
            <w:shd w:val="clear" w:color="auto" w:fill="auto"/>
            <w:vAlign w:val="center"/>
            <w:hideMark/>
          </w:tcPr>
          <w:p w14:paraId="13B65EDB"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Firme, de concreto y con resistencia para carga de 800 kg/m</w:t>
            </w:r>
            <w:r w:rsidRPr="00422CA2">
              <w:rPr>
                <w:rFonts w:ascii="ITC Avant Garde" w:hAnsi="ITC Avant Garde"/>
                <w:sz w:val="20"/>
                <w:szCs w:val="20"/>
                <w:vertAlign w:val="superscript"/>
              </w:rPr>
              <w:t>2</w:t>
            </w:r>
            <w:r w:rsidRPr="00422CA2">
              <w:rPr>
                <w:rFonts w:ascii="ITC Avant Garde" w:hAnsi="ITC Avant Garde"/>
                <w:sz w:val="20"/>
                <w:szCs w:val="20"/>
              </w:rPr>
              <w:t>, sin ondulaciones con 3 mm máximo de desnivel y cubierto con loseta vinílica.</w:t>
            </w:r>
          </w:p>
        </w:tc>
      </w:tr>
      <w:tr w:rsidR="00422CA2" w:rsidRPr="00422CA2" w14:paraId="16590854" w14:textId="77777777" w:rsidTr="00A145C5">
        <w:trPr>
          <w:trHeight w:val="600"/>
        </w:trPr>
        <w:tc>
          <w:tcPr>
            <w:tcW w:w="1381" w:type="pct"/>
            <w:shd w:val="clear" w:color="auto" w:fill="auto"/>
            <w:noWrap/>
            <w:vAlign w:val="center"/>
            <w:hideMark/>
          </w:tcPr>
          <w:p w14:paraId="7D8C1730"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Altura</w:t>
            </w:r>
          </w:p>
        </w:tc>
        <w:tc>
          <w:tcPr>
            <w:tcW w:w="3619" w:type="pct"/>
            <w:shd w:val="clear" w:color="auto" w:fill="auto"/>
            <w:vAlign w:val="center"/>
            <w:hideMark/>
          </w:tcPr>
          <w:p w14:paraId="02627617"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3.0 m para instalación de equipo. Los ductos y escalerillas estarán dentro de esta altura (2.40 m).</w:t>
            </w:r>
          </w:p>
        </w:tc>
      </w:tr>
      <w:tr w:rsidR="00422CA2" w:rsidRPr="00422CA2" w14:paraId="3ECCFB39" w14:textId="77777777" w:rsidTr="00A145C5">
        <w:trPr>
          <w:trHeight w:val="300"/>
        </w:trPr>
        <w:tc>
          <w:tcPr>
            <w:tcW w:w="1381" w:type="pct"/>
            <w:shd w:val="clear" w:color="auto" w:fill="auto"/>
            <w:noWrap/>
            <w:vAlign w:val="center"/>
            <w:hideMark/>
          </w:tcPr>
          <w:p w14:paraId="70A14C4A"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Temperatura</w:t>
            </w:r>
          </w:p>
        </w:tc>
        <w:tc>
          <w:tcPr>
            <w:tcW w:w="3619" w:type="pct"/>
            <w:shd w:val="clear" w:color="auto" w:fill="auto"/>
            <w:vAlign w:val="center"/>
            <w:hideMark/>
          </w:tcPr>
          <w:p w14:paraId="76F8B88D"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Entre 10 y 25 °C y una humedad relativa entre 40 y 60%</w:t>
            </w:r>
          </w:p>
        </w:tc>
      </w:tr>
      <w:tr w:rsidR="00422CA2" w:rsidRPr="00422CA2" w14:paraId="2150317D" w14:textId="77777777" w:rsidTr="00A145C5">
        <w:trPr>
          <w:trHeight w:val="600"/>
        </w:trPr>
        <w:tc>
          <w:tcPr>
            <w:tcW w:w="1381" w:type="pct"/>
            <w:shd w:val="clear" w:color="auto" w:fill="auto"/>
            <w:noWrap/>
            <w:vAlign w:val="center"/>
            <w:hideMark/>
          </w:tcPr>
          <w:p w14:paraId="58CE993D"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w:t>
            </w:r>
          </w:p>
        </w:tc>
        <w:tc>
          <w:tcPr>
            <w:tcW w:w="3619" w:type="pct"/>
            <w:shd w:val="clear" w:color="auto" w:fill="auto"/>
            <w:vAlign w:val="center"/>
            <w:hideMark/>
          </w:tcPr>
          <w:p w14:paraId="08D9A9B5"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 general de sala de 300 luxes medidos en forma vertical bajo la lámpara en la parte anterior y posterior del equipo instalado.</w:t>
            </w:r>
          </w:p>
        </w:tc>
      </w:tr>
      <w:tr w:rsidR="00422CA2" w:rsidRPr="00422CA2" w14:paraId="5D11D20B" w14:textId="77777777" w:rsidTr="00A145C5">
        <w:trPr>
          <w:trHeight w:val="1800"/>
        </w:trPr>
        <w:tc>
          <w:tcPr>
            <w:tcW w:w="1381" w:type="pct"/>
            <w:shd w:val="clear" w:color="auto" w:fill="auto"/>
            <w:noWrap/>
            <w:vAlign w:val="center"/>
            <w:hideMark/>
          </w:tcPr>
          <w:p w14:paraId="1C874CBF"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Local Interior</w:t>
            </w:r>
          </w:p>
        </w:tc>
        <w:tc>
          <w:tcPr>
            <w:tcW w:w="3619" w:type="pct"/>
            <w:shd w:val="clear" w:color="auto" w:fill="auto"/>
            <w:vAlign w:val="center"/>
            <w:hideMark/>
          </w:tcPr>
          <w:p w14:paraId="0D98080B"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Paredes de tabla roca de 3.00 metros de altura, pudiendo utilizar las paredes existentes.</w:t>
            </w:r>
          </w:p>
          <w:p w14:paraId="1C793A82"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Pintura vinílica color blanco ostión en el interior, el exterior debe ser igual a la pintura existente en la sala.</w:t>
            </w:r>
          </w:p>
          <w:p w14:paraId="71C63CA7"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Techo de rejilux, plafón o bien la misma losa de concreto de la instalación.</w:t>
            </w:r>
          </w:p>
        </w:tc>
      </w:tr>
      <w:tr w:rsidR="00422CA2" w:rsidRPr="00422CA2" w14:paraId="322FEEB3" w14:textId="77777777" w:rsidTr="00A145C5">
        <w:trPr>
          <w:trHeight w:val="900"/>
        </w:trPr>
        <w:tc>
          <w:tcPr>
            <w:tcW w:w="1381" w:type="pct"/>
            <w:shd w:val="clear" w:color="auto" w:fill="auto"/>
            <w:noWrap/>
            <w:vAlign w:val="center"/>
            <w:hideMark/>
          </w:tcPr>
          <w:p w14:paraId="0FB3E81C"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Local Exterior</w:t>
            </w:r>
          </w:p>
        </w:tc>
        <w:tc>
          <w:tcPr>
            <w:tcW w:w="3619" w:type="pct"/>
            <w:shd w:val="clear" w:color="auto" w:fill="auto"/>
            <w:vAlign w:val="center"/>
            <w:hideMark/>
          </w:tcPr>
          <w:p w14:paraId="03DC342C"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Paredes de tabique recocido, aplanado con mortero y pintura vinílica color blanco ostión en interiores y color gris claro en el exterior.</w:t>
            </w:r>
          </w:p>
          <w:p w14:paraId="31CA1FBA"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Impermeabilizante de 3 capas con membranas de refuerzo.</w:t>
            </w:r>
          </w:p>
        </w:tc>
      </w:tr>
      <w:tr w:rsidR="00422CA2" w:rsidRPr="00422CA2" w14:paraId="44BB6AA3" w14:textId="77777777" w:rsidTr="00E22C66">
        <w:trPr>
          <w:trHeight w:val="557"/>
        </w:trPr>
        <w:tc>
          <w:tcPr>
            <w:tcW w:w="1381" w:type="pct"/>
            <w:shd w:val="clear" w:color="auto" w:fill="auto"/>
            <w:noWrap/>
            <w:vAlign w:val="center"/>
            <w:hideMark/>
          </w:tcPr>
          <w:p w14:paraId="73E5117B"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lastRenderedPageBreak/>
              <w:t>Asignación de Espacio</w:t>
            </w:r>
          </w:p>
        </w:tc>
        <w:tc>
          <w:tcPr>
            <w:tcW w:w="3619" w:type="pct"/>
            <w:shd w:val="clear" w:color="auto" w:fill="auto"/>
            <w:vAlign w:val="center"/>
            <w:hideMark/>
          </w:tcPr>
          <w:p w14:paraId="35DC8E53"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 xml:space="preserve">Proporcionar croquis claro y visible que indique la localización y el nombre de la Coubicación, con señalamientos de área y trayectorias de cableado. </w:t>
            </w:r>
          </w:p>
          <w:p w14:paraId="694CDCB1" w14:textId="77777777" w:rsidR="000940FA" w:rsidRPr="00422CA2" w:rsidRDefault="000940FA" w:rsidP="00BF2AEC">
            <w:pPr>
              <w:pStyle w:val="Prrafodelista"/>
              <w:numPr>
                <w:ilvl w:val="0"/>
                <w:numId w:val="165"/>
              </w:numPr>
              <w:spacing w:before="60" w:after="60" w:line="276" w:lineRule="auto"/>
              <w:ind w:left="355"/>
              <w:rPr>
                <w:rFonts w:ascii="ITC Avant Garde" w:hAnsi="ITC Avant Garde"/>
                <w:sz w:val="20"/>
                <w:szCs w:val="20"/>
              </w:rPr>
            </w:pPr>
            <w:r w:rsidRPr="00422CA2">
              <w:rPr>
                <w:rFonts w:ascii="ITC Avant Garde" w:hAnsi="ITC Avant Garde"/>
                <w:sz w:val="20"/>
                <w:szCs w:val="20"/>
              </w:rPr>
              <w:t>Proporcionar al CS las posiciones de los interruptores termomagnéticos asignados en el tablero general de energía.</w:t>
            </w:r>
          </w:p>
        </w:tc>
      </w:tr>
      <w:tr w:rsidR="00422CA2" w:rsidRPr="00422CA2" w14:paraId="68E842A3" w14:textId="77777777" w:rsidTr="00A145C5">
        <w:trPr>
          <w:trHeight w:val="375"/>
        </w:trPr>
        <w:tc>
          <w:tcPr>
            <w:tcW w:w="5000" w:type="pct"/>
            <w:gridSpan w:val="2"/>
            <w:shd w:val="clear" w:color="auto" w:fill="548DD4"/>
            <w:noWrap/>
            <w:vAlign w:val="center"/>
            <w:hideMark/>
          </w:tcPr>
          <w:p w14:paraId="64F6BE1D" w14:textId="77777777" w:rsidR="000940FA" w:rsidRPr="00422CA2" w:rsidRDefault="00094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Elementos de Sujeción</w:t>
            </w:r>
          </w:p>
        </w:tc>
      </w:tr>
      <w:tr w:rsidR="00422CA2" w:rsidRPr="00422CA2" w14:paraId="09B84142" w14:textId="77777777" w:rsidTr="00A145C5">
        <w:trPr>
          <w:trHeight w:val="600"/>
        </w:trPr>
        <w:tc>
          <w:tcPr>
            <w:tcW w:w="1381" w:type="pct"/>
            <w:shd w:val="clear" w:color="auto" w:fill="auto"/>
            <w:noWrap/>
            <w:vAlign w:val="center"/>
            <w:hideMark/>
          </w:tcPr>
          <w:p w14:paraId="31515AD5"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Herraje y/o Ductería</w:t>
            </w:r>
          </w:p>
        </w:tc>
        <w:tc>
          <w:tcPr>
            <w:tcW w:w="3619" w:type="pct"/>
            <w:shd w:val="clear" w:color="auto" w:fill="auto"/>
            <w:vAlign w:val="center"/>
            <w:hideMark/>
          </w:tcPr>
          <w:p w14:paraId="19165B46"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Provisto por Telmex, para conectar el punto de llegada al edificio con las áreas asignadas y con otras coubicaciones en caso de requerirse.</w:t>
            </w:r>
          </w:p>
        </w:tc>
      </w:tr>
      <w:tr w:rsidR="00422CA2" w:rsidRPr="00422CA2" w14:paraId="40495EDB" w14:textId="77777777" w:rsidTr="00A145C5">
        <w:trPr>
          <w:trHeight w:val="300"/>
        </w:trPr>
        <w:tc>
          <w:tcPr>
            <w:tcW w:w="1381" w:type="pct"/>
            <w:shd w:val="clear" w:color="auto" w:fill="auto"/>
            <w:noWrap/>
            <w:vAlign w:val="center"/>
            <w:hideMark/>
          </w:tcPr>
          <w:p w14:paraId="7CAC369F"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Fijación del Equipo</w:t>
            </w:r>
          </w:p>
        </w:tc>
        <w:tc>
          <w:tcPr>
            <w:tcW w:w="3619" w:type="pct"/>
            <w:shd w:val="clear" w:color="auto" w:fill="auto"/>
            <w:vAlign w:val="center"/>
            <w:hideMark/>
          </w:tcPr>
          <w:p w14:paraId="75B8740F"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Anclaje a piso y/o techo de común acuerdo.</w:t>
            </w:r>
          </w:p>
        </w:tc>
      </w:tr>
      <w:tr w:rsidR="00422CA2" w:rsidRPr="00422CA2" w14:paraId="09077CDE" w14:textId="77777777" w:rsidTr="00A145C5">
        <w:trPr>
          <w:trHeight w:val="375"/>
        </w:trPr>
        <w:tc>
          <w:tcPr>
            <w:tcW w:w="5000" w:type="pct"/>
            <w:gridSpan w:val="2"/>
            <w:shd w:val="clear" w:color="auto" w:fill="548DD4"/>
            <w:noWrap/>
            <w:vAlign w:val="center"/>
            <w:hideMark/>
          </w:tcPr>
          <w:p w14:paraId="59C8D7B1" w14:textId="77777777" w:rsidR="000940FA" w:rsidRPr="00422CA2" w:rsidRDefault="00094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Energía</w:t>
            </w:r>
          </w:p>
        </w:tc>
      </w:tr>
      <w:tr w:rsidR="00422CA2" w:rsidRPr="00422CA2" w14:paraId="0F62480E" w14:textId="77777777" w:rsidTr="00A145C5">
        <w:trPr>
          <w:trHeight w:val="1200"/>
        </w:trPr>
        <w:tc>
          <w:tcPr>
            <w:tcW w:w="1381" w:type="pct"/>
            <w:shd w:val="clear" w:color="auto" w:fill="auto"/>
            <w:noWrap/>
            <w:vAlign w:val="center"/>
            <w:hideMark/>
          </w:tcPr>
          <w:p w14:paraId="7F4E02C6"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Contactos Eléctricos</w:t>
            </w:r>
          </w:p>
        </w:tc>
        <w:tc>
          <w:tcPr>
            <w:tcW w:w="3619" w:type="pct"/>
            <w:shd w:val="clear" w:color="auto" w:fill="auto"/>
            <w:vAlign w:val="center"/>
            <w:hideMark/>
          </w:tcPr>
          <w:p w14:paraId="6ECD539F"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Por cada 4m</w:t>
            </w:r>
            <w:r w:rsidRPr="00422CA2">
              <w:rPr>
                <w:rFonts w:ascii="ITC Avant Garde" w:hAnsi="ITC Avant Garde"/>
                <w:sz w:val="20"/>
                <w:szCs w:val="20"/>
                <w:vertAlign w:val="superscript"/>
              </w:rPr>
              <w:t>2</w:t>
            </w:r>
            <w:r w:rsidRPr="00422CA2">
              <w:rPr>
                <w:rFonts w:ascii="ITC Avant Garde" w:hAnsi="ITC Avant Garde"/>
                <w:sz w:val="20"/>
                <w:szCs w:val="20"/>
              </w:rPr>
              <w:t>:</w:t>
            </w:r>
          </w:p>
          <w:p w14:paraId="560DF7F7" w14:textId="63AB27BB" w:rsidR="000940FA" w:rsidRPr="00422CA2" w:rsidRDefault="000940FA" w:rsidP="00BF2AEC">
            <w:pPr>
              <w:pStyle w:val="Prrafodelista"/>
              <w:numPr>
                <w:ilvl w:val="0"/>
                <w:numId w:val="166"/>
              </w:numPr>
              <w:spacing w:before="60" w:after="60" w:line="276" w:lineRule="auto"/>
              <w:rPr>
                <w:rFonts w:ascii="ITC Avant Garde" w:hAnsi="ITC Avant Garde"/>
                <w:sz w:val="20"/>
                <w:szCs w:val="20"/>
              </w:rPr>
            </w:pPr>
            <w:r w:rsidRPr="00422CA2">
              <w:rPr>
                <w:rFonts w:ascii="ITC Avant Garde" w:hAnsi="ITC Avant Garde"/>
                <w:sz w:val="20"/>
                <w:szCs w:val="20"/>
              </w:rPr>
              <w:t>2 contactos dobles polarizados, de 127 V alimentados por la compañía comercial +</w:t>
            </w:r>
            <w:r w:rsidR="00D433CA" w:rsidRPr="00422CA2">
              <w:rPr>
                <w:rFonts w:ascii="ITC Avant Garde" w:hAnsi="ITC Avant Garde"/>
                <w:sz w:val="20"/>
                <w:szCs w:val="20"/>
              </w:rPr>
              <w:t>/-</w:t>
            </w:r>
            <w:r w:rsidRPr="00422CA2">
              <w:rPr>
                <w:rFonts w:ascii="ITC Avant Garde" w:hAnsi="ITC Avant Garde"/>
                <w:sz w:val="20"/>
                <w:szCs w:val="20"/>
              </w:rPr>
              <w:t xml:space="preserve"> 10% máximo.</w:t>
            </w:r>
          </w:p>
          <w:p w14:paraId="70EEACA6" w14:textId="77777777" w:rsidR="000940FA" w:rsidRPr="00422CA2" w:rsidRDefault="000940FA" w:rsidP="00BF2AEC">
            <w:pPr>
              <w:pStyle w:val="Prrafodelista"/>
              <w:numPr>
                <w:ilvl w:val="0"/>
                <w:numId w:val="166"/>
              </w:numPr>
              <w:spacing w:before="60" w:after="60" w:line="276" w:lineRule="auto"/>
              <w:rPr>
                <w:rFonts w:ascii="ITC Avant Garde" w:hAnsi="ITC Avant Garde"/>
                <w:sz w:val="20"/>
                <w:szCs w:val="20"/>
              </w:rPr>
            </w:pPr>
            <w:r w:rsidRPr="00422CA2">
              <w:rPr>
                <w:rFonts w:ascii="ITC Avant Garde" w:hAnsi="ITC Avant Garde"/>
                <w:sz w:val="20"/>
                <w:szCs w:val="20"/>
              </w:rPr>
              <w:t>Interruptor termomagnético de 15 amperes.</w:t>
            </w:r>
          </w:p>
        </w:tc>
      </w:tr>
      <w:tr w:rsidR="00422CA2" w:rsidRPr="00422CA2" w14:paraId="7D13B679" w14:textId="77777777" w:rsidTr="00A145C5">
        <w:trPr>
          <w:trHeight w:val="1200"/>
        </w:trPr>
        <w:tc>
          <w:tcPr>
            <w:tcW w:w="1381" w:type="pct"/>
            <w:shd w:val="clear" w:color="auto" w:fill="auto"/>
            <w:noWrap/>
            <w:vAlign w:val="center"/>
            <w:hideMark/>
          </w:tcPr>
          <w:p w14:paraId="4872FC5B"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Energía en CD</w:t>
            </w:r>
          </w:p>
        </w:tc>
        <w:tc>
          <w:tcPr>
            <w:tcW w:w="3619" w:type="pct"/>
            <w:shd w:val="clear" w:color="auto" w:fill="auto"/>
            <w:vAlign w:val="center"/>
            <w:hideMark/>
          </w:tcPr>
          <w:p w14:paraId="7E47FC88"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Por local:</w:t>
            </w:r>
          </w:p>
          <w:p w14:paraId="2AAFE691" w14:textId="77777777" w:rsidR="000940FA" w:rsidRPr="00422CA2" w:rsidRDefault="000940FA" w:rsidP="00BF2AEC">
            <w:pPr>
              <w:pStyle w:val="Prrafodelista"/>
              <w:numPr>
                <w:ilvl w:val="0"/>
                <w:numId w:val="167"/>
              </w:numPr>
              <w:spacing w:before="60" w:after="60" w:line="276" w:lineRule="auto"/>
              <w:rPr>
                <w:rFonts w:ascii="ITC Avant Garde" w:hAnsi="ITC Avant Garde"/>
                <w:sz w:val="20"/>
                <w:szCs w:val="20"/>
              </w:rPr>
            </w:pPr>
            <w:r w:rsidRPr="00422CA2">
              <w:rPr>
                <w:rFonts w:ascii="ITC Avant Garde" w:hAnsi="ITC Avant Garde"/>
                <w:sz w:val="20"/>
                <w:szCs w:val="20"/>
              </w:rPr>
              <w:t>-48 VCD, +20%, -15%.</w:t>
            </w:r>
          </w:p>
          <w:p w14:paraId="392D1793" w14:textId="77777777" w:rsidR="000940FA" w:rsidRPr="00422CA2" w:rsidRDefault="000940FA" w:rsidP="00BF2AEC">
            <w:pPr>
              <w:pStyle w:val="Prrafodelista"/>
              <w:numPr>
                <w:ilvl w:val="0"/>
                <w:numId w:val="167"/>
              </w:numPr>
              <w:spacing w:before="60" w:after="60" w:line="276" w:lineRule="auto"/>
              <w:rPr>
                <w:rFonts w:ascii="ITC Avant Garde" w:hAnsi="ITC Avant Garde"/>
                <w:sz w:val="20"/>
                <w:szCs w:val="20"/>
              </w:rPr>
            </w:pPr>
            <w:r w:rsidRPr="00422CA2">
              <w:rPr>
                <w:rFonts w:ascii="ITC Avant Garde" w:hAnsi="ITC Avant Garde"/>
                <w:sz w:val="20"/>
                <w:szCs w:val="20"/>
              </w:rPr>
              <w:t>4 horas mínimo de respaldo.</w:t>
            </w:r>
          </w:p>
          <w:p w14:paraId="11EE4682" w14:textId="77777777" w:rsidR="000940FA" w:rsidRPr="00422CA2" w:rsidRDefault="000940FA" w:rsidP="00BF2AEC">
            <w:pPr>
              <w:pStyle w:val="Prrafodelista"/>
              <w:numPr>
                <w:ilvl w:val="0"/>
                <w:numId w:val="167"/>
              </w:numPr>
              <w:spacing w:before="60" w:after="60" w:line="276" w:lineRule="auto"/>
              <w:rPr>
                <w:rFonts w:ascii="ITC Avant Garde" w:hAnsi="ITC Avant Garde"/>
                <w:sz w:val="20"/>
                <w:szCs w:val="20"/>
              </w:rPr>
            </w:pPr>
            <w:r w:rsidRPr="00422CA2">
              <w:rPr>
                <w:rFonts w:ascii="ITC Avant Garde" w:hAnsi="ITC Avant Garde"/>
                <w:sz w:val="20"/>
                <w:szCs w:val="20"/>
              </w:rPr>
              <w:t>Interruptor termomagnético de 15 amperes.</w:t>
            </w:r>
          </w:p>
        </w:tc>
      </w:tr>
      <w:tr w:rsidR="00422CA2" w:rsidRPr="00422CA2" w14:paraId="20E970B0" w14:textId="77777777" w:rsidTr="00A145C5">
        <w:trPr>
          <w:trHeight w:val="600"/>
        </w:trPr>
        <w:tc>
          <w:tcPr>
            <w:tcW w:w="1381" w:type="pct"/>
            <w:shd w:val="clear" w:color="auto" w:fill="auto"/>
            <w:noWrap/>
            <w:vAlign w:val="center"/>
            <w:hideMark/>
          </w:tcPr>
          <w:p w14:paraId="784C4A92"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Sistema de Tierras</w:t>
            </w:r>
          </w:p>
        </w:tc>
        <w:tc>
          <w:tcPr>
            <w:tcW w:w="3619" w:type="pct"/>
            <w:shd w:val="clear" w:color="auto" w:fill="auto"/>
            <w:vAlign w:val="center"/>
            <w:hideMark/>
          </w:tcPr>
          <w:p w14:paraId="21D5C4BE"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Conductor principal de puesta a tierra calibre 1/0 AWG con derivación a cada local con cable calibre 6 AWG con un valor máximo de 5 ohms.</w:t>
            </w:r>
          </w:p>
        </w:tc>
      </w:tr>
      <w:tr w:rsidR="00422CA2" w:rsidRPr="00422CA2" w14:paraId="2003C9E6" w14:textId="77777777" w:rsidTr="00A145C5">
        <w:trPr>
          <w:trHeight w:val="600"/>
        </w:trPr>
        <w:tc>
          <w:tcPr>
            <w:tcW w:w="1381" w:type="pct"/>
            <w:shd w:val="clear" w:color="auto" w:fill="auto"/>
            <w:noWrap/>
            <w:vAlign w:val="center"/>
            <w:hideMark/>
          </w:tcPr>
          <w:p w14:paraId="3694C43D"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Alimentación</w:t>
            </w:r>
          </w:p>
        </w:tc>
        <w:tc>
          <w:tcPr>
            <w:tcW w:w="3619" w:type="pct"/>
            <w:shd w:val="clear" w:color="auto" w:fill="auto"/>
            <w:vAlign w:val="center"/>
            <w:hideMark/>
          </w:tcPr>
          <w:p w14:paraId="043929C3"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los interruptores termomagnéticos asignados a los CS en el tablero general de energía.</w:t>
            </w:r>
          </w:p>
        </w:tc>
      </w:tr>
      <w:tr w:rsidR="00422CA2" w:rsidRPr="00422CA2" w14:paraId="6590BF4B" w14:textId="77777777" w:rsidTr="00A145C5">
        <w:trPr>
          <w:trHeight w:val="375"/>
        </w:trPr>
        <w:tc>
          <w:tcPr>
            <w:tcW w:w="5000" w:type="pct"/>
            <w:gridSpan w:val="2"/>
            <w:shd w:val="clear" w:color="auto" w:fill="548DD4"/>
            <w:noWrap/>
            <w:vAlign w:val="center"/>
            <w:hideMark/>
          </w:tcPr>
          <w:p w14:paraId="4C654EE7" w14:textId="77777777" w:rsidR="000940FA" w:rsidRPr="00422CA2" w:rsidRDefault="00094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Otros</w:t>
            </w:r>
          </w:p>
        </w:tc>
      </w:tr>
      <w:tr w:rsidR="00422CA2" w:rsidRPr="00422CA2" w14:paraId="251E5942" w14:textId="77777777" w:rsidTr="00A145C5">
        <w:trPr>
          <w:trHeight w:val="600"/>
        </w:trPr>
        <w:tc>
          <w:tcPr>
            <w:tcW w:w="1381" w:type="pct"/>
            <w:shd w:val="clear" w:color="auto" w:fill="auto"/>
            <w:noWrap/>
            <w:vAlign w:val="center"/>
            <w:hideMark/>
          </w:tcPr>
          <w:p w14:paraId="7D07961B"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Acceso</w:t>
            </w:r>
          </w:p>
        </w:tc>
        <w:tc>
          <w:tcPr>
            <w:tcW w:w="3619" w:type="pct"/>
            <w:shd w:val="clear" w:color="auto" w:fill="auto"/>
            <w:vAlign w:val="center"/>
            <w:hideMark/>
          </w:tcPr>
          <w:p w14:paraId="27167F4C" w14:textId="77777777" w:rsidR="000940FA" w:rsidRPr="00422CA2" w:rsidRDefault="000940FA" w:rsidP="00BF2AEC">
            <w:pPr>
              <w:spacing w:before="60" w:after="60" w:line="276" w:lineRule="auto"/>
              <w:rPr>
                <w:rFonts w:ascii="ITC Avant Garde" w:hAnsi="ITC Avant Garde"/>
                <w:sz w:val="20"/>
                <w:szCs w:val="20"/>
              </w:rPr>
            </w:pPr>
            <w:r w:rsidRPr="00422CA2">
              <w:rPr>
                <w:rFonts w:ascii="ITC Avant Garde" w:hAnsi="ITC Avant Garde"/>
                <w:sz w:val="20"/>
                <w:szCs w:val="20"/>
              </w:rPr>
              <w:t>7X24 hrs. los 365 días del año atendiendo los procedimientos correspondientes y vigentes.</w:t>
            </w:r>
          </w:p>
        </w:tc>
      </w:tr>
    </w:tbl>
    <w:p w14:paraId="12B81E3C" w14:textId="6A543CF8" w:rsidR="00455860" w:rsidRPr="00422CA2" w:rsidRDefault="00397F98" w:rsidP="00E22C66">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w:t>
      </w:r>
      <w:r w:rsidR="00AB0CAD" w:rsidRPr="00422CA2">
        <w:rPr>
          <w:rFonts w:ascii="ITC Avant Garde" w:hAnsi="ITC Avant Garde"/>
          <w:sz w:val="18"/>
          <w:szCs w:val="18"/>
          <w:lang w:val="es-MX"/>
        </w:rPr>
        <w:t>19</w:t>
      </w:r>
      <w:r w:rsidRPr="00422CA2">
        <w:rPr>
          <w:rFonts w:ascii="ITC Avant Garde" w:hAnsi="ITC Avant Garde"/>
          <w:sz w:val="18"/>
          <w:szCs w:val="18"/>
          <w:lang w:val="es-MX"/>
        </w:rPr>
        <w:t xml:space="preserve"> Características físicas, elementos de sujeción, energía y otros CC</w:t>
      </w:r>
    </w:p>
    <w:p w14:paraId="2061342E" w14:textId="02494316"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Si el CS solicita el aprovisionamiento de la energía alterna, directa, clima, espacio, etc. con requerimientos particulares diferentes a los ofrecidos para este tipo de coubicación, la solicitud se atenderá como </w:t>
      </w:r>
      <w:r w:rsidR="0097245E" w:rsidRPr="00422CA2">
        <w:rPr>
          <w:rFonts w:ascii="ITC Avant Garde" w:hAnsi="ITC Avant Garde"/>
          <w:sz w:val="22"/>
          <w:szCs w:val="22"/>
          <w:lang w:val="es-MX"/>
        </w:rPr>
        <w:t>adecuación</w:t>
      </w:r>
      <w:r w:rsidRPr="00422CA2">
        <w:rPr>
          <w:rFonts w:ascii="ITC Avant Garde" w:hAnsi="ITC Avant Garde"/>
          <w:sz w:val="22"/>
          <w:szCs w:val="22"/>
          <w:lang w:val="es-MX"/>
        </w:rPr>
        <w:t xml:space="preserve"> y el CS cubrirá el costo de los consumos excedentes en su facturación mensual.</w:t>
      </w:r>
    </w:p>
    <w:p w14:paraId="5122A1A2" w14:textId="02577134" w:rsidR="004F4552" w:rsidRPr="00422CA2" w:rsidRDefault="004F4552" w:rsidP="00586B55">
      <w:pPr>
        <w:pStyle w:val="Ttulo1"/>
      </w:pPr>
      <w:bookmarkStart w:id="564" w:name="_Toc436840921"/>
      <w:bookmarkStart w:id="565" w:name="_Toc436846358"/>
      <w:bookmarkStart w:id="566" w:name="_Toc436848308"/>
      <w:bookmarkStart w:id="567" w:name="_Toc436856556"/>
      <w:bookmarkStart w:id="568" w:name="_Toc436862702"/>
      <w:bookmarkStart w:id="569" w:name="_Toc436866352"/>
      <w:bookmarkStart w:id="570" w:name="_Toc436870931"/>
      <w:bookmarkStart w:id="571" w:name="_Toc436875923"/>
      <w:bookmarkStart w:id="572" w:name="_Toc437602110"/>
      <w:r w:rsidRPr="00422CA2">
        <w:lastRenderedPageBreak/>
        <w:t>7.2</w:t>
      </w:r>
      <w:r w:rsidRPr="00422CA2">
        <w:tab/>
        <w:t>Coubicación Básica (CB)</w:t>
      </w:r>
      <w:bookmarkEnd w:id="564"/>
      <w:bookmarkEnd w:id="565"/>
      <w:bookmarkEnd w:id="566"/>
      <w:bookmarkEnd w:id="567"/>
      <w:bookmarkEnd w:id="568"/>
      <w:bookmarkEnd w:id="569"/>
      <w:bookmarkEnd w:id="570"/>
      <w:bookmarkEnd w:id="571"/>
      <w:bookmarkEnd w:id="572"/>
    </w:p>
    <w:p w14:paraId="1489B753" w14:textId="77777777"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Coubicación Básica (CB) se refiere al espacio acondicionado y habilitado para que los CS instalen sus gabinetes y equipos para acceder a los Servicios de Desagregación, cuando la demanda inicial de coubicación en una Central Telefónica o Instalación Equivalente sea igual o mayor a 20m</w:t>
      </w:r>
      <w:r w:rsidRPr="00422CA2">
        <w:rPr>
          <w:rFonts w:ascii="ITC Avant Garde" w:hAnsi="ITC Avant Garde"/>
          <w:sz w:val="22"/>
          <w:szCs w:val="22"/>
          <w:vertAlign w:val="superscript"/>
          <w:lang w:val="es-MX"/>
        </w:rPr>
        <w:t>2</w:t>
      </w:r>
      <w:r w:rsidRPr="00422CA2">
        <w:rPr>
          <w:rFonts w:ascii="ITC Avant Garde" w:hAnsi="ITC Avant Garde"/>
          <w:sz w:val="22"/>
          <w:szCs w:val="22"/>
          <w:lang w:val="es-MX"/>
        </w:rPr>
        <w:t xml:space="preserve">, o no sea posible ofrecer otro tipo de coubicación. </w:t>
      </w:r>
    </w:p>
    <w:p w14:paraId="0629DBD7" w14:textId="77777777"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esta modalidad de coubicación, los espacios no estarán delimitados individualmente por paredes y Telmex será el responsable de asignar la ubicación, orientación de los gabinetes a instalar por CS y del mantenimiento del espacio y facilidades técnicas, no así de los gabinetes y equipos instalados por los CS.</w:t>
      </w:r>
    </w:p>
    <w:p w14:paraId="4A8BD025" w14:textId="77777777"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Este tipo de coubicación se hará disponible para coubicaciones internas y externas; por su ubicación, dimensiones y facilidades, podrá albergar  a distintos Concesionarios o a uno solo si es que este último cubre todos los costos asociados, en cuyo caso, podrá compartir dicho espacio para coubicación con otros CS. El CS deberá indicar la modalidad de coubicación requerida en el formato de solicitud del servicio.</w:t>
      </w:r>
    </w:p>
    <w:p w14:paraId="1B80D3B6" w14:textId="77777777"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Los espacios se entregarán sólo con un señalamiento en piso. No obstante, como un Trabajo Especial, el CS podrá solicitar el encapsulamiento de equipos, que consiste en aislar mediante jaulas los equipos del CS, contando con un mayor grado de seguridad a fin de evitar manipulación humana no deseada.</w:t>
      </w:r>
    </w:p>
    <w:p w14:paraId="0C460DF5" w14:textId="2FB13A75"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un CS realice una solicitud de CB en una Central Telefónica o Instalación Equivalente y dicha solicitud no cumpla con la cantidad mínima de metros cuadrados, Telmex publicará en el Sistema de Captura o el SEG una vez que entre en operación, el CLLI de la Central Telefónica o Instalación Equivalente solicitada, su </w:t>
      </w:r>
      <w:r w:rsidR="00953501" w:rsidRPr="00422CA2">
        <w:rPr>
          <w:rFonts w:ascii="ITC Avant Garde" w:hAnsi="ITC Avant Garde"/>
          <w:sz w:val="22"/>
          <w:szCs w:val="22"/>
          <w:lang w:val="es-MX"/>
        </w:rPr>
        <w:t xml:space="preserve">nombre y/o siglas, </w:t>
      </w:r>
      <w:r w:rsidRPr="00422CA2">
        <w:rPr>
          <w:rFonts w:ascii="ITC Avant Garde" w:hAnsi="ITC Avant Garde"/>
          <w:sz w:val="22"/>
          <w:szCs w:val="22"/>
          <w:lang w:val="es-MX"/>
        </w:rPr>
        <w:t xml:space="preserve">zona de cobertura y la cantidad de metros cuadrados solicitados al momento de la publicación, sin incluir la razón social de los </w:t>
      </w:r>
      <w:r w:rsidR="000B2746" w:rsidRPr="00422CA2">
        <w:rPr>
          <w:rFonts w:ascii="ITC Avant Garde" w:hAnsi="ITC Avant Garde"/>
          <w:sz w:val="22"/>
          <w:szCs w:val="22"/>
          <w:lang w:val="es-MX"/>
        </w:rPr>
        <w:t>CS</w:t>
      </w:r>
      <w:r w:rsidRPr="00422CA2">
        <w:rPr>
          <w:rFonts w:ascii="ITC Avant Garde" w:hAnsi="ITC Avant Garde"/>
          <w:sz w:val="22"/>
          <w:szCs w:val="22"/>
          <w:lang w:val="es-MX"/>
        </w:rPr>
        <w:t xml:space="preserve">. La información se actualizará conforme se registren nuevas solicitudes para la Central Telefónica o Instalación Equivalente publicada. </w:t>
      </w:r>
    </w:p>
    <w:p w14:paraId="28BD544A" w14:textId="201E1810" w:rsidR="004F4552" w:rsidRPr="00422CA2" w:rsidRDefault="004F4552"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oferta </w:t>
      </w:r>
      <w:r w:rsidR="000520A8" w:rsidRPr="00422CA2">
        <w:rPr>
          <w:rFonts w:ascii="ITC Avant Garde" w:hAnsi="ITC Avant Garde"/>
          <w:sz w:val="22"/>
          <w:szCs w:val="22"/>
          <w:lang w:val="es-MX"/>
        </w:rPr>
        <w:t>para habilitar el</w:t>
      </w:r>
      <w:r w:rsidRPr="00422CA2">
        <w:rPr>
          <w:rFonts w:ascii="ITC Avant Garde" w:hAnsi="ITC Avant Garde"/>
          <w:sz w:val="22"/>
          <w:szCs w:val="22"/>
          <w:lang w:val="es-MX"/>
        </w:rPr>
        <w:t xml:space="preserve"> servicio permanecerá abierta 30 días hábiles, al término de este plazo se iniciará con el proceso de habilitación de la Coubicación Básica o de no cumplir con los requisitos se le ofrecerá al CS la Coubicación Cerrada.</w:t>
      </w:r>
    </w:p>
    <w:p w14:paraId="31C55645" w14:textId="61BBC4D5" w:rsidR="004F4552" w:rsidRPr="00422CA2" w:rsidRDefault="000520A8" w:rsidP="004F4552">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Características técnicas mínimas para Coubicación Básica</w:t>
      </w:r>
      <w:r w:rsidR="00A850FA" w:rsidRPr="00422CA2">
        <w:rPr>
          <w:rFonts w:ascii="ITC Avant Garde" w:hAnsi="ITC Avant Garde"/>
          <w:b/>
          <w:sz w:val="22"/>
          <w:szCs w:val="22"/>
          <w:lang w:val="es-MX"/>
        </w:rPr>
        <w:t xml:space="preserve"> (CB)</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70" w:type="dxa"/>
          <w:right w:w="70" w:type="dxa"/>
        </w:tblCellMar>
        <w:tblLook w:val="04A0" w:firstRow="1" w:lastRow="0" w:firstColumn="1" w:lastColumn="0" w:noHBand="0" w:noVBand="1"/>
      </w:tblPr>
      <w:tblGrid>
        <w:gridCol w:w="2160"/>
        <w:gridCol w:w="6670"/>
      </w:tblGrid>
      <w:tr w:rsidR="00422CA2" w:rsidRPr="00422CA2" w14:paraId="48B2E65C" w14:textId="77777777" w:rsidTr="000520A8">
        <w:trPr>
          <w:trHeight w:val="375"/>
        </w:trPr>
        <w:tc>
          <w:tcPr>
            <w:tcW w:w="5000" w:type="pct"/>
            <w:gridSpan w:val="2"/>
            <w:shd w:val="clear" w:color="auto" w:fill="548DD4"/>
            <w:noWrap/>
            <w:vAlign w:val="center"/>
            <w:hideMark/>
          </w:tcPr>
          <w:p w14:paraId="71D66378" w14:textId="77777777" w:rsidR="000520A8" w:rsidRPr="00422CA2" w:rsidRDefault="000520A8"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Características Físicas</w:t>
            </w:r>
          </w:p>
        </w:tc>
      </w:tr>
      <w:tr w:rsidR="00422CA2" w:rsidRPr="00422CA2" w14:paraId="0849C1D2" w14:textId="77777777" w:rsidTr="000520A8">
        <w:trPr>
          <w:trHeight w:val="300"/>
        </w:trPr>
        <w:tc>
          <w:tcPr>
            <w:tcW w:w="1223" w:type="pct"/>
            <w:shd w:val="clear" w:color="auto" w:fill="auto"/>
            <w:noWrap/>
            <w:vAlign w:val="center"/>
            <w:hideMark/>
          </w:tcPr>
          <w:p w14:paraId="123C2354"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Espacio</w:t>
            </w:r>
          </w:p>
        </w:tc>
        <w:tc>
          <w:tcPr>
            <w:tcW w:w="3777" w:type="pct"/>
            <w:shd w:val="clear" w:color="auto" w:fill="auto"/>
            <w:vAlign w:val="center"/>
            <w:hideMark/>
          </w:tcPr>
          <w:p w14:paraId="28240111"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 20m</w:t>
            </w:r>
            <w:r w:rsidRPr="00422CA2">
              <w:rPr>
                <w:rFonts w:ascii="ITC Avant Garde" w:hAnsi="ITC Avant Garde"/>
                <w:sz w:val="20"/>
                <w:szCs w:val="20"/>
                <w:vertAlign w:val="superscript"/>
              </w:rPr>
              <w:t>2</w:t>
            </w:r>
          </w:p>
        </w:tc>
      </w:tr>
      <w:tr w:rsidR="00422CA2" w:rsidRPr="00422CA2" w14:paraId="5780276F" w14:textId="77777777" w:rsidTr="000520A8">
        <w:trPr>
          <w:trHeight w:val="600"/>
        </w:trPr>
        <w:tc>
          <w:tcPr>
            <w:tcW w:w="1223" w:type="pct"/>
            <w:shd w:val="clear" w:color="auto" w:fill="auto"/>
            <w:noWrap/>
            <w:vAlign w:val="center"/>
            <w:hideMark/>
          </w:tcPr>
          <w:p w14:paraId="109D4433"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lastRenderedPageBreak/>
              <w:t>Acabado del Piso</w:t>
            </w:r>
          </w:p>
        </w:tc>
        <w:tc>
          <w:tcPr>
            <w:tcW w:w="3777" w:type="pct"/>
            <w:shd w:val="clear" w:color="auto" w:fill="auto"/>
            <w:vAlign w:val="center"/>
            <w:hideMark/>
          </w:tcPr>
          <w:p w14:paraId="7C4E00C3"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Firme, de concreto y con resistencia para carga de 800 kg/m</w:t>
            </w:r>
            <w:r w:rsidRPr="00422CA2">
              <w:rPr>
                <w:rFonts w:ascii="ITC Avant Garde" w:hAnsi="ITC Avant Garde"/>
                <w:sz w:val="20"/>
                <w:szCs w:val="20"/>
                <w:vertAlign w:val="superscript"/>
              </w:rPr>
              <w:t>2</w:t>
            </w:r>
            <w:r w:rsidRPr="00422CA2">
              <w:rPr>
                <w:rFonts w:ascii="ITC Avant Garde" w:hAnsi="ITC Avant Garde"/>
                <w:sz w:val="20"/>
                <w:szCs w:val="20"/>
              </w:rPr>
              <w:t>, sin ondulaciones con 3 mm máximo de desnivel y cubierto con loseta vinílica.</w:t>
            </w:r>
          </w:p>
        </w:tc>
      </w:tr>
      <w:tr w:rsidR="00422CA2" w:rsidRPr="00422CA2" w14:paraId="3942512A" w14:textId="77777777" w:rsidTr="000520A8">
        <w:trPr>
          <w:trHeight w:val="600"/>
        </w:trPr>
        <w:tc>
          <w:tcPr>
            <w:tcW w:w="1223" w:type="pct"/>
            <w:shd w:val="clear" w:color="auto" w:fill="auto"/>
            <w:noWrap/>
            <w:vAlign w:val="center"/>
            <w:hideMark/>
          </w:tcPr>
          <w:p w14:paraId="6A75AB0F"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Altura</w:t>
            </w:r>
          </w:p>
        </w:tc>
        <w:tc>
          <w:tcPr>
            <w:tcW w:w="3777" w:type="pct"/>
            <w:shd w:val="clear" w:color="auto" w:fill="auto"/>
            <w:vAlign w:val="center"/>
            <w:hideMark/>
          </w:tcPr>
          <w:p w14:paraId="3F304135"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3.0 m para instalación de equipo. Los ductos y escalerillas estarán dentro de esta altura (2.40 m).</w:t>
            </w:r>
          </w:p>
        </w:tc>
      </w:tr>
      <w:tr w:rsidR="00422CA2" w:rsidRPr="00422CA2" w14:paraId="505C2606" w14:textId="77777777" w:rsidTr="000520A8">
        <w:trPr>
          <w:trHeight w:val="300"/>
        </w:trPr>
        <w:tc>
          <w:tcPr>
            <w:tcW w:w="1223" w:type="pct"/>
            <w:shd w:val="clear" w:color="auto" w:fill="auto"/>
            <w:noWrap/>
            <w:vAlign w:val="center"/>
            <w:hideMark/>
          </w:tcPr>
          <w:p w14:paraId="403099F7"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Temperatura</w:t>
            </w:r>
          </w:p>
        </w:tc>
        <w:tc>
          <w:tcPr>
            <w:tcW w:w="3777" w:type="pct"/>
            <w:shd w:val="clear" w:color="auto" w:fill="auto"/>
            <w:vAlign w:val="center"/>
            <w:hideMark/>
          </w:tcPr>
          <w:p w14:paraId="238F6D2D"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Entre 10 y 25 °C y una humedad relativa entre 40 y 60%</w:t>
            </w:r>
          </w:p>
        </w:tc>
      </w:tr>
      <w:tr w:rsidR="00422CA2" w:rsidRPr="00422CA2" w14:paraId="4D8D0353" w14:textId="77777777" w:rsidTr="000520A8">
        <w:trPr>
          <w:trHeight w:val="600"/>
        </w:trPr>
        <w:tc>
          <w:tcPr>
            <w:tcW w:w="1223" w:type="pct"/>
            <w:shd w:val="clear" w:color="auto" w:fill="auto"/>
            <w:noWrap/>
            <w:vAlign w:val="center"/>
            <w:hideMark/>
          </w:tcPr>
          <w:p w14:paraId="7A2B8360"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w:t>
            </w:r>
          </w:p>
        </w:tc>
        <w:tc>
          <w:tcPr>
            <w:tcW w:w="3777" w:type="pct"/>
            <w:shd w:val="clear" w:color="auto" w:fill="auto"/>
            <w:vAlign w:val="center"/>
            <w:hideMark/>
          </w:tcPr>
          <w:p w14:paraId="725BF9DA"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 general de sala de 300 luxes medidos en forma vertical bajo la lámpara en la parte anterior y posterior del equipo instalado.</w:t>
            </w:r>
          </w:p>
        </w:tc>
      </w:tr>
      <w:tr w:rsidR="00422CA2" w:rsidRPr="00422CA2" w14:paraId="03C82AFB" w14:textId="77777777" w:rsidTr="000520A8">
        <w:trPr>
          <w:trHeight w:val="1800"/>
        </w:trPr>
        <w:tc>
          <w:tcPr>
            <w:tcW w:w="1223" w:type="pct"/>
            <w:shd w:val="clear" w:color="auto" w:fill="auto"/>
            <w:noWrap/>
            <w:vAlign w:val="center"/>
            <w:hideMark/>
          </w:tcPr>
          <w:p w14:paraId="35C56CFB"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Local Interior</w:t>
            </w:r>
          </w:p>
        </w:tc>
        <w:tc>
          <w:tcPr>
            <w:tcW w:w="3777" w:type="pct"/>
            <w:shd w:val="clear" w:color="auto" w:fill="auto"/>
            <w:vAlign w:val="center"/>
            <w:hideMark/>
          </w:tcPr>
          <w:p w14:paraId="71F2AD40" w14:textId="77777777" w:rsidR="000520A8" w:rsidRPr="00422CA2" w:rsidRDefault="000520A8" w:rsidP="00BF2AEC">
            <w:pPr>
              <w:pStyle w:val="Prrafodelista"/>
              <w:numPr>
                <w:ilvl w:val="0"/>
                <w:numId w:val="169"/>
              </w:numPr>
              <w:spacing w:before="60" w:after="60" w:line="276" w:lineRule="auto"/>
              <w:ind w:left="355"/>
              <w:rPr>
                <w:rFonts w:ascii="ITC Avant Garde" w:hAnsi="ITC Avant Garde"/>
                <w:sz w:val="20"/>
                <w:szCs w:val="20"/>
              </w:rPr>
            </w:pPr>
            <w:r w:rsidRPr="00422CA2">
              <w:rPr>
                <w:rFonts w:ascii="ITC Avant Garde" w:hAnsi="ITC Avant Garde"/>
                <w:sz w:val="20"/>
                <w:szCs w:val="20"/>
              </w:rPr>
              <w:t xml:space="preserve">Paredes de tabla roca de 3.00 metros de altura, pudiendo utilizar las paredes existentes. </w:t>
            </w:r>
          </w:p>
          <w:p w14:paraId="05ED68D0" w14:textId="77777777" w:rsidR="000520A8" w:rsidRPr="00422CA2" w:rsidRDefault="000520A8" w:rsidP="00BF2AEC">
            <w:pPr>
              <w:pStyle w:val="Prrafodelista"/>
              <w:numPr>
                <w:ilvl w:val="0"/>
                <w:numId w:val="169"/>
              </w:numPr>
              <w:spacing w:before="60" w:after="60" w:line="276" w:lineRule="auto"/>
              <w:ind w:left="355"/>
              <w:rPr>
                <w:rFonts w:ascii="ITC Avant Garde" w:hAnsi="ITC Avant Garde"/>
                <w:sz w:val="20"/>
                <w:szCs w:val="20"/>
              </w:rPr>
            </w:pPr>
            <w:r w:rsidRPr="00422CA2">
              <w:rPr>
                <w:rFonts w:ascii="ITC Avant Garde" w:hAnsi="ITC Avant Garde"/>
                <w:sz w:val="20"/>
                <w:szCs w:val="20"/>
              </w:rPr>
              <w:t>Pintura vinílica color blanco ostión en el interior, el exterior debe ser igual a la pintura existente en la sala.</w:t>
            </w:r>
          </w:p>
          <w:p w14:paraId="7FDAB113" w14:textId="77777777" w:rsidR="000520A8" w:rsidRPr="00422CA2" w:rsidRDefault="000520A8" w:rsidP="00BF2AEC">
            <w:pPr>
              <w:pStyle w:val="Prrafodelista"/>
              <w:numPr>
                <w:ilvl w:val="0"/>
                <w:numId w:val="169"/>
              </w:numPr>
              <w:spacing w:before="60" w:after="60" w:line="276" w:lineRule="auto"/>
              <w:ind w:left="355"/>
              <w:rPr>
                <w:rFonts w:ascii="ITC Avant Garde" w:hAnsi="ITC Avant Garde"/>
                <w:sz w:val="20"/>
                <w:szCs w:val="20"/>
              </w:rPr>
            </w:pPr>
            <w:r w:rsidRPr="00422CA2">
              <w:rPr>
                <w:rFonts w:ascii="ITC Avant Garde" w:hAnsi="ITC Avant Garde"/>
                <w:sz w:val="20"/>
                <w:szCs w:val="20"/>
              </w:rPr>
              <w:t>Techo de rejilux, plafón o bien la misma losa de concreto de la instalación.</w:t>
            </w:r>
          </w:p>
        </w:tc>
      </w:tr>
      <w:tr w:rsidR="00422CA2" w:rsidRPr="00422CA2" w14:paraId="45C6F6BA" w14:textId="77777777" w:rsidTr="000520A8">
        <w:trPr>
          <w:trHeight w:val="900"/>
        </w:trPr>
        <w:tc>
          <w:tcPr>
            <w:tcW w:w="1223" w:type="pct"/>
            <w:shd w:val="clear" w:color="auto" w:fill="auto"/>
            <w:noWrap/>
            <w:vAlign w:val="center"/>
            <w:hideMark/>
          </w:tcPr>
          <w:p w14:paraId="31258313"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Local Exterior</w:t>
            </w:r>
          </w:p>
        </w:tc>
        <w:tc>
          <w:tcPr>
            <w:tcW w:w="3777" w:type="pct"/>
            <w:shd w:val="clear" w:color="auto" w:fill="auto"/>
            <w:vAlign w:val="center"/>
            <w:hideMark/>
          </w:tcPr>
          <w:p w14:paraId="072249F8" w14:textId="77777777" w:rsidR="000520A8" w:rsidRPr="00422CA2" w:rsidRDefault="000520A8" w:rsidP="00BF2AEC">
            <w:pPr>
              <w:pStyle w:val="Prrafodelista"/>
              <w:numPr>
                <w:ilvl w:val="0"/>
                <w:numId w:val="170"/>
              </w:numPr>
              <w:spacing w:before="60" w:after="60" w:line="276" w:lineRule="auto"/>
              <w:ind w:left="355"/>
              <w:rPr>
                <w:rFonts w:ascii="ITC Avant Garde" w:hAnsi="ITC Avant Garde"/>
                <w:sz w:val="20"/>
                <w:szCs w:val="20"/>
              </w:rPr>
            </w:pPr>
            <w:r w:rsidRPr="00422CA2">
              <w:rPr>
                <w:rFonts w:ascii="ITC Avant Garde" w:hAnsi="ITC Avant Garde"/>
                <w:sz w:val="20"/>
                <w:szCs w:val="20"/>
              </w:rPr>
              <w:t>Paredes de tabique recocido, aplanado con mortero y pintura vinílica color blanco ostión en interiores y color gris claro en el exterior.</w:t>
            </w:r>
          </w:p>
          <w:p w14:paraId="497C6F4F" w14:textId="77777777" w:rsidR="000520A8" w:rsidRPr="00422CA2" w:rsidRDefault="000520A8" w:rsidP="00BF2AEC">
            <w:pPr>
              <w:pStyle w:val="Prrafodelista"/>
              <w:numPr>
                <w:ilvl w:val="0"/>
                <w:numId w:val="170"/>
              </w:numPr>
              <w:spacing w:before="60" w:after="60" w:line="276" w:lineRule="auto"/>
              <w:ind w:left="355"/>
              <w:rPr>
                <w:rFonts w:ascii="ITC Avant Garde" w:hAnsi="ITC Avant Garde"/>
                <w:sz w:val="20"/>
                <w:szCs w:val="20"/>
              </w:rPr>
            </w:pPr>
            <w:r w:rsidRPr="00422CA2">
              <w:rPr>
                <w:rFonts w:ascii="ITC Avant Garde" w:hAnsi="ITC Avant Garde"/>
                <w:sz w:val="20"/>
                <w:szCs w:val="20"/>
              </w:rPr>
              <w:t>Impermeabilizante de 3 capas con membranas de refuerzo.</w:t>
            </w:r>
          </w:p>
        </w:tc>
      </w:tr>
      <w:tr w:rsidR="00422CA2" w:rsidRPr="00422CA2" w14:paraId="5C988AC5" w14:textId="77777777" w:rsidTr="000520A8">
        <w:trPr>
          <w:trHeight w:val="300"/>
        </w:trPr>
        <w:tc>
          <w:tcPr>
            <w:tcW w:w="1223" w:type="pct"/>
            <w:shd w:val="clear" w:color="auto" w:fill="auto"/>
            <w:noWrap/>
            <w:vAlign w:val="center"/>
            <w:hideMark/>
          </w:tcPr>
          <w:p w14:paraId="7CF40CEA"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Capacidad</w:t>
            </w:r>
          </w:p>
        </w:tc>
        <w:tc>
          <w:tcPr>
            <w:tcW w:w="3777" w:type="pct"/>
            <w:shd w:val="clear" w:color="auto" w:fill="auto"/>
            <w:vAlign w:val="center"/>
            <w:hideMark/>
          </w:tcPr>
          <w:p w14:paraId="39A07AEC"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 xml:space="preserve">12 Gabinetes </w:t>
            </w:r>
          </w:p>
        </w:tc>
      </w:tr>
      <w:tr w:rsidR="00422CA2" w:rsidRPr="00422CA2" w14:paraId="76E97498" w14:textId="77777777" w:rsidTr="00CC6EFF">
        <w:trPr>
          <w:trHeight w:val="70"/>
        </w:trPr>
        <w:tc>
          <w:tcPr>
            <w:tcW w:w="1223" w:type="pct"/>
            <w:shd w:val="clear" w:color="auto" w:fill="auto"/>
            <w:noWrap/>
            <w:vAlign w:val="center"/>
            <w:hideMark/>
          </w:tcPr>
          <w:p w14:paraId="63109C01"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Asignación de Espacio</w:t>
            </w:r>
          </w:p>
        </w:tc>
        <w:tc>
          <w:tcPr>
            <w:tcW w:w="3777" w:type="pct"/>
            <w:shd w:val="clear" w:color="auto" w:fill="auto"/>
            <w:vAlign w:val="center"/>
            <w:hideMark/>
          </w:tcPr>
          <w:p w14:paraId="0F3DB68C" w14:textId="77777777" w:rsidR="000520A8" w:rsidRPr="00422CA2" w:rsidRDefault="000520A8" w:rsidP="00BF2AEC">
            <w:pPr>
              <w:pStyle w:val="Prrafodelista"/>
              <w:numPr>
                <w:ilvl w:val="0"/>
                <w:numId w:val="168"/>
              </w:numPr>
              <w:spacing w:before="60" w:after="60" w:line="276" w:lineRule="auto"/>
              <w:ind w:left="355"/>
              <w:rPr>
                <w:rFonts w:ascii="ITC Avant Garde" w:hAnsi="ITC Avant Garde"/>
                <w:sz w:val="20"/>
                <w:szCs w:val="20"/>
              </w:rPr>
            </w:pPr>
            <w:r w:rsidRPr="00422CA2">
              <w:rPr>
                <w:rFonts w:ascii="ITC Avant Garde" w:hAnsi="ITC Avant Garde"/>
                <w:sz w:val="20"/>
                <w:szCs w:val="20"/>
              </w:rPr>
              <w:t xml:space="preserve">Proporcionar croquis claro y visible que indique la localización y el nombre de la Coubicación, con señalamientos de área y trayectorias de cableado. </w:t>
            </w:r>
          </w:p>
          <w:p w14:paraId="4D90C6B7" w14:textId="77777777" w:rsidR="000520A8" w:rsidRPr="00422CA2" w:rsidRDefault="000520A8" w:rsidP="00BF2AEC">
            <w:pPr>
              <w:pStyle w:val="Prrafodelista"/>
              <w:numPr>
                <w:ilvl w:val="0"/>
                <w:numId w:val="168"/>
              </w:numPr>
              <w:spacing w:before="60" w:after="60" w:line="276" w:lineRule="auto"/>
              <w:ind w:left="362"/>
              <w:rPr>
                <w:rFonts w:ascii="ITC Avant Garde" w:hAnsi="ITC Avant Garde"/>
                <w:sz w:val="20"/>
                <w:szCs w:val="20"/>
              </w:rPr>
            </w:pPr>
            <w:r w:rsidRPr="00422CA2">
              <w:rPr>
                <w:rFonts w:ascii="ITC Avant Garde" w:hAnsi="ITC Avant Garde"/>
                <w:sz w:val="20"/>
                <w:szCs w:val="20"/>
              </w:rPr>
              <w:t>Señalamiento en piso, indicando el área total asignada para instalar el rack o gabinete.</w:t>
            </w:r>
          </w:p>
          <w:p w14:paraId="46243A9D" w14:textId="77777777" w:rsidR="000520A8" w:rsidRPr="00422CA2" w:rsidRDefault="000520A8" w:rsidP="00BF2AEC">
            <w:pPr>
              <w:pStyle w:val="Prrafodelista"/>
              <w:numPr>
                <w:ilvl w:val="0"/>
                <w:numId w:val="168"/>
              </w:numPr>
              <w:spacing w:before="60" w:after="60" w:line="276" w:lineRule="auto"/>
              <w:ind w:left="362"/>
              <w:rPr>
                <w:rFonts w:ascii="ITC Avant Garde" w:hAnsi="ITC Avant Garde"/>
                <w:sz w:val="20"/>
                <w:szCs w:val="20"/>
              </w:rPr>
            </w:pPr>
            <w:r w:rsidRPr="00422CA2">
              <w:rPr>
                <w:rFonts w:ascii="ITC Avant Garde" w:hAnsi="ITC Avant Garde"/>
                <w:sz w:val="20"/>
                <w:szCs w:val="20"/>
              </w:rPr>
              <w:t>Proporcionar al CS las posiciones de los interruptores termomagnéticos asignados en el tablero general de energía.</w:t>
            </w:r>
          </w:p>
        </w:tc>
      </w:tr>
      <w:tr w:rsidR="00422CA2" w:rsidRPr="00422CA2" w14:paraId="0A62A250" w14:textId="77777777" w:rsidTr="000520A8">
        <w:trPr>
          <w:trHeight w:val="375"/>
        </w:trPr>
        <w:tc>
          <w:tcPr>
            <w:tcW w:w="5000" w:type="pct"/>
            <w:gridSpan w:val="2"/>
            <w:shd w:val="clear" w:color="auto" w:fill="548DD4"/>
            <w:noWrap/>
            <w:vAlign w:val="center"/>
            <w:hideMark/>
          </w:tcPr>
          <w:p w14:paraId="752AEA12" w14:textId="77777777" w:rsidR="000520A8" w:rsidRPr="00422CA2" w:rsidRDefault="000520A8"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Elementos de Sujeción</w:t>
            </w:r>
          </w:p>
        </w:tc>
      </w:tr>
      <w:tr w:rsidR="00422CA2" w:rsidRPr="00422CA2" w14:paraId="4ADA8B52" w14:textId="77777777" w:rsidTr="000520A8">
        <w:trPr>
          <w:trHeight w:val="600"/>
        </w:trPr>
        <w:tc>
          <w:tcPr>
            <w:tcW w:w="1223" w:type="pct"/>
            <w:shd w:val="clear" w:color="auto" w:fill="auto"/>
            <w:vAlign w:val="center"/>
            <w:hideMark/>
          </w:tcPr>
          <w:p w14:paraId="04F98E97"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Herraje y/o Ductería</w:t>
            </w:r>
          </w:p>
        </w:tc>
        <w:tc>
          <w:tcPr>
            <w:tcW w:w="3777" w:type="pct"/>
            <w:shd w:val="clear" w:color="auto" w:fill="auto"/>
            <w:vAlign w:val="center"/>
            <w:hideMark/>
          </w:tcPr>
          <w:p w14:paraId="74DFDAD1"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Provisto por Telmex, para conectar el punto de llegada al edificio con las áreas asignadas y con otras coubicaciones en caso de requerirse.</w:t>
            </w:r>
          </w:p>
        </w:tc>
      </w:tr>
      <w:tr w:rsidR="00422CA2" w:rsidRPr="00422CA2" w14:paraId="21C3159A" w14:textId="77777777" w:rsidTr="000520A8">
        <w:trPr>
          <w:trHeight w:val="300"/>
        </w:trPr>
        <w:tc>
          <w:tcPr>
            <w:tcW w:w="1223" w:type="pct"/>
            <w:shd w:val="clear" w:color="auto" w:fill="auto"/>
            <w:vAlign w:val="center"/>
            <w:hideMark/>
          </w:tcPr>
          <w:p w14:paraId="3D1FAB52"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Fijación del Equipo</w:t>
            </w:r>
          </w:p>
        </w:tc>
        <w:tc>
          <w:tcPr>
            <w:tcW w:w="3777" w:type="pct"/>
            <w:shd w:val="clear" w:color="auto" w:fill="auto"/>
            <w:vAlign w:val="center"/>
            <w:hideMark/>
          </w:tcPr>
          <w:p w14:paraId="02FC3D2A"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Anclaje a piso y/o techo de común acuerdo.</w:t>
            </w:r>
          </w:p>
        </w:tc>
      </w:tr>
      <w:tr w:rsidR="00422CA2" w:rsidRPr="00422CA2" w14:paraId="7F1888F1" w14:textId="77777777" w:rsidTr="000520A8">
        <w:trPr>
          <w:trHeight w:val="375"/>
        </w:trPr>
        <w:tc>
          <w:tcPr>
            <w:tcW w:w="5000" w:type="pct"/>
            <w:gridSpan w:val="2"/>
            <w:shd w:val="clear" w:color="auto" w:fill="548DD4"/>
            <w:noWrap/>
            <w:vAlign w:val="center"/>
            <w:hideMark/>
          </w:tcPr>
          <w:p w14:paraId="54208844" w14:textId="77777777" w:rsidR="000520A8" w:rsidRPr="00422CA2" w:rsidRDefault="000520A8"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Energía</w:t>
            </w:r>
          </w:p>
        </w:tc>
      </w:tr>
      <w:tr w:rsidR="00422CA2" w:rsidRPr="00422CA2" w14:paraId="2198F2CF" w14:textId="77777777" w:rsidTr="000520A8">
        <w:trPr>
          <w:trHeight w:val="1200"/>
        </w:trPr>
        <w:tc>
          <w:tcPr>
            <w:tcW w:w="1223" w:type="pct"/>
            <w:shd w:val="clear" w:color="auto" w:fill="auto"/>
            <w:noWrap/>
            <w:vAlign w:val="center"/>
            <w:hideMark/>
          </w:tcPr>
          <w:p w14:paraId="6B4A897F"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Contactos Eléctricos</w:t>
            </w:r>
          </w:p>
        </w:tc>
        <w:tc>
          <w:tcPr>
            <w:tcW w:w="3777" w:type="pct"/>
            <w:shd w:val="clear" w:color="auto" w:fill="auto"/>
            <w:vAlign w:val="center"/>
            <w:hideMark/>
          </w:tcPr>
          <w:p w14:paraId="2589C865"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Por cada 4 m</w:t>
            </w:r>
            <w:r w:rsidRPr="00422CA2">
              <w:rPr>
                <w:rFonts w:ascii="ITC Avant Garde" w:hAnsi="ITC Avant Garde"/>
                <w:sz w:val="20"/>
                <w:szCs w:val="20"/>
                <w:vertAlign w:val="superscript"/>
              </w:rPr>
              <w:t>2</w:t>
            </w:r>
          </w:p>
          <w:p w14:paraId="31D99CE4" w14:textId="27BA47FE" w:rsidR="000520A8" w:rsidRPr="00422CA2" w:rsidRDefault="000520A8" w:rsidP="00BF2AEC">
            <w:pPr>
              <w:pStyle w:val="Prrafodelista"/>
              <w:numPr>
                <w:ilvl w:val="0"/>
                <w:numId w:val="171"/>
              </w:numPr>
              <w:spacing w:before="60" w:after="60" w:line="276" w:lineRule="auto"/>
              <w:rPr>
                <w:rFonts w:ascii="ITC Avant Garde" w:hAnsi="ITC Avant Garde"/>
                <w:sz w:val="20"/>
                <w:szCs w:val="20"/>
              </w:rPr>
            </w:pPr>
            <w:r w:rsidRPr="00422CA2">
              <w:rPr>
                <w:rFonts w:ascii="ITC Avant Garde" w:hAnsi="ITC Avant Garde"/>
                <w:sz w:val="20"/>
                <w:szCs w:val="20"/>
              </w:rPr>
              <w:t>2 contactos dobles polarizados, de 127 V alimentados por la compañía comercial +</w:t>
            </w:r>
            <w:r w:rsidR="00086B74" w:rsidRPr="00422CA2">
              <w:rPr>
                <w:rFonts w:ascii="ITC Avant Garde" w:hAnsi="ITC Avant Garde"/>
                <w:sz w:val="20"/>
                <w:szCs w:val="20"/>
              </w:rPr>
              <w:t>/-</w:t>
            </w:r>
            <w:r w:rsidRPr="00422CA2">
              <w:rPr>
                <w:rFonts w:ascii="ITC Avant Garde" w:hAnsi="ITC Avant Garde"/>
                <w:sz w:val="20"/>
                <w:szCs w:val="20"/>
              </w:rPr>
              <w:t xml:space="preserve"> 10% máximo.</w:t>
            </w:r>
          </w:p>
          <w:p w14:paraId="04649446" w14:textId="77777777" w:rsidR="000520A8" w:rsidRPr="00422CA2" w:rsidRDefault="000520A8" w:rsidP="00BF2AEC">
            <w:pPr>
              <w:pStyle w:val="Prrafodelista"/>
              <w:numPr>
                <w:ilvl w:val="0"/>
                <w:numId w:val="171"/>
              </w:numPr>
              <w:spacing w:before="60" w:after="60" w:line="276" w:lineRule="auto"/>
              <w:rPr>
                <w:rFonts w:ascii="ITC Avant Garde" w:hAnsi="ITC Avant Garde"/>
                <w:sz w:val="20"/>
                <w:szCs w:val="20"/>
              </w:rPr>
            </w:pPr>
            <w:r w:rsidRPr="00422CA2">
              <w:rPr>
                <w:rFonts w:ascii="ITC Avant Garde" w:hAnsi="ITC Avant Garde"/>
                <w:sz w:val="20"/>
                <w:szCs w:val="20"/>
              </w:rPr>
              <w:lastRenderedPageBreak/>
              <w:t>Interruptor termomagnético de 15 amperes.</w:t>
            </w:r>
          </w:p>
        </w:tc>
      </w:tr>
      <w:tr w:rsidR="00422CA2" w:rsidRPr="00422CA2" w14:paraId="61026E93" w14:textId="77777777" w:rsidTr="000520A8">
        <w:trPr>
          <w:trHeight w:val="1200"/>
        </w:trPr>
        <w:tc>
          <w:tcPr>
            <w:tcW w:w="1223" w:type="pct"/>
            <w:shd w:val="clear" w:color="auto" w:fill="auto"/>
            <w:noWrap/>
            <w:vAlign w:val="center"/>
            <w:hideMark/>
          </w:tcPr>
          <w:p w14:paraId="03A7BD94"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lastRenderedPageBreak/>
              <w:t>Energía en CD</w:t>
            </w:r>
          </w:p>
        </w:tc>
        <w:tc>
          <w:tcPr>
            <w:tcW w:w="3777" w:type="pct"/>
            <w:shd w:val="clear" w:color="auto" w:fill="auto"/>
            <w:vAlign w:val="center"/>
            <w:hideMark/>
          </w:tcPr>
          <w:p w14:paraId="55208A17"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Por cada espacio asignado:</w:t>
            </w:r>
          </w:p>
          <w:p w14:paraId="5C5E7E74" w14:textId="77777777" w:rsidR="000520A8" w:rsidRPr="00422CA2" w:rsidRDefault="000520A8" w:rsidP="00BF2AEC">
            <w:pPr>
              <w:pStyle w:val="Prrafodelista"/>
              <w:numPr>
                <w:ilvl w:val="0"/>
                <w:numId w:val="172"/>
              </w:numPr>
              <w:spacing w:before="60" w:after="60" w:line="276" w:lineRule="auto"/>
              <w:rPr>
                <w:rFonts w:ascii="ITC Avant Garde" w:hAnsi="ITC Avant Garde"/>
                <w:sz w:val="20"/>
                <w:szCs w:val="20"/>
              </w:rPr>
            </w:pPr>
            <w:r w:rsidRPr="00422CA2">
              <w:rPr>
                <w:rFonts w:ascii="ITC Avant Garde" w:hAnsi="ITC Avant Garde"/>
                <w:sz w:val="20"/>
                <w:szCs w:val="20"/>
              </w:rPr>
              <w:t>-48 VCD, +20%, -15%.</w:t>
            </w:r>
          </w:p>
          <w:p w14:paraId="302609C6" w14:textId="77777777" w:rsidR="000520A8" w:rsidRPr="00422CA2" w:rsidRDefault="000520A8" w:rsidP="00BF2AEC">
            <w:pPr>
              <w:pStyle w:val="Prrafodelista"/>
              <w:numPr>
                <w:ilvl w:val="0"/>
                <w:numId w:val="172"/>
              </w:numPr>
              <w:spacing w:before="60" w:after="60" w:line="276" w:lineRule="auto"/>
              <w:rPr>
                <w:rFonts w:ascii="ITC Avant Garde" w:hAnsi="ITC Avant Garde"/>
                <w:sz w:val="20"/>
                <w:szCs w:val="20"/>
              </w:rPr>
            </w:pPr>
            <w:r w:rsidRPr="00422CA2">
              <w:rPr>
                <w:rFonts w:ascii="ITC Avant Garde" w:hAnsi="ITC Avant Garde"/>
                <w:sz w:val="20"/>
                <w:szCs w:val="20"/>
              </w:rPr>
              <w:t>4 horas mínimo de respaldo.</w:t>
            </w:r>
          </w:p>
          <w:p w14:paraId="3E51BE68" w14:textId="77777777" w:rsidR="000520A8" w:rsidRPr="00422CA2" w:rsidRDefault="000520A8" w:rsidP="00BF2AEC">
            <w:pPr>
              <w:pStyle w:val="Prrafodelista"/>
              <w:numPr>
                <w:ilvl w:val="0"/>
                <w:numId w:val="172"/>
              </w:numPr>
              <w:spacing w:before="60" w:after="60" w:line="276" w:lineRule="auto"/>
              <w:rPr>
                <w:rFonts w:ascii="ITC Avant Garde" w:hAnsi="ITC Avant Garde"/>
                <w:sz w:val="20"/>
                <w:szCs w:val="20"/>
              </w:rPr>
            </w:pPr>
            <w:r w:rsidRPr="00422CA2">
              <w:rPr>
                <w:rFonts w:ascii="ITC Avant Garde" w:hAnsi="ITC Avant Garde"/>
                <w:sz w:val="20"/>
                <w:szCs w:val="20"/>
              </w:rPr>
              <w:t>Interruptor termomagnético de 15 amperes.</w:t>
            </w:r>
          </w:p>
        </w:tc>
      </w:tr>
      <w:tr w:rsidR="00422CA2" w:rsidRPr="00422CA2" w14:paraId="57254CA5" w14:textId="77777777" w:rsidTr="000520A8">
        <w:trPr>
          <w:trHeight w:val="600"/>
        </w:trPr>
        <w:tc>
          <w:tcPr>
            <w:tcW w:w="1223" w:type="pct"/>
            <w:shd w:val="clear" w:color="auto" w:fill="auto"/>
            <w:noWrap/>
            <w:vAlign w:val="center"/>
            <w:hideMark/>
          </w:tcPr>
          <w:p w14:paraId="3558F297"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Sistema de Tierras</w:t>
            </w:r>
          </w:p>
        </w:tc>
        <w:tc>
          <w:tcPr>
            <w:tcW w:w="3777" w:type="pct"/>
            <w:shd w:val="clear" w:color="auto" w:fill="auto"/>
            <w:vAlign w:val="center"/>
            <w:hideMark/>
          </w:tcPr>
          <w:p w14:paraId="305F67FE"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Conductor principal de puesta a tierra calibre 1/0 AWG con derivación a cada local con cable calibre 6 AWG con un valor máximo de 5 ohms.</w:t>
            </w:r>
          </w:p>
        </w:tc>
      </w:tr>
      <w:tr w:rsidR="00422CA2" w:rsidRPr="00422CA2" w14:paraId="429E2641" w14:textId="77777777" w:rsidTr="000520A8">
        <w:trPr>
          <w:trHeight w:val="600"/>
        </w:trPr>
        <w:tc>
          <w:tcPr>
            <w:tcW w:w="1223" w:type="pct"/>
            <w:shd w:val="clear" w:color="auto" w:fill="auto"/>
            <w:noWrap/>
            <w:vAlign w:val="center"/>
            <w:hideMark/>
          </w:tcPr>
          <w:p w14:paraId="4CFA39D2"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Alimentación</w:t>
            </w:r>
          </w:p>
        </w:tc>
        <w:tc>
          <w:tcPr>
            <w:tcW w:w="3777" w:type="pct"/>
            <w:shd w:val="clear" w:color="auto" w:fill="auto"/>
            <w:vAlign w:val="center"/>
            <w:hideMark/>
          </w:tcPr>
          <w:p w14:paraId="36890C00"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los interruptores termomagnéticos asignados a los CS en el tablero general de energía.</w:t>
            </w:r>
          </w:p>
        </w:tc>
      </w:tr>
      <w:tr w:rsidR="00422CA2" w:rsidRPr="00422CA2" w14:paraId="36FF846D" w14:textId="77777777" w:rsidTr="000520A8">
        <w:trPr>
          <w:trHeight w:val="375"/>
        </w:trPr>
        <w:tc>
          <w:tcPr>
            <w:tcW w:w="5000" w:type="pct"/>
            <w:gridSpan w:val="2"/>
            <w:shd w:val="clear" w:color="auto" w:fill="548DD4"/>
            <w:noWrap/>
            <w:vAlign w:val="center"/>
            <w:hideMark/>
          </w:tcPr>
          <w:p w14:paraId="482E65AD" w14:textId="77777777" w:rsidR="000520A8" w:rsidRPr="00422CA2" w:rsidRDefault="000520A8"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Otros</w:t>
            </w:r>
          </w:p>
        </w:tc>
      </w:tr>
      <w:tr w:rsidR="00422CA2" w:rsidRPr="00422CA2" w14:paraId="15695483" w14:textId="77777777" w:rsidTr="000520A8">
        <w:trPr>
          <w:trHeight w:val="600"/>
        </w:trPr>
        <w:tc>
          <w:tcPr>
            <w:tcW w:w="1223" w:type="pct"/>
            <w:shd w:val="clear" w:color="auto" w:fill="auto"/>
            <w:noWrap/>
            <w:vAlign w:val="center"/>
            <w:hideMark/>
          </w:tcPr>
          <w:p w14:paraId="038816A1"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Acceso</w:t>
            </w:r>
          </w:p>
        </w:tc>
        <w:tc>
          <w:tcPr>
            <w:tcW w:w="3777" w:type="pct"/>
            <w:shd w:val="clear" w:color="auto" w:fill="auto"/>
            <w:vAlign w:val="center"/>
            <w:hideMark/>
          </w:tcPr>
          <w:p w14:paraId="16D8C77A" w14:textId="77777777" w:rsidR="000520A8" w:rsidRPr="00422CA2" w:rsidRDefault="000520A8" w:rsidP="00BF2AEC">
            <w:pPr>
              <w:spacing w:before="60" w:after="60" w:line="276" w:lineRule="auto"/>
              <w:rPr>
                <w:rFonts w:ascii="ITC Avant Garde" w:hAnsi="ITC Avant Garde"/>
                <w:sz w:val="20"/>
                <w:szCs w:val="20"/>
              </w:rPr>
            </w:pPr>
            <w:r w:rsidRPr="00422CA2">
              <w:rPr>
                <w:rFonts w:ascii="ITC Avant Garde" w:hAnsi="ITC Avant Garde"/>
                <w:sz w:val="20"/>
                <w:szCs w:val="20"/>
              </w:rPr>
              <w:t>7X24 hrs. los 365 días del año atendiendo los procedimientos correspondientes y vigentes.</w:t>
            </w:r>
          </w:p>
        </w:tc>
      </w:tr>
    </w:tbl>
    <w:p w14:paraId="3FDE7664" w14:textId="47328B8F" w:rsidR="00397F98" w:rsidRPr="00422CA2" w:rsidRDefault="00397F98" w:rsidP="00E22C66">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Tabla 2</w:t>
      </w:r>
      <w:r w:rsidR="00AB0CAD" w:rsidRPr="00422CA2">
        <w:rPr>
          <w:rFonts w:ascii="ITC Avant Garde" w:hAnsi="ITC Avant Garde"/>
          <w:sz w:val="18"/>
          <w:szCs w:val="18"/>
          <w:lang w:val="es-MX"/>
        </w:rPr>
        <w:t>0</w:t>
      </w:r>
      <w:r w:rsidRPr="00422CA2">
        <w:rPr>
          <w:rFonts w:ascii="ITC Avant Garde" w:hAnsi="ITC Avant Garde"/>
          <w:sz w:val="18"/>
          <w:szCs w:val="18"/>
          <w:lang w:val="es-MX"/>
        </w:rPr>
        <w:t xml:space="preserve"> Características físicas, elementos de sujeción, energía y otros CB</w:t>
      </w:r>
    </w:p>
    <w:p w14:paraId="198217E5" w14:textId="43A63664" w:rsidR="000520A8" w:rsidRPr="00422CA2" w:rsidRDefault="00DE2503" w:rsidP="004F4552">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Si el CS solicita el aprovisionamiento de la energía alterna, directa, clima, espacio, etc. con requerimientos particulares diferentes a los ofrecidos para este tipo de coubicación, la solicitud se atenderá como </w:t>
      </w:r>
      <w:r w:rsidR="0097245E" w:rsidRPr="00422CA2">
        <w:rPr>
          <w:rFonts w:ascii="ITC Avant Garde" w:hAnsi="ITC Avant Garde"/>
          <w:sz w:val="22"/>
          <w:szCs w:val="22"/>
          <w:lang w:val="es-MX"/>
        </w:rPr>
        <w:t>adecuación</w:t>
      </w:r>
      <w:r w:rsidRPr="00422CA2">
        <w:rPr>
          <w:rFonts w:ascii="ITC Avant Garde" w:hAnsi="ITC Avant Garde"/>
          <w:sz w:val="22"/>
          <w:szCs w:val="22"/>
          <w:lang w:val="es-MX"/>
        </w:rPr>
        <w:t xml:space="preserve"> y el CS cubrirá el costo de los consumos excedentes en su facturación mensual.</w:t>
      </w:r>
    </w:p>
    <w:p w14:paraId="666A31B9" w14:textId="33338B7B" w:rsidR="00DE2503" w:rsidRPr="00422CA2" w:rsidRDefault="00DE2503" w:rsidP="00586B55">
      <w:pPr>
        <w:pStyle w:val="Ttulo1"/>
      </w:pPr>
      <w:bookmarkStart w:id="573" w:name="_Toc436840922"/>
      <w:bookmarkStart w:id="574" w:name="_Toc436846359"/>
      <w:bookmarkStart w:id="575" w:name="_Toc436848309"/>
      <w:bookmarkStart w:id="576" w:name="_Toc436856557"/>
      <w:bookmarkStart w:id="577" w:name="_Toc436862703"/>
      <w:bookmarkStart w:id="578" w:name="_Toc436866353"/>
      <w:bookmarkStart w:id="579" w:name="_Toc436870932"/>
      <w:bookmarkStart w:id="580" w:name="_Toc436875924"/>
      <w:bookmarkStart w:id="581" w:name="_Toc437602111"/>
      <w:r w:rsidRPr="00422CA2">
        <w:t>7.3</w:t>
      </w:r>
      <w:r w:rsidRPr="00422CA2">
        <w:tab/>
        <w:t>Coubicación Equipada (CEq)</w:t>
      </w:r>
      <w:bookmarkEnd w:id="573"/>
      <w:bookmarkEnd w:id="574"/>
      <w:bookmarkEnd w:id="575"/>
      <w:bookmarkEnd w:id="576"/>
      <w:bookmarkEnd w:id="577"/>
      <w:bookmarkEnd w:id="578"/>
      <w:bookmarkEnd w:id="579"/>
      <w:bookmarkEnd w:id="580"/>
      <w:bookmarkEnd w:id="581"/>
    </w:p>
    <w:p w14:paraId="3FAFCEEB" w14:textId="77777777"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servicio de Coubicación Equipada (CEq) consiste en espacios para coubicación acondicionados, habilitados y provistos con gabinetes listos para instalar equipos propiedad de los CS. El mantenimiento de los gabinetes será responsabilidad de Telmex, no así el de los equipos instalados por los CS.</w:t>
      </w:r>
    </w:p>
    <w:p w14:paraId="5226DA0F" w14:textId="77777777" w:rsidR="00A737C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esta modalidad de coubicación, los espacios no estarán delimitados individualmente por paredes y Telmex será el encargado de la administración del espacio, atendiendo las solicitudes conforme fueron ingresadas por los CS para el servicio de CEq. Las solicitudes para este tipo de coubicación podrán ser por gabinete o Unidad de Rack (UR) y serán evaluadas por Telmex de conformidad con lo aplicable para la asignación de espacio y potencia en sus Centrales Telefónicas y/o Instalaciones Equivalentes. </w:t>
      </w:r>
    </w:p>
    <w:p w14:paraId="4A5CB960" w14:textId="77777777" w:rsidR="00A737C6" w:rsidRPr="00422CA2" w:rsidRDefault="00A737C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que Telmex asegure que las posiciones asignadas en los gabinetes no excedan el peso máximo permitido para la estructura y que la alimentación </w:t>
      </w:r>
      <w:r w:rsidRPr="00422CA2">
        <w:rPr>
          <w:rFonts w:ascii="ITC Avant Garde" w:hAnsi="ITC Avant Garde"/>
          <w:sz w:val="22"/>
          <w:szCs w:val="22"/>
          <w:lang w:val="es-MX"/>
        </w:rPr>
        <w:lastRenderedPageBreak/>
        <w:t xml:space="preserve">eléctrica sea suficiente para el correcto y eficiente funcionamiento de los equipos a instalar, el CS será responsable de requerir a Telmex las facilidades técnicas necesarias para soportar la operación de sus equipos, por lo que deberá llenar correctamente el formato de Solicitud para el Servicio de Coubicación para Desagregación, y en caso de ser necesario, el formato de Solicitud de Espacio y Potencia para Coubicación Equipada por Unidad de Rack. </w:t>
      </w:r>
    </w:p>
    <w:p w14:paraId="0F7E3E47" w14:textId="77777777"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Se entiende por Gabinete la estructura cerrada independiente y auto soportada para alojar equipo electrónico. Por lo general equipado con puertas de acceso y paneles laterales que pueden o no ser extraíbles. </w:t>
      </w:r>
    </w:p>
    <w:p w14:paraId="081300BE" w14:textId="77777777"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Unidad de Rack (UR) por otro lado, es una unidad utilizada para dimensionar, generalmente en su altura, los equipos y elementos a montar sobre un rack o gabinete. El estándar EIA dispone el uso de la unidad de medida denominada como "unidad de rack" con una dimensión equivalente al sistema métrico decimal de 44.45 milímetros o 1.75 pulgadas en el sistema inglés.</w:t>
      </w:r>
    </w:p>
    <w:p w14:paraId="7622DE2A" w14:textId="3A0CD4AA"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habilitar una Coubicación Equipada la demanda inicial de coubicación para una Central Telefónica o Instalación Equivalente deberá ser igual o superior a 12 gabinetes</w:t>
      </w:r>
      <w:r w:rsidR="00A850FA" w:rsidRPr="00422CA2">
        <w:rPr>
          <w:rStyle w:val="Refdenotaalpie"/>
          <w:rFonts w:ascii="ITC Avant Garde" w:hAnsi="ITC Avant Garde"/>
          <w:sz w:val="22"/>
          <w:szCs w:val="22"/>
          <w:lang w:val="es-MX"/>
        </w:rPr>
        <w:footnoteReference w:id="42"/>
      </w:r>
      <w:r w:rsidRPr="00422CA2">
        <w:rPr>
          <w:rFonts w:ascii="ITC Avant Garde" w:hAnsi="ITC Avant Garde"/>
          <w:sz w:val="22"/>
          <w:szCs w:val="22"/>
          <w:lang w:val="es-MX"/>
        </w:rPr>
        <w:t>. Este tipo de coubicación se hará disponible únicamente para coubicaciones internas; por su ubicación, dimensiones y facilidades, podrá albergar  a distintos Concesionarios o a uno solo si es que este último cubre todos los costos asociados, en cuyo caso, podrá compartir dicho espacio para coubicación con otros CS. El CS deberá indicar la modalidad de coubicación requerida en el formato de solicitud del servicio.</w:t>
      </w:r>
    </w:p>
    <w:p w14:paraId="6FEAC937" w14:textId="77777777"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Gabinete será instalado por Telmex con base en su normatividad y podrá exclusivamente ser utilizada para la prestación de Servicios de Desagregación y los asociados a estos. El equipo que se instale dentro del Gabinete cerrado por parte del CS, deberá cumplir con el estándar EIA-310.</w:t>
      </w:r>
    </w:p>
    <w:p w14:paraId="42F633B1" w14:textId="74EFC960" w:rsidR="000178E6"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un CS realice una solicitud de CEq en una Central Telefónica o Instalación Equivalente y dicha solicitud no cumpla con la cantidad mínima de gabinetes, Telmex publicará en el Sistema de Captura o el SEG una vez que entre en operación, el CLLI de la Central Telefónica o Instalación Equivalente solicitada, su </w:t>
      </w:r>
      <w:r w:rsidR="003F2683" w:rsidRPr="00422CA2">
        <w:rPr>
          <w:rFonts w:ascii="ITC Avant Garde" w:hAnsi="ITC Avant Garde"/>
          <w:sz w:val="22"/>
          <w:szCs w:val="22"/>
          <w:lang w:val="es-MX"/>
        </w:rPr>
        <w:t xml:space="preserve">nombre o siglas, </w:t>
      </w:r>
      <w:r w:rsidRPr="00422CA2">
        <w:rPr>
          <w:rFonts w:ascii="ITC Avant Garde" w:hAnsi="ITC Avant Garde"/>
          <w:sz w:val="22"/>
          <w:szCs w:val="22"/>
          <w:lang w:val="es-MX"/>
        </w:rPr>
        <w:t xml:space="preserve">zona de cobertura y la cantidad de gabinetes solicitados al momento de la publicación, sin incluir la razón social de los solicitantes. La </w:t>
      </w:r>
      <w:r w:rsidRPr="00422CA2">
        <w:rPr>
          <w:rFonts w:ascii="ITC Avant Garde" w:hAnsi="ITC Avant Garde"/>
          <w:sz w:val="22"/>
          <w:szCs w:val="22"/>
          <w:lang w:val="es-MX"/>
        </w:rPr>
        <w:lastRenderedPageBreak/>
        <w:t xml:space="preserve">información se actualizará conforme se registren nuevas solicitudes para la Central Telefónica o Instalación Equivalente publicada. </w:t>
      </w:r>
    </w:p>
    <w:p w14:paraId="7BD1F525" w14:textId="33CBA976" w:rsidR="00DE2503" w:rsidRPr="00422CA2" w:rsidRDefault="000178E6" w:rsidP="000178E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oferta para habilitar el servicio permanecerá abierta 30 días hábiles, al término de este plazo se iniciará con el proceso de habilitación de la Coubicación Equipada o de no cumplir con los requisitos se le ofrecerá al CS la Coubicación Cerrada.</w:t>
      </w:r>
    </w:p>
    <w:p w14:paraId="35EB0B84" w14:textId="2675B238" w:rsidR="00DE2503" w:rsidRPr="00422CA2" w:rsidRDefault="000178E6" w:rsidP="00DE2503">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Características técnicas mínimas para Coubicación Equipada (CEq)</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70" w:type="dxa"/>
          <w:right w:w="70" w:type="dxa"/>
        </w:tblCellMar>
        <w:tblLook w:val="04A0" w:firstRow="1" w:lastRow="0" w:firstColumn="1" w:lastColumn="0" w:noHBand="0" w:noVBand="1"/>
      </w:tblPr>
      <w:tblGrid>
        <w:gridCol w:w="2160"/>
        <w:gridCol w:w="6670"/>
      </w:tblGrid>
      <w:tr w:rsidR="00422CA2" w:rsidRPr="00422CA2" w14:paraId="664ED3E4" w14:textId="77777777" w:rsidTr="00A850FA">
        <w:trPr>
          <w:trHeight w:val="375"/>
        </w:trPr>
        <w:tc>
          <w:tcPr>
            <w:tcW w:w="5000" w:type="pct"/>
            <w:gridSpan w:val="2"/>
            <w:shd w:val="clear" w:color="auto" w:fill="548DD4"/>
            <w:noWrap/>
            <w:vAlign w:val="center"/>
            <w:hideMark/>
          </w:tcPr>
          <w:p w14:paraId="3A97A2D7" w14:textId="77777777" w:rsidR="00A850FA" w:rsidRPr="00422CA2" w:rsidRDefault="00A85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Características Físicas</w:t>
            </w:r>
          </w:p>
        </w:tc>
      </w:tr>
      <w:tr w:rsidR="00422CA2" w:rsidRPr="00422CA2" w14:paraId="2BD2563E" w14:textId="77777777" w:rsidTr="00646800">
        <w:trPr>
          <w:trHeight w:val="300"/>
        </w:trPr>
        <w:tc>
          <w:tcPr>
            <w:tcW w:w="1223" w:type="pct"/>
            <w:shd w:val="clear" w:color="FFFFFF" w:fill="auto"/>
            <w:noWrap/>
            <w:vAlign w:val="center"/>
            <w:hideMark/>
          </w:tcPr>
          <w:p w14:paraId="7923BE19"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Espacio</w:t>
            </w:r>
          </w:p>
        </w:tc>
        <w:tc>
          <w:tcPr>
            <w:tcW w:w="3777" w:type="pct"/>
            <w:shd w:val="clear" w:color="FFFFFF" w:fill="auto"/>
            <w:vAlign w:val="center"/>
            <w:hideMark/>
          </w:tcPr>
          <w:p w14:paraId="6B40B0FA"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 20m</w:t>
            </w:r>
            <w:r w:rsidRPr="00422CA2">
              <w:rPr>
                <w:rFonts w:ascii="ITC Avant Garde" w:hAnsi="ITC Avant Garde"/>
                <w:sz w:val="20"/>
                <w:szCs w:val="20"/>
                <w:vertAlign w:val="superscript"/>
              </w:rPr>
              <w:t>2</w:t>
            </w:r>
          </w:p>
        </w:tc>
      </w:tr>
      <w:tr w:rsidR="00422CA2" w:rsidRPr="00422CA2" w14:paraId="4F382B30" w14:textId="77777777" w:rsidTr="00646800">
        <w:trPr>
          <w:trHeight w:val="600"/>
        </w:trPr>
        <w:tc>
          <w:tcPr>
            <w:tcW w:w="1223" w:type="pct"/>
            <w:shd w:val="clear" w:color="FFFFFF" w:fill="auto"/>
            <w:noWrap/>
            <w:vAlign w:val="center"/>
            <w:hideMark/>
          </w:tcPr>
          <w:p w14:paraId="3F433FE5"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Acabado del Piso</w:t>
            </w:r>
          </w:p>
        </w:tc>
        <w:tc>
          <w:tcPr>
            <w:tcW w:w="3777" w:type="pct"/>
            <w:shd w:val="clear" w:color="FFFFFF" w:fill="auto"/>
            <w:vAlign w:val="center"/>
            <w:hideMark/>
          </w:tcPr>
          <w:p w14:paraId="11F716F3"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Firme, de concreto y con resistencia para carga de 800 kg/m</w:t>
            </w:r>
            <w:r w:rsidRPr="00422CA2">
              <w:rPr>
                <w:rFonts w:ascii="ITC Avant Garde" w:hAnsi="ITC Avant Garde"/>
                <w:sz w:val="20"/>
                <w:szCs w:val="20"/>
                <w:vertAlign w:val="superscript"/>
              </w:rPr>
              <w:t>2</w:t>
            </w:r>
            <w:r w:rsidRPr="00422CA2">
              <w:rPr>
                <w:rFonts w:ascii="ITC Avant Garde" w:hAnsi="ITC Avant Garde"/>
                <w:sz w:val="20"/>
                <w:szCs w:val="20"/>
              </w:rPr>
              <w:t>, sin ondulaciones con 3 mm máximo de desnivel y cubierto con loseta vinílica.</w:t>
            </w:r>
          </w:p>
        </w:tc>
      </w:tr>
      <w:tr w:rsidR="00422CA2" w:rsidRPr="00422CA2" w14:paraId="4B701824" w14:textId="77777777" w:rsidTr="00646800">
        <w:trPr>
          <w:trHeight w:val="600"/>
        </w:trPr>
        <w:tc>
          <w:tcPr>
            <w:tcW w:w="1223" w:type="pct"/>
            <w:shd w:val="clear" w:color="FFFFFF" w:fill="auto"/>
            <w:noWrap/>
            <w:vAlign w:val="center"/>
            <w:hideMark/>
          </w:tcPr>
          <w:p w14:paraId="38DDB225"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Altura</w:t>
            </w:r>
          </w:p>
        </w:tc>
        <w:tc>
          <w:tcPr>
            <w:tcW w:w="3777" w:type="pct"/>
            <w:shd w:val="clear" w:color="FFFFFF" w:fill="auto"/>
            <w:vAlign w:val="center"/>
            <w:hideMark/>
          </w:tcPr>
          <w:p w14:paraId="2C0809E3"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3.0 m para instalación de equipo. Los ductos y escalerillas estarán dentro de esta altura (2.40 m).</w:t>
            </w:r>
          </w:p>
        </w:tc>
      </w:tr>
      <w:tr w:rsidR="00422CA2" w:rsidRPr="00422CA2" w14:paraId="40D22DE9" w14:textId="77777777" w:rsidTr="00646800">
        <w:trPr>
          <w:trHeight w:val="300"/>
        </w:trPr>
        <w:tc>
          <w:tcPr>
            <w:tcW w:w="1223" w:type="pct"/>
            <w:shd w:val="clear" w:color="FFFFFF" w:fill="auto"/>
            <w:noWrap/>
            <w:vAlign w:val="center"/>
            <w:hideMark/>
          </w:tcPr>
          <w:p w14:paraId="265AEC47"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Temperatura</w:t>
            </w:r>
          </w:p>
        </w:tc>
        <w:tc>
          <w:tcPr>
            <w:tcW w:w="3777" w:type="pct"/>
            <w:shd w:val="clear" w:color="FFFFFF" w:fill="auto"/>
            <w:vAlign w:val="center"/>
            <w:hideMark/>
          </w:tcPr>
          <w:p w14:paraId="09273969"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Entre 10 y 25 °C y una humedad relativa entre 40 a 60%</w:t>
            </w:r>
          </w:p>
        </w:tc>
      </w:tr>
      <w:tr w:rsidR="00422CA2" w:rsidRPr="00422CA2" w14:paraId="02E803DA" w14:textId="77777777" w:rsidTr="00646800">
        <w:trPr>
          <w:trHeight w:val="600"/>
        </w:trPr>
        <w:tc>
          <w:tcPr>
            <w:tcW w:w="1223" w:type="pct"/>
            <w:shd w:val="clear" w:color="FFFFFF" w:fill="auto"/>
            <w:noWrap/>
            <w:vAlign w:val="center"/>
            <w:hideMark/>
          </w:tcPr>
          <w:p w14:paraId="5A382965"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w:t>
            </w:r>
          </w:p>
        </w:tc>
        <w:tc>
          <w:tcPr>
            <w:tcW w:w="3777" w:type="pct"/>
            <w:shd w:val="clear" w:color="FFFFFF" w:fill="auto"/>
            <w:vAlign w:val="center"/>
            <w:hideMark/>
          </w:tcPr>
          <w:p w14:paraId="3798FB28"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Iluminación general de sala de 300 luxes medidos en forma vertical bajo la lámpara en la parte anterior y posterior del equipo instalado.</w:t>
            </w:r>
          </w:p>
        </w:tc>
      </w:tr>
      <w:tr w:rsidR="00422CA2" w:rsidRPr="00422CA2" w14:paraId="08D13FCA" w14:textId="77777777" w:rsidTr="00646800">
        <w:trPr>
          <w:trHeight w:val="1800"/>
        </w:trPr>
        <w:tc>
          <w:tcPr>
            <w:tcW w:w="1223" w:type="pct"/>
            <w:shd w:val="clear" w:color="FFFFFF" w:fill="auto"/>
            <w:noWrap/>
            <w:vAlign w:val="center"/>
            <w:hideMark/>
          </w:tcPr>
          <w:p w14:paraId="19E87F44"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Local Interior</w:t>
            </w:r>
          </w:p>
        </w:tc>
        <w:tc>
          <w:tcPr>
            <w:tcW w:w="3777" w:type="pct"/>
            <w:shd w:val="clear" w:color="FFFFFF" w:fill="auto"/>
            <w:vAlign w:val="center"/>
            <w:hideMark/>
          </w:tcPr>
          <w:p w14:paraId="0767089C" w14:textId="77777777" w:rsidR="00A850FA" w:rsidRPr="00422CA2" w:rsidRDefault="00A850FA" w:rsidP="00BF2AEC">
            <w:pPr>
              <w:pStyle w:val="Prrafodelista"/>
              <w:numPr>
                <w:ilvl w:val="0"/>
                <w:numId w:val="173"/>
              </w:numPr>
              <w:spacing w:before="60" w:after="60" w:line="276" w:lineRule="auto"/>
              <w:ind w:left="355"/>
              <w:rPr>
                <w:rFonts w:ascii="ITC Avant Garde" w:hAnsi="ITC Avant Garde"/>
                <w:sz w:val="20"/>
                <w:szCs w:val="20"/>
              </w:rPr>
            </w:pPr>
            <w:r w:rsidRPr="00422CA2">
              <w:rPr>
                <w:rFonts w:ascii="ITC Avant Garde" w:hAnsi="ITC Avant Garde"/>
                <w:sz w:val="20"/>
                <w:szCs w:val="20"/>
              </w:rPr>
              <w:t xml:space="preserve">Paredes de tabla roca de 3.00 metros de altura, pudiendo utilizar las paredes existentes. </w:t>
            </w:r>
          </w:p>
          <w:p w14:paraId="16C1F5EE" w14:textId="77777777" w:rsidR="00A850FA" w:rsidRPr="00422CA2" w:rsidRDefault="00A850FA" w:rsidP="00BF2AEC">
            <w:pPr>
              <w:pStyle w:val="Prrafodelista"/>
              <w:numPr>
                <w:ilvl w:val="0"/>
                <w:numId w:val="173"/>
              </w:numPr>
              <w:spacing w:before="60" w:after="60" w:line="276" w:lineRule="auto"/>
              <w:ind w:left="355"/>
              <w:rPr>
                <w:rFonts w:ascii="ITC Avant Garde" w:hAnsi="ITC Avant Garde"/>
                <w:sz w:val="20"/>
                <w:szCs w:val="20"/>
              </w:rPr>
            </w:pPr>
            <w:r w:rsidRPr="00422CA2">
              <w:rPr>
                <w:rFonts w:ascii="ITC Avant Garde" w:hAnsi="ITC Avant Garde"/>
                <w:sz w:val="20"/>
                <w:szCs w:val="20"/>
              </w:rPr>
              <w:t>Pintura vinílica color blanco ostión en el interior, el exterior debe ser igual a la pintura existente en la sala.</w:t>
            </w:r>
          </w:p>
          <w:p w14:paraId="2A047A36" w14:textId="77777777" w:rsidR="00A850FA" w:rsidRPr="00422CA2" w:rsidRDefault="00A850FA" w:rsidP="00BF2AEC">
            <w:pPr>
              <w:pStyle w:val="Prrafodelista"/>
              <w:numPr>
                <w:ilvl w:val="0"/>
                <w:numId w:val="173"/>
              </w:numPr>
              <w:spacing w:before="60" w:after="60" w:line="276" w:lineRule="auto"/>
              <w:ind w:left="355"/>
              <w:rPr>
                <w:rFonts w:ascii="ITC Avant Garde" w:hAnsi="ITC Avant Garde"/>
                <w:sz w:val="20"/>
                <w:szCs w:val="20"/>
              </w:rPr>
            </w:pPr>
            <w:r w:rsidRPr="00422CA2">
              <w:rPr>
                <w:rFonts w:ascii="ITC Avant Garde" w:hAnsi="ITC Avant Garde"/>
                <w:sz w:val="20"/>
                <w:szCs w:val="20"/>
              </w:rPr>
              <w:t>Techo de rejilux, plafón o bien la misma losa de concreto de la instalación.</w:t>
            </w:r>
          </w:p>
        </w:tc>
      </w:tr>
      <w:tr w:rsidR="00422CA2" w:rsidRPr="00422CA2" w14:paraId="72CA9AF2" w14:textId="77777777" w:rsidTr="00646800">
        <w:trPr>
          <w:trHeight w:val="300"/>
        </w:trPr>
        <w:tc>
          <w:tcPr>
            <w:tcW w:w="1223" w:type="pct"/>
            <w:shd w:val="clear" w:color="FFFFFF" w:fill="auto"/>
            <w:noWrap/>
            <w:vAlign w:val="center"/>
            <w:hideMark/>
          </w:tcPr>
          <w:p w14:paraId="5E88D783"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Capacidad</w:t>
            </w:r>
          </w:p>
        </w:tc>
        <w:tc>
          <w:tcPr>
            <w:tcW w:w="3777" w:type="pct"/>
            <w:shd w:val="clear" w:color="FFFFFF" w:fill="auto"/>
            <w:vAlign w:val="center"/>
            <w:hideMark/>
          </w:tcPr>
          <w:p w14:paraId="42C0A018"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12 Gabinetes</w:t>
            </w:r>
          </w:p>
        </w:tc>
      </w:tr>
      <w:tr w:rsidR="00422CA2" w:rsidRPr="00422CA2" w14:paraId="472D3BA6" w14:textId="77777777" w:rsidTr="00646800">
        <w:trPr>
          <w:trHeight w:val="4200"/>
        </w:trPr>
        <w:tc>
          <w:tcPr>
            <w:tcW w:w="1223" w:type="pct"/>
            <w:shd w:val="clear" w:color="FFFFFF" w:fill="auto"/>
            <w:noWrap/>
            <w:vAlign w:val="center"/>
            <w:hideMark/>
          </w:tcPr>
          <w:p w14:paraId="61A73B23"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lastRenderedPageBreak/>
              <w:t>Gabinete</w:t>
            </w:r>
          </w:p>
        </w:tc>
        <w:tc>
          <w:tcPr>
            <w:tcW w:w="3777" w:type="pct"/>
            <w:shd w:val="clear" w:color="FFFFFF" w:fill="auto"/>
            <w:vAlign w:val="center"/>
            <w:hideMark/>
          </w:tcPr>
          <w:p w14:paraId="6794860E"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Equipado con puertas de acceso frontal y trasera, de malla perforada que permita la libre circulación del aire, con chapa de seguridad y con eje vertical que permita el libre cierre y apertura.</w:t>
            </w:r>
          </w:p>
          <w:p w14:paraId="47E7A6D8"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Paneles laterales desmontables.</w:t>
            </w:r>
          </w:p>
          <w:p w14:paraId="1CF88B8E"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Peso máximo a soportar 250 kg.</w:t>
            </w:r>
          </w:p>
          <w:p w14:paraId="060E8D52"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Con superficie frontal destinada al etiquetado e identificación. Puede ser en la parte superior del marco de la puerta o, en uno de los costados del marco de la misma.</w:t>
            </w:r>
          </w:p>
          <w:p w14:paraId="7750483F"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Preparado para instalar ventiladores en la parte superior.</w:t>
            </w:r>
          </w:p>
          <w:p w14:paraId="5DF08156"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Con estructura para permitir el libre ruteo de cables para fuerza y datos.</w:t>
            </w:r>
          </w:p>
          <w:p w14:paraId="6E9EA22C"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Con rieles y/o guías para recorrer hacia el frente o hacia atrás los postes del rack.</w:t>
            </w:r>
          </w:p>
          <w:p w14:paraId="56C05B55"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Con acceso  superior, inferior y trasero para cableado.</w:t>
            </w:r>
          </w:p>
          <w:p w14:paraId="2C7CB4B5" w14:textId="77777777" w:rsidR="00A850FA" w:rsidRPr="00422CA2" w:rsidRDefault="00A850FA" w:rsidP="00BF2AEC">
            <w:pPr>
              <w:pStyle w:val="Prrafodelista"/>
              <w:numPr>
                <w:ilvl w:val="0"/>
                <w:numId w:val="174"/>
              </w:numPr>
              <w:spacing w:before="60" w:after="60" w:line="276" w:lineRule="auto"/>
              <w:ind w:left="355"/>
              <w:rPr>
                <w:rFonts w:ascii="ITC Avant Garde" w:hAnsi="ITC Avant Garde"/>
                <w:sz w:val="20"/>
                <w:szCs w:val="20"/>
              </w:rPr>
            </w:pPr>
            <w:r w:rsidRPr="00422CA2">
              <w:rPr>
                <w:rFonts w:ascii="ITC Avant Garde" w:hAnsi="ITC Avant Garde"/>
                <w:sz w:val="20"/>
                <w:szCs w:val="20"/>
              </w:rPr>
              <w:t>Sistema de ventilación alimentado por el PDU.</w:t>
            </w:r>
          </w:p>
        </w:tc>
      </w:tr>
      <w:tr w:rsidR="00422CA2" w:rsidRPr="00422CA2" w14:paraId="01CDD037" w14:textId="77777777" w:rsidTr="00E22C66">
        <w:trPr>
          <w:trHeight w:val="566"/>
        </w:trPr>
        <w:tc>
          <w:tcPr>
            <w:tcW w:w="1223" w:type="pct"/>
            <w:shd w:val="clear" w:color="FFFFFF" w:fill="auto"/>
            <w:noWrap/>
            <w:vAlign w:val="center"/>
            <w:hideMark/>
          </w:tcPr>
          <w:p w14:paraId="2D563C7A"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Rack Interior</w:t>
            </w:r>
          </w:p>
        </w:tc>
        <w:tc>
          <w:tcPr>
            <w:tcW w:w="3777" w:type="pct"/>
            <w:shd w:val="clear" w:color="auto" w:fill="auto"/>
            <w:vAlign w:val="center"/>
            <w:hideMark/>
          </w:tcPr>
          <w:p w14:paraId="605AE0BF" w14:textId="798347B3" w:rsidR="00A850FA" w:rsidRPr="00422CA2" w:rsidRDefault="00A850FA" w:rsidP="00E22C66">
            <w:pPr>
              <w:pStyle w:val="Prrafodelista"/>
              <w:numPr>
                <w:ilvl w:val="0"/>
                <w:numId w:val="175"/>
              </w:numPr>
              <w:spacing w:before="60" w:after="60" w:line="276" w:lineRule="auto"/>
              <w:ind w:left="355"/>
              <w:rPr>
                <w:rFonts w:ascii="ITC Avant Garde" w:hAnsi="ITC Avant Garde"/>
                <w:sz w:val="20"/>
                <w:szCs w:val="20"/>
              </w:rPr>
            </w:pPr>
            <w:r w:rsidRPr="00422CA2">
              <w:rPr>
                <w:rFonts w:ascii="ITC Avant Garde" w:hAnsi="ITC Avant Garde"/>
                <w:sz w:val="20"/>
                <w:szCs w:val="20"/>
              </w:rPr>
              <w:t>Rack interior de 4 postes</w:t>
            </w:r>
            <w:r w:rsidR="00075D3F" w:rsidRPr="00422CA2">
              <w:rPr>
                <w:rFonts w:ascii="ITC Avant Garde" w:hAnsi="ITC Avant Garde"/>
                <w:sz w:val="20"/>
                <w:szCs w:val="20"/>
              </w:rPr>
              <w:t xml:space="preserve"> 19”</w:t>
            </w:r>
          </w:p>
          <w:p w14:paraId="196CE3B8" w14:textId="508DFEB5" w:rsidR="00A850FA" w:rsidRPr="00422CA2" w:rsidRDefault="00A850FA" w:rsidP="00BF2AEC">
            <w:pPr>
              <w:pStyle w:val="Prrafodelista"/>
              <w:numPr>
                <w:ilvl w:val="0"/>
                <w:numId w:val="175"/>
              </w:numPr>
              <w:spacing w:before="60" w:after="60" w:line="276" w:lineRule="auto"/>
              <w:ind w:left="355"/>
              <w:rPr>
                <w:rFonts w:ascii="ITC Avant Garde" w:hAnsi="ITC Avant Garde"/>
                <w:sz w:val="20"/>
                <w:szCs w:val="20"/>
              </w:rPr>
            </w:pPr>
            <w:r w:rsidRPr="00422CA2">
              <w:rPr>
                <w:rFonts w:ascii="ITC Avant Garde" w:hAnsi="ITC Avant Garde"/>
                <w:sz w:val="20"/>
                <w:szCs w:val="20"/>
              </w:rPr>
              <w:t xml:space="preserve">Con </w:t>
            </w:r>
            <w:r w:rsidR="007B4D19" w:rsidRPr="00422CA2">
              <w:rPr>
                <w:rFonts w:ascii="ITC Avant Garde" w:hAnsi="ITC Avant Garde"/>
                <w:sz w:val="20"/>
                <w:szCs w:val="20"/>
              </w:rPr>
              <w:t xml:space="preserve">44 </w:t>
            </w:r>
            <w:r w:rsidRPr="00422CA2">
              <w:rPr>
                <w:rFonts w:ascii="ITC Avant Garde" w:hAnsi="ITC Avant Garde"/>
                <w:sz w:val="20"/>
                <w:szCs w:val="20"/>
              </w:rPr>
              <w:t>unidades de rack</w:t>
            </w:r>
            <w:r w:rsidR="00615DEE" w:rsidRPr="00422CA2">
              <w:rPr>
                <w:rFonts w:ascii="ITC Avant Garde" w:hAnsi="ITC Avant Garde"/>
                <w:sz w:val="20"/>
                <w:szCs w:val="20"/>
              </w:rPr>
              <w:t xml:space="preserve"> (UR)</w:t>
            </w:r>
            <w:r w:rsidRPr="00422CA2">
              <w:rPr>
                <w:rFonts w:ascii="ITC Avant Garde" w:hAnsi="ITC Avant Garde"/>
                <w:sz w:val="20"/>
                <w:szCs w:val="20"/>
              </w:rPr>
              <w:t xml:space="preserve"> disponibles para instalación de equipo.</w:t>
            </w:r>
            <w:r w:rsidR="00615DEE" w:rsidRPr="00422CA2">
              <w:rPr>
                <w:rFonts w:ascii="ITC Avant Garde" w:hAnsi="ITC Avant Garde"/>
                <w:sz w:val="20"/>
                <w:szCs w:val="20"/>
              </w:rPr>
              <w:t xml:space="preserve"> (6 UR reservadas para el PDU –Unidad de Distribución de Energía- y el sistema de ventilación)</w:t>
            </w:r>
          </w:p>
          <w:p w14:paraId="0168C5A4" w14:textId="77777777" w:rsidR="00A850FA" w:rsidRPr="00422CA2" w:rsidRDefault="00A850FA" w:rsidP="00BF2AEC">
            <w:pPr>
              <w:pStyle w:val="Prrafodelista"/>
              <w:numPr>
                <w:ilvl w:val="0"/>
                <w:numId w:val="175"/>
              </w:numPr>
              <w:spacing w:before="60" w:after="60" w:line="276" w:lineRule="auto"/>
              <w:ind w:left="355"/>
              <w:rPr>
                <w:rFonts w:ascii="ITC Avant Garde" w:hAnsi="ITC Avant Garde"/>
                <w:sz w:val="20"/>
                <w:szCs w:val="20"/>
              </w:rPr>
            </w:pPr>
            <w:r w:rsidRPr="00422CA2">
              <w:rPr>
                <w:rFonts w:ascii="ITC Avant Garde" w:hAnsi="ITC Avant Garde"/>
                <w:sz w:val="20"/>
                <w:szCs w:val="20"/>
              </w:rPr>
              <w:t>Perforaciones cuadradas de 9.5 mm para tuercas enjauladas.</w:t>
            </w:r>
          </w:p>
          <w:p w14:paraId="2B72D61B" w14:textId="77777777" w:rsidR="00A850FA" w:rsidRPr="00422CA2" w:rsidRDefault="00A850FA" w:rsidP="00BF2AEC">
            <w:pPr>
              <w:pStyle w:val="Prrafodelista"/>
              <w:numPr>
                <w:ilvl w:val="0"/>
                <w:numId w:val="175"/>
              </w:numPr>
              <w:spacing w:before="60" w:after="60" w:line="276" w:lineRule="auto"/>
              <w:ind w:left="355"/>
              <w:rPr>
                <w:rFonts w:ascii="ITC Avant Garde" w:hAnsi="ITC Avant Garde"/>
                <w:sz w:val="20"/>
                <w:szCs w:val="20"/>
              </w:rPr>
            </w:pPr>
            <w:r w:rsidRPr="00422CA2">
              <w:rPr>
                <w:rFonts w:ascii="ITC Avant Garde" w:hAnsi="ITC Avant Garde"/>
                <w:sz w:val="20"/>
                <w:szCs w:val="20"/>
              </w:rPr>
              <w:t>Con kit de 50 tornillos con tuercas (en caso de perforaciones circulares) o jaulas con tuercas (en caso de perforaciones cuadradas).</w:t>
            </w:r>
          </w:p>
          <w:p w14:paraId="6F8CA61E" w14:textId="77777777" w:rsidR="00A850FA" w:rsidRPr="00422CA2" w:rsidRDefault="00A850FA" w:rsidP="00BF2AEC">
            <w:pPr>
              <w:pStyle w:val="Prrafodelista"/>
              <w:numPr>
                <w:ilvl w:val="0"/>
                <w:numId w:val="175"/>
              </w:numPr>
              <w:spacing w:before="60" w:after="60" w:line="276" w:lineRule="auto"/>
              <w:ind w:left="355"/>
              <w:rPr>
                <w:rFonts w:ascii="ITC Avant Garde" w:hAnsi="ITC Avant Garde"/>
                <w:sz w:val="20"/>
                <w:szCs w:val="20"/>
              </w:rPr>
            </w:pPr>
            <w:r w:rsidRPr="00422CA2">
              <w:rPr>
                <w:rFonts w:ascii="ITC Avant Garde" w:hAnsi="ITC Avant Garde"/>
                <w:sz w:val="20"/>
                <w:szCs w:val="20"/>
              </w:rPr>
              <w:t>Con opción para utilizar tornillos #10-32, #12-24 y M6.</w:t>
            </w:r>
          </w:p>
        </w:tc>
      </w:tr>
      <w:tr w:rsidR="00422CA2" w:rsidRPr="00422CA2" w14:paraId="62961156" w14:textId="77777777" w:rsidTr="00646800">
        <w:trPr>
          <w:trHeight w:val="600"/>
        </w:trPr>
        <w:tc>
          <w:tcPr>
            <w:tcW w:w="1223" w:type="pct"/>
            <w:shd w:val="clear" w:color="FFFFFF" w:fill="auto"/>
            <w:vAlign w:val="center"/>
            <w:hideMark/>
          </w:tcPr>
          <w:p w14:paraId="4FB97ADD"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Peso por unidad de área del rack totalmente equipado</w:t>
            </w:r>
          </w:p>
        </w:tc>
        <w:tc>
          <w:tcPr>
            <w:tcW w:w="3777" w:type="pct"/>
            <w:shd w:val="clear" w:color="FFFFFF" w:fill="auto"/>
            <w:vAlign w:val="center"/>
            <w:hideMark/>
          </w:tcPr>
          <w:p w14:paraId="19AB4290"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Ideal = 15 kN/m</w:t>
            </w:r>
            <w:r w:rsidRPr="00422CA2">
              <w:rPr>
                <w:rFonts w:ascii="ITC Avant Garde" w:hAnsi="ITC Avant Garde"/>
                <w:sz w:val="20"/>
                <w:szCs w:val="20"/>
                <w:vertAlign w:val="superscript"/>
              </w:rPr>
              <w:t>2</w:t>
            </w:r>
          </w:p>
          <w:p w14:paraId="5A25435C"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Máximo = 20 kN/m</w:t>
            </w:r>
            <w:r w:rsidRPr="00422CA2">
              <w:rPr>
                <w:rFonts w:ascii="ITC Avant Garde" w:hAnsi="ITC Avant Garde"/>
                <w:sz w:val="20"/>
                <w:szCs w:val="20"/>
                <w:vertAlign w:val="superscript"/>
              </w:rPr>
              <w:t>2</w:t>
            </w:r>
          </w:p>
        </w:tc>
      </w:tr>
      <w:tr w:rsidR="00422CA2" w:rsidRPr="00422CA2" w14:paraId="1FD9B20D" w14:textId="77777777" w:rsidTr="00646800">
        <w:trPr>
          <w:trHeight w:val="900"/>
        </w:trPr>
        <w:tc>
          <w:tcPr>
            <w:tcW w:w="1223" w:type="pct"/>
            <w:shd w:val="clear" w:color="FFFFFF" w:fill="auto"/>
            <w:vAlign w:val="center"/>
            <w:hideMark/>
          </w:tcPr>
          <w:p w14:paraId="3224062E"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Peso por unidad de área y esfuerzo por la estructura de soporte de cables</w:t>
            </w:r>
          </w:p>
        </w:tc>
        <w:tc>
          <w:tcPr>
            <w:tcW w:w="3777" w:type="pct"/>
            <w:shd w:val="clear" w:color="FFFFFF" w:fill="auto"/>
            <w:vAlign w:val="center"/>
            <w:hideMark/>
          </w:tcPr>
          <w:p w14:paraId="2B0DE8CE"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Ideal = 3 kN/m</w:t>
            </w:r>
            <w:r w:rsidRPr="00422CA2">
              <w:rPr>
                <w:rFonts w:ascii="ITC Avant Garde" w:hAnsi="ITC Avant Garde"/>
                <w:sz w:val="20"/>
                <w:szCs w:val="20"/>
                <w:vertAlign w:val="superscript"/>
              </w:rPr>
              <w:t>2</w:t>
            </w:r>
          </w:p>
          <w:p w14:paraId="4FA8F55C"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Máximo = 8 kN/m</w:t>
            </w:r>
            <w:r w:rsidRPr="00422CA2">
              <w:rPr>
                <w:rFonts w:ascii="ITC Avant Garde" w:hAnsi="ITC Avant Garde"/>
                <w:sz w:val="20"/>
                <w:szCs w:val="20"/>
                <w:vertAlign w:val="superscript"/>
              </w:rPr>
              <w:t>2</w:t>
            </w:r>
          </w:p>
        </w:tc>
      </w:tr>
      <w:tr w:rsidR="00422CA2" w:rsidRPr="00422CA2" w14:paraId="76E0751E" w14:textId="77777777" w:rsidTr="00646800">
        <w:trPr>
          <w:trHeight w:val="3000"/>
        </w:trPr>
        <w:tc>
          <w:tcPr>
            <w:tcW w:w="1223" w:type="pct"/>
            <w:shd w:val="clear" w:color="FFFFFF" w:fill="auto"/>
            <w:noWrap/>
            <w:vAlign w:val="center"/>
            <w:hideMark/>
          </w:tcPr>
          <w:p w14:paraId="7D905836"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lastRenderedPageBreak/>
              <w:t>Asignación de Espacio</w:t>
            </w:r>
          </w:p>
        </w:tc>
        <w:tc>
          <w:tcPr>
            <w:tcW w:w="3777" w:type="pct"/>
            <w:shd w:val="clear" w:color="FFFFFF" w:fill="auto"/>
            <w:vAlign w:val="center"/>
            <w:hideMark/>
          </w:tcPr>
          <w:p w14:paraId="2595185D"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Considerando al menos las unidades de rack a utilizar, consumo energético, peso y disipación térmica de los equipos a instalar por parte de los CS:</w:t>
            </w:r>
          </w:p>
          <w:p w14:paraId="63D46E4A" w14:textId="77777777" w:rsidR="00A850FA" w:rsidRPr="00422CA2" w:rsidRDefault="00A850FA" w:rsidP="00BF2AEC">
            <w:pPr>
              <w:pStyle w:val="Prrafodelista"/>
              <w:numPr>
                <w:ilvl w:val="0"/>
                <w:numId w:val="176"/>
              </w:numPr>
              <w:spacing w:before="60" w:after="60" w:line="276" w:lineRule="auto"/>
              <w:rPr>
                <w:rFonts w:ascii="ITC Avant Garde" w:hAnsi="ITC Avant Garde"/>
                <w:sz w:val="20"/>
                <w:szCs w:val="20"/>
              </w:rPr>
            </w:pPr>
            <w:r w:rsidRPr="00422CA2">
              <w:rPr>
                <w:rFonts w:ascii="ITC Avant Garde" w:hAnsi="ITC Avant Garde"/>
                <w:sz w:val="20"/>
                <w:szCs w:val="20"/>
              </w:rPr>
              <w:t>Por Unidad de Rack (UR) o Gabinete</w:t>
            </w:r>
          </w:p>
          <w:p w14:paraId="67980A29" w14:textId="77777777" w:rsidR="00A850FA" w:rsidRPr="00422CA2" w:rsidRDefault="00A850FA" w:rsidP="00BF2AEC">
            <w:pPr>
              <w:pStyle w:val="Prrafodelista"/>
              <w:numPr>
                <w:ilvl w:val="0"/>
                <w:numId w:val="176"/>
              </w:numPr>
              <w:spacing w:before="60" w:after="60" w:line="276" w:lineRule="auto"/>
              <w:rPr>
                <w:rFonts w:ascii="ITC Avant Garde" w:hAnsi="ITC Avant Garde"/>
                <w:sz w:val="20"/>
                <w:szCs w:val="20"/>
              </w:rPr>
            </w:pPr>
            <w:r w:rsidRPr="00422CA2">
              <w:rPr>
                <w:rFonts w:ascii="ITC Avant Garde" w:hAnsi="ITC Avant Garde"/>
                <w:sz w:val="20"/>
                <w:szCs w:val="20"/>
              </w:rPr>
              <w:t xml:space="preserve">Proporcionar croquis claro y visible que indique la localización y el nombre de la Coubicación, con señalamientos de área y trayectorias de cableado. </w:t>
            </w:r>
          </w:p>
          <w:p w14:paraId="4ECABBB5" w14:textId="3C62886D" w:rsidR="00A850FA" w:rsidRPr="00422CA2" w:rsidRDefault="00A850FA" w:rsidP="00BF2AEC">
            <w:pPr>
              <w:pStyle w:val="Prrafodelista"/>
              <w:numPr>
                <w:ilvl w:val="0"/>
                <w:numId w:val="176"/>
              </w:numPr>
              <w:spacing w:before="60" w:after="60" w:line="276" w:lineRule="auto"/>
              <w:rPr>
                <w:rFonts w:ascii="ITC Avant Garde" w:hAnsi="ITC Avant Garde"/>
                <w:sz w:val="20"/>
                <w:szCs w:val="20"/>
              </w:rPr>
            </w:pPr>
            <w:r w:rsidRPr="00422CA2">
              <w:rPr>
                <w:rFonts w:ascii="ITC Avant Garde" w:hAnsi="ITC Avant Garde"/>
                <w:sz w:val="20"/>
                <w:szCs w:val="20"/>
              </w:rPr>
              <w:t>Proporcionar plano del frente de rack  indicando claramente las posiciones asignadas en el mismo para realizar la instalación.</w:t>
            </w:r>
          </w:p>
          <w:p w14:paraId="528FEF69" w14:textId="77777777" w:rsidR="00A850FA" w:rsidRPr="00422CA2" w:rsidRDefault="00A850FA" w:rsidP="00BF2AEC">
            <w:pPr>
              <w:pStyle w:val="Prrafodelista"/>
              <w:numPr>
                <w:ilvl w:val="0"/>
                <w:numId w:val="176"/>
              </w:numPr>
              <w:spacing w:before="60" w:after="60" w:line="276" w:lineRule="auto"/>
              <w:rPr>
                <w:rFonts w:ascii="ITC Avant Garde" w:hAnsi="ITC Avant Garde"/>
                <w:sz w:val="20"/>
                <w:szCs w:val="20"/>
              </w:rPr>
            </w:pPr>
            <w:r w:rsidRPr="00422CA2">
              <w:rPr>
                <w:rFonts w:ascii="ITC Avant Garde" w:hAnsi="ITC Avant Garde"/>
                <w:sz w:val="20"/>
                <w:szCs w:val="20"/>
              </w:rPr>
              <w:t>Proporcionar al CS las posiciones de los interruptores termomagnéticos asignados en el tablero general de energía.</w:t>
            </w:r>
          </w:p>
        </w:tc>
      </w:tr>
      <w:tr w:rsidR="00422CA2" w:rsidRPr="00422CA2" w14:paraId="621C0905" w14:textId="77777777" w:rsidTr="00A850FA">
        <w:trPr>
          <w:trHeight w:val="375"/>
        </w:trPr>
        <w:tc>
          <w:tcPr>
            <w:tcW w:w="5000" w:type="pct"/>
            <w:gridSpan w:val="2"/>
            <w:shd w:val="clear" w:color="auto" w:fill="548DD4"/>
            <w:noWrap/>
            <w:vAlign w:val="center"/>
            <w:hideMark/>
          </w:tcPr>
          <w:p w14:paraId="1BFA0845" w14:textId="77777777" w:rsidR="00A850FA" w:rsidRPr="00422CA2" w:rsidRDefault="00A85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Elementos de Sujeción</w:t>
            </w:r>
          </w:p>
        </w:tc>
      </w:tr>
      <w:tr w:rsidR="00422CA2" w:rsidRPr="00422CA2" w14:paraId="60348D25" w14:textId="77777777" w:rsidTr="00646800">
        <w:trPr>
          <w:trHeight w:val="600"/>
        </w:trPr>
        <w:tc>
          <w:tcPr>
            <w:tcW w:w="1223" w:type="pct"/>
            <w:shd w:val="clear" w:color="FFFFFF" w:fill="auto"/>
            <w:noWrap/>
            <w:vAlign w:val="center"/>
            <w:hideMark/>
          </w:tcPr>
          <w:p w14:paraId="6892E95E"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Herraje y/o Ductería</w:t>
            </w:r>
          </w:p>
        </w:tc>
        <w:tc>
          <w:tcPr>
            <w:tcW w:w="3777" w:type="pct"/>
            <w:shd w:val="clear" w:color="FFFFFF" w:fill="auto"/>
            <w:vAlign w:val="center"/>
            <w:hideMark/>
          </w:tcPr>
          <w:p w14:paraId="670FB235"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Provisto por Telmex, para conectar el punto de llegada al edificio con las áreas asignadas y con otras coubicaciones en caso de requerirse.</w:t>
            </w:r>
          </w:p>
        </w:tc>
      </w:tr>
      <w:tr w:rsidR="00422CA2" w:rsidRPr="00422CA2" w14:paraId="7826D627" w14:textId="77777777" w:rsidTr="00646800">
        <w:trPr>
          <w:trHeight w:val="300"/>
        </w:trPr>
        <w:tc>
          <w:tcPr>
            <w:tcW w:w="1223" w:type="pct"/>
            <w:shd w:val="clear" w:color="FFFFFF" w:fill="auto"/>
            <w:noWrap/>
            <w:vAlign w:val="center"/>
            <w:hideMark/>
          </w:tcPr>
          <w:p w14:paraId="5B17A1E0"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Fijación del Equipo</w:t>
            </w:r>
          </w:p>
        </w:tc>
        <w:tc>
          <w:tcPr>
            <w:tcW w:w="3777" w:type="pct"/>
            <w:shd w:val="clear" w:color="FFFFFF" w:fill="auto"/>
            <w:vAlign w:val="center"/>
            <w:hideMark/>
          </w:tcPr>
          <w:p w14:paraId="34A9FB9F"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Anclaje a piso y/o techo de común acuerdo.</w:t>
            </w:r>
          </w:p>
        </w:tc>
      </w:tr>
      <w:tr w:rsidR="00422CA2" w:rsidRPr="00422CA2" w14:paraId="6A73E130" w14:textId="77777777" w:rsidTr="00A850FA">
        <w:trPr>
          <w:trHeight w:val="375"/>
        </w:trPr>
        <w:tc>
          <w:tcPr>
            <w:tcW w:w="5000" w:type="pct"/>
            <w:gridSpan w:val="2"/>
            <w:shd w:val="clear" w:color="auto" w:fill="548DD4"/>
            <w:noWrap/>
            <w:vAlign w:val="center"/>
            <w:hideMark/>
          </w:tcPr>
          <w:p w14:paraId="04F29CBE" w14:textId="77777777" w:rsidR="00A850FA" w:rsidRPr="00422CA2" w:rsidRDefault="00A85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t>Energía</w:t>
            </w:r>
          </w:p>
        </w:tc>
      </w:tr>
      <w:tr w:rsidR="00422CA2" w:rsidRPr="00422CA2" w14:paraId="6138FE69" w14:textId="77777777" w:rsidTr="00646800">
        <w:trPr>
          <w:trHeight w:val="1200"/>
        </w:trPr>
        <w:tc>
          <w:tcPr>
            <w:tcW w:w="1223" w:type="pct"/>
            <w:shd w:val="clear" w:color="FFFFFF" w:fill="auto"/>
            <w:noWrap/>
            <w:vAlign w:val="center"/>
            <w:hideMark/>
          </w:tcPr>
          <w:p w14:paraId="7A92E92B"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Contactos Eléctricos</w:t>
            </w:r>
          </w:p>
        </w:tc>
        <w:tc>
          <w:tcPr>
            <w:tcW w:w="3777" w:type="pct"/>
            <w:shd w:val="clear" w:color="FFFFFF" w:fill="auto"/>
            <w:vAlign w:val="center"/>
            <w:hideMark/>
          </w:tcPr>
          <w:p w14:paraId="710804B0"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Por cada 4 m</w:t>
            </w:r>
            <w:r w:rsidRPr="00422CA2">
              <w:rPr>
                <w:rFonts w:ascii="ITC Avant Garde" w:hAnsi="ITC Avant Garde"/>
                <w:sz w:val="20"/>
                <w:szCs w:val="20"/>
                <w:vertAlign w:val="superscript"/>
              </w:rPr>
              <w:t>2</w:t>
            </w:r>
          </w:p>
          <w:p w14:paraId="5BA8CDB2" w14:textId="45424CAD" w:rsidR="00A850FA" w:rsidRPr="00422CA2" w:rsidRDefault="00A850FA" w:rsidP="00BF2AEC">
            <w:pPr>
              <w:pStyle w:val="Prrafodelista"/>
              <w:numPr>
                <w:ilvl w:val="0"/>
                <w:numId w:val="177"/>
              </w:numPr>
              <w:spacing w:before="60" w:after="60" w:line="276" w:lineRule="auto"/>
              <w:rPr>
                <w:rFonts w:ascii="ITC Avant Garde" w:hAnsi="ITC Avant Garde"/>
                <w:sz w:val="20"/>
                <w:szCs w:val="20"/>
              </w:rPr>
            </w:pPr>
            <w:r w:rsidRPr="00422CA2">
              <w:rPr>
                <w:rFonts w:ascii="ITC Avant Garde" w:hAnsi="ITC Avant Garde"/>
                <w:sz w:val="20"/>
                <w:szCs w:val="20"/>
              </w:rPr>
              <w:t>2 contactos dobles polarizados, de 127 V alimentados por la compañía comercial +</w:t>
            </w:r>
            <w:r w:rsidR="007B4D19" w:rsidRPr="00422CA2">
              <w:rPr>
                <w:rFonts w:ascii="ITC Avant Garde" w:hAnsi="ITC Avant Garde"/>
                <w:sz w:val="20"/>
                <w:szCs w:val="20"/>
              </w:rPr>
              <w:t>/-</w:t>
            </w:r>
            <w:r w:rsidRPr="00422CA2">
              <w:rPr>
                <w:rFonts w:ascii="ITC Avant Garde" w:hAnsi="ITC Avant Garde"/>
                <w:sz w:val="20"/>
                <w:szCs w:val="20"/>
              </w:rPr>
              <w:t xml:space="preserve"> 10% máximo.</w:t>
            </w:r>
          </w:p>
          <w:p w14:paraId="75E805F2" w14:textId="77777777" w:rsidR="00A850FA" w:rsidRPr="00422CA2" w:rsidRDefault="00A850FA" w:rsidP="00BF2AEC">
            <w:pPr>
              <w:pStyle w:val="Prrafodelista"/>
              <w:numPr>
                <w:ilvl w:val="0"/>
                <w:numId w:val="177"/>
              </w:numPr>
              <w:spacing w:before="60" w:after="60" w:line="276" w:lineRule="auto"/>
              <w:rPr>
                <w:rFonts w:ascii="ITC Avant Garde" w:hAnsi="ITC Avant Garde"/>
                <w:sz w:val="20"/>
                <w:szCs w:val="20"/>
              </w:rPr>
            </w:pPr>
            <w:r w:rsidRPr="00422CA2">
              <w:rPr>
                <w:rFonts w:ascii="ITC Avant Garde" w:hAnsi="ITC Avant Garde"/>
                <w:sz w:val="20"/>
                <w:szCs w:val="20"/>
              </w:rPr>
              <w:t>Interruptor termomagnético de 15 amperes.</w:t>
            </w:r>
          </w:p>
        </w:tc>
      </w:tr>
      <w:tr w:rsidR="00422CA2" w:rsidRPr="00422CA2" w14:paraId="76957F2A" w14:textId="77777777" w:rsidTr="00E22C66">
        <w:trPr>
          <w:trHeight w:val="269"/>
        </w:trPr>
        <w:tc>
          <w:tcPr>
            <w:tcW w:w="1223" w:type="pct"/>
            <w:shd w:val="clear" w:color="FFFFFF" w:fill="auto"/>
            <w:noWrap/>
            <w:vAlign w:val="center"/>
            <w:hideMark/>
          </w:tcPr>
          <w:p w14:paraId="6284F8C1"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Energía en CD</w:t>
            </w:r>
          </w:p>
        </w:tc>
        <w:tc>
          <w:tcPr>
            <w:tcW w:w="3777" w:type="pct"/>
            <w:shd w:val="clear" w:color="FFFFFF" w:fill="auto"/>
            <w:vAlign w:val="center"/>
            <w:hideMark/>
          </w:tcPr>
          <w:p w14:paraId="2247F28F"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Por Gabinete:</w:t>
            </w:r>
          </w:p>
          <w:p w14:paraId="3D3127C0" w14:textId="77777777" w:rsidR="00A850FA" w:rsidRPr="00422CA2" w:rsidRDefault="00A850FA" w:rsidP="00BF2AEC">
            <w:pPr>
              <w:pStyle w:val="Prrafodelista"/>
              <w:numPr>
                <w:ilvl w:val="0"/>
                <w:numId w:val="178"/>
              </w:numPr>
              <w:spacing w:before="60" w:after="60" w:line="276" w:lineRule="auto"/>
              <w:rPr>
                <w:rFonts w:ascii="ITC Avant Garde" w:hAnsi="ITC Avant Garde"/>
                <w:sz w:val="20"/>
                <w:szCs w:val="20"/>
              </w:rPr>
            </w:pPr>
            <w:r w:rsidRPr="00422CA2">
              <w:rPr>
                <w:rFonts w:ascii="ITC Avant Garde" w:hAnsi="ITC Avant Garde"/>
                <w:sz w:val="20"/>
                <w:szCs w:val="20"/>
              </w:rPr>
              <w:t>-48 VCD, +20%, -15% con un solo PDU integrado para alimentar todos los equipos instalados.</w:t>
            </w:r>
          </w:p>
          <w:p w14:paraId="21CEB563" w14:textId="77777777" w:rsidR="00A850FA" w:rsidRPr="00422CA2" w:rsidRDefault="00A850FA" w:rsidP="00BF2AEC">
            <w:pPr>
              <w:pStyle w:val="Prrafodelista"/>
              <w:numPr>
                <w:ilvl w:val="0"/>
                <w:numId w:val="178"/>
              </w:numPr>
              <w:spacing w:before="60" w:after="60" w:line="276" w:lineRule="auto"/>
              <w:rPr>
                <w:rFonts w:ascii="ITC Avant Garde" w:hAnsi="ITC Avant Garde"/>
                <w:sz w:val="20"/>
                <w:szCs w:val="20"/>
              </w:rPr>
            </w:pPr>
            <w:r w:rsidRPr="00422CA2">
              <w:rPr>
                <w:rFonts w:ascii="ITC Avant Garde" w:hAnsi="ITC Avant Garde"/>
                <w:sz w:val="20"/>
                <w:szCs w:val="20"/>
              </w:rPr>
              <w:t>4 horas mínimo de respaldo.</w:t>
            </w:r>
          </w:p>
          <w:p w14:paraId="12115921" w14:textId="77777777" w:rsidR="00A850FA" w:rsidRPr="00422CA2" w:rsidRDefault="00A850FA" w:rsidP="00BF2AEC">
            <w:pPr>
              <w:pStyle w:val="Prrafodelista"/>
              <w:numPr>
                <w:ilvl w:val="0"/>
                <w:numId w:val="178"/>
              </w:numPr>
              <w:spacing w:before="60" w:after="60" w:line="276" w:lineRule="auto"/>
              <w:rPr>
                <w:rFonts w:ascii="ITC Avant Garde" w:hAnsi="ITC Avant Garde"/>
                <w:sz w:val="20"/>
                <w:szCs w:val="20"/>
              </w:rPr>
            </w:pPr>
            <w:r w:rsidRPr="00422CA2">
              <w:rPr>
                <w:rFonts w:ascii="ITC Avant Garde" w:hAnsi="ITC Avant Garde"/>
                <w:sz w:val="20"/>
                <w:szCs w:val="20"/>
              </w:rPr>
              <w:t>10 conectores con salida de -48 VCD e interruptor termomagnético de 15 amperes cada uno (9 conectores disponibles para equipos 1 para el sistema de ventilación).</w:t>
            </w:r>
          </w:p>
          <w:p w14:paraId="3E950960" w14:textId="77777777" w:rsidR="00A850FA" w:rsidRPr="00422CA2" w:rsidRDefault="00A850FA" w:rsidP="00BF2AEC">
            <w:pPr>
              <w:pStyle w:val="Prrafodelista"/>
              <w:numPr>
                <w:ilvl w:val="0"/>
                <w:numId w:val="178"/>
              </w:numPr>
              <w:spacing w:before="60" w:after="60" w:line="276" w:lineRule="auto"/>
              <w:rPr>
                <w:rFonts w:ascii="ITC Avant Garde" w:hAnsi="ITC Avant Garde"/>
                <w:sz w:val="20"/>
                <w:szCs w:val="20"/>
              </w:rPr>
            </w:pPr>
            <w:r w:rsidRPr="00422CA2">
              <w:rPr>
                <w:rFonts w:ascii="ITC Avant Garde" w:hAnsi="ITC Avant Garde"/>
                <w:sz w:val="20"/>
                <w:szCs w:val="20"/>
              </w:rPr>
              <w:t>La conexión física del PDU a los equipos es responsabilidad del CS.</w:t>
            </w:r>
          </w:p>
        </w:tc>
      </w:tr>
      <w:tr w:rsidR="00422CA2" w:rsidRPr="00422CA2" w14:paraId="02221549" w14:textId="77777777" w:rsidTr="00646800">
        <w:trPr>
          <w:trHeight w:val="600"/>
        </w:trPr>
        <w:tc>
          <w:tcPr>
            <w:tcW w:w="1223" w:type="pct"/>
            <w:shd w:val="clear" w:color="FFFFFF" w:fill="auto"/>
            <w:noWrap/>
            <w:vAlign w:val="center"/>
            <w:hideMark/>
          </w:tcPr>
          <w:p w14:paraId="603C5F8C"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Sistema de Tierras</w:t>
            </w:r>
          </w:p>
        </w:tc>
        <w:tc>
          <w:tcPr>
            <w:tcW w:w="3777" w:type="pct"/>
            <w:shd w:val="clear" w:color="FFFFFF" w:fill="auto"/>
            <w:vAlign w:val="center"/>
            <w:hideMark/>
          </w:tcPr>
          <w:p w14:paraId="072A7047"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Conductor principal de puesta a tierra calibre 1/0 AWG con derivación a cada local con cable calibre 6 AWG con un valor máximo de 5 ohms.</w:t>
            </w:r>
          </w:p>
        </w:tc>
      </w:tr>
      <w:tr w:rsidR="00422CA2" w:rsidRPr="00422CA2" w14:paraId="1922F4F2" w14:textId="77777777" w:rsidTr="00646800">
        <w:trPr>
          <w:trHeight w:val="600"/>
        </w:trPr>
        <w:tc>
          <w:tcPr>
            <w:tcW w:w="1223" w:type="pct"/>
            <w:shd w:val="clear" w:color="FFFFFF" w:fill="auto"/>
            <w:noWrap/>
            <w:vAlign w:val="center"/>
            <w:hideMark/>
          </w:tcPr>
          <w:p w14:paraId="70973B8D"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Alimentación</w:t>
            </w:r>
          </w:p>
        </w:tc>
        <w:tc>
          <w:tcPr>
            <w:tcW w:w="3777" w:type="pct"/>
            <w:shd w:val="clear" w:color="FFFFFF" w:fill="auto"/>
            <w:vAlign w:val="center"/>
            <w:hideMark/>
          </w:tcPr>
          <w:p w14:paraId="74D48C9A"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Identificación de los interruptores termomagnéticos asignados a los CS en el tablero general de energía.</w:t>
            </w:r>
          </w:p>
        </w:tc>
      </w:tr>
      <w:tr w:rsidR="00422CA2" w:rsidRPr="00422CA2" w14:paraId="59868195" w14:textId="77777777" w:rsidTr="00A850FA">
        <w:trPr>
          <w:trHeight w:val="375"/>
        </w:trPr>
        <w:tc>
          <w:tcPr>
            <w:tcW w:w="5000" w:type="pct"/>
            <w:gridSpan w:val="2"/>
            <w:shd w:val="clear" w:color="auto" w:fill="548DD4"/>
            <w:noWrap/>
            <w:vAlign w:val="center"/>
            <w:hideMark/>
          </w:tcPr>
          <w:p w14:paraId="6D1BAB46" w14:textId="77777777" w:rsidR="00A850FA" w:rsidRPr="00422CA2" w:rsidRDefault="00A850FA" w:rsidP="00BF2AEC">
            <w:pPr>
              <w:spacing w:before="60" w:after="60" w:line="276" w:lineRule="auto"/>
              <w:jc w:val="center"/>
              <w:rPr>
                <w:rFonts w:ascii="ITC Avant Garde" w:hAnsi="ITC Avant Garde"/>
                <w:b/>
                <w:sz w:val="20"/>
                <w:szCs w:val="20"/>
              </w:rPr>
            </w:pPr>
            <w:r w:rsidRPr="00422CA2">
              <w:rPr>
                <w:rFonts w:ascii="ITC Avant Garde" w:hAnsi="ITC Avant Garde"/>
                <w:b/>
                <w:sz w:val="20"/>
                <w:szCs w:val="20"/>
              </w:rPr>
              <w:lastRenderedPageBreak/>
              <w:t>Otros</w:t>
            </w:r>
          </w:p>
        </w:tc>
      </w:tr>
      <w:tr w:rsidR="00422CA2" w:rsidRPr="00422CA2" w14:paraId="27A29559" w14:textId="77777777" w:rsidTr="00646800">
        <w:trPr>
          <w:trHeight w:val="600"/>
        </w:trPr>
        <w:tc>
          <w:tcPr>
            <w:tcW w:w="1223" w:type="pct"/>
            <w:shd w:val="clear" w:color="FFFFFF" w:fill="auto"/>
            <w:noWrap/>
            <w:vAlign w:val="center"/>
            <w:hideMark/>
          </w:tcPr>
          <w:p w14:paraId="1826135D"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Acceso</w:t>
            </w:r>
          </w:p>
        </w:tc>
        <w:tc>
          <w:tcPr>
            <w:tcW w:w="3777" w:type="pct"/>
            <w:shd w:val="clear" w:color="FFFFFF" w:fill="auto"/>
            <w:vAlign w:val="center"/>
            <w:hideMark/>
          </w:tcPr>
          <w:p w14:paraId="07C18F49" w14:textId="77777777" w:rsidR="00A850FA" w:rsidRPr="00422CA2" w:rsidRDefault="00A850FA" w:rsidP="00BF2AEC">
            <w:pPr>
              <w:spacing w:before="60" w:after="60" w:line="276" w:lineRule="auto"/>
              <w:rPr>
                <w:rFonts w:ascii="ITC Avant Garde" w:hAnsi="ITC Avant Garde"/>
                <w:sz w:val="20"/>
                <w:szCs w:val="20"/>
              </w:rPr>
            </w:pPr>
            <w:r w:rsidRPr="00422CA2">
              <w:rPr>
                <w:rFonts w:ascii="ITC Avant Garde" w:hAnsi="ITC Avant Garde"/>
                <w:sz w:val="20"/>
                <w:szCs w:val="20"/>
              </w:rPr>
              <w:t>7X24 hrs. los 365 días del año atendiendo los procedimientos correspondientes y vigentes.</w:t>
            </w:r>
          </w:p>
        </w:tc>
      </w:tr>
    </w:tbl>
    <w:p w14:paraId="398162EE" w14:textId="16B27C24" w:rsidR="00397F98" w:rsidRPr="00422CA2" w:rsidRDefault="00397F98" w:rsidP="00E22C66">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Tabla 2</w:t>
      </w:r>
      <w:r w:rsidR="00642D0C" w:rsidRPr="00422CA2">
        <w:rPr>
          <w:rFonts w:ascii="ITC Avant Garde" w:hAnsi="ITC Avant Garde"/>
          <w:sz w:val="18"/>
          <w:szCs w:val="18"/>
          <w:lang w:val="es-MX"/>
        </w:rPr>
        <w:t>1</w:t>
      </w:r>
      <w:r w:rsidRPr="00422CA2">
        <w:rPr>
          <w:rFonts w:ascii="ITC Avant Garde" w:hAnsi="ITC Avant Garde"/>
          <w:sz w:val="18"/>
          <w:szCs w:val="18"/>
          <w:lang w:val="es-MX"/>
        </w:rPr>
        <w:t xml:space="preserve"> Características físicas, elementos de sujeción, energía y otros CEq</w:t>
      </w:r>
    </w:p>
    <w:p w14:paraId="0C42E2CB" w14:textId="406DCB8F" w:rsidR="000178E6" w:rsidRPr="00422CA2" w:rsidRDefault="0097245E" w:rsidP="00140DD3">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Si el CS solicita el aprovisionamiento de la energía alterna, directa, clima, espacio, etc. con requerimientos particulares diferentes a los ofrecidos para este tipo de coubicación, la solicitud se atenderá como adecuación y el CS cubrirá el costo de los consumos excedentes en su facturación mensual.</w:t>
      </w:r>
    </w:p>
    <w:p w14:paraId="2AFDF8D4" w14:textId="0F32D0DF" w:rsidR="00672124" w:rsidRPr="00422CA2" w:rsidRDefault="00672124" w:rsidP="00140DD3">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Instalación de Equipos</w:t>
      </w:r>
    </w:p>
    <w:p w14:paraId="1D014ECA" w14:textId="2639CE15" w:rsidR="00672124" w:rsidRPr="00422CA2" w:rsidRDefault="00672124" w:rsidP="0067212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equipo que se instale dentro del Gabinete cerrado por parte del CS, deberá cumplir con el estándar EIA-310. Las figuras ilustran la asignación de las unidades de Gabinete y la forma en que el CS deberá solicitar y ocupar el espacio.</w:t>
      </w:r>
    </w:p>
    <w:p w14:paraId="4AA8EEE9" w14:textId="1BCDEB3E" w:rsidR="00672124" w:rsidRPr="00422CA2" w:rsidRDefault="00672124" w:rsidP="0067212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Antes de iniciar la instalación de los equipos de los CS dentro de los Gabinetes, se deben seguir las siguientes premisas:</w:t>
      </w:r>
    </w:p>
    <w:p w14:paraId="6C93BAE8" w14:textId="244A28FD" w:rsidR="00672124" w:rsidRPr="00422CA2" w:rsidRDefault="00672124" w:rsidP="00672124">
      <w:pPr>
        <w:pStyle w:val="Prrafodelista"/>
        <w:numPr>
          <w:ilvl w:val="0"/>
          <w:numId w:val="228"/>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CS deberá Instalar el equipo en la parte más baja del espacio asignado. Considerando que el crecimiento de equipos será de abajo hacia arriba, de tal forma que se cumpla con la normatividad Telmex.</w:t>
      </w:r>
    </w:p>
    <w:p w14:paraId="25264FBB" w14:textId="0103C0E2" w:rsidR="00672124" w:rsidRPr="00422CA2" w:rsidRDefault="00672124" w:rsidP="00672124">
      <w:pPr>
        <w:pStyle w:val="Prrafodelista"/>
        <w:numPr>
          <w:ilvl w:val="0"/>
          <w:numId w:val="228"/>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CS deberá respetar el espacio predefinido entre las unidades de rack, con el objeto de permitir la instalación de conectores.</w:t>
      </w:r>
    </w:p>
    <w:p w14:paraId="6D931276" w14:textId="12DB89ED" w:rsidR="00672124" w:rsidRPr="00422CA2" w:rsidRDefault="00672124" w:rsidP="00672124">
      <w:pPr>
        <w:pStyle w:val="Prrafodelista"/>
        <w:numPr>
          <w:ilvl w:val="0"/>
          <w:numId w:val="228"/>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Instalar el equipo de tal forma que el frente sea el lado correspondiente a los puertos de conexión.</w:t>
      </w:r>
    </w:p>
    <w:p w14:paraId="71364CE4" w14:textId="77777777" w:rsidR="00075D3F" w:rsidRPr="00422CA2" w:rsidRDefault="00672124" w:rsidP="00B54180">
      <w:pPr>
        <w:keepNext/>
        <w:spacing w:after="200" w:line="276" w:lineRule="auto"/>
        <w:jc w:val="center"/>
        <w:rPr>
          <w:rFonts w:ascii="ITC Avant Garde" w:hAnsi="ITC Avant Garde"/>
        </w:rPr>
      </w:pPr>
      <w:r w:rsidRPr="00422CA2">
        <w:rPr>
          <w:rFonts w:ascii="ITC Avant Garde" w:hAnsi="ITC Avant Garde"/>
          <w:noProof/>
          <w:lang w:val="es-MX" w:eastAsia="es-MX"/>
        </w:rPr>
        <w:drawing>
          <wp:inline distT="0" distB="0" distL="0" distR="0" wp14:anchorId="2F0A9768" wp14:editId="3EA9A347">
            <wp:extent cx="4794250" cy="1939393"/>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10250" cy="1945865"/>
                    </a:xfrm>
                    <a:prstGeom prst="rect">
                      <a:avLst/>
                    </a:prstGeom>
                  </pic:spPr>
                </pic:pic>
              </a:graphicData>
            </a:graphic>
          </wp:inline>
        </w:drawing>
      </w:r>
    </w:p>
    <w:p w14:paraId="5503EE58" w14:textId="5AEBDB23" w:rsidR="00672124" w:rsidRPr="00422CA2" w:rsidRDefault="00075D3F" w:rsidP="00B54180">
      <w:pPr>
        <w:pStyle w:val="Descripcin"/>
        <w:jc w:val="center"/>
        <w:rPr>
          <w:rFonts w:ascii="ITC Avant Garde" w:hAnsi="ITC Avant Garde"/>
          <w:sz w:val="20"/>
          <w:szCs w:val="20"/>
          <w:lang w:val="es-MX"/>
        </w:rPr>
      </w:pPr>
      <w:r w:rsidRPr="00422CA2">
        <w:rPr>
          <w:rFonts w:ascii="ITC Avant Garde" w:hAnsi="ITC Avant Garde"/>
          <w:sz w:val="20"/>
          <w:szCs w:val="20"/>
          <w:lang w:val="es-MX"/>
        </w:rPr>
        <w:t xml:space="preserve">Figura </w:t>
      </w:r>
      <w:r w:rsidRPr="00422CA2">
        <w:rPr>
          <w:rFonts w:ascii="ITC Avant Garde" w:hAnsi="ITC Avant Garde"/>
          <w:sz w:val="20"/>
          <w:szCs w:val="20"/>
        </w:rPr>
        <w:fldChar w:fldCharType="begin"/>
      </w:r>
      <w:r w:rsidRPr="00422CA2">
        <w:rPr>
          <w:rFonts w:ascii="ITC Avant Garde" w:hAnsi="ITC Avant Garde"/>
          <w:sz w:val="20"/>
          <w:szCs w:val="20"/>
          <w:lang w:val="es-MX"/>
        </w:rPr>
        <w:instrText xml:space="preserve"> SEQ Figura \* ARABIC </w:instrText>
      </w:r>
      <w:r w:rsidRPr="00422CA2">
        <w:rPr>
          <w:rFonts w:ascii="ITC Avant Garde" w:hAnsi="ITC Avant Garde"/>
          <w:sz w:val="20"/>
          <w:szCs w:val="20"/>
        </w:rPr>
        <w:fldChar w:fldCharType="separate"/>
      </w:r>
      <w:r w:rsidRPr="00422CA2">
        <w:rPr>
          <w:rFonts w:ascii="ITC Avant Garde" w:hAnsi="ITC Avant Garde"/>
          <w:sz w:val="20"/>
          <w:szCs w:val="20"/>
          <w:lang w:val="es-MX"/>
        </w:rPr>
        <w:t>1</w:t>
      </w:r>
      <w:r w:rsidRPr="00422CA2">
        <w:rPr>
          <w:rFonts w:ascii="ITC Avant Garde" w:hAnsi="ITC Avant Garde"/>
          <w:sz w:val="20"/>
          <w:szCs w:val="20"/>
        </w:rPr>
        <w:fldChar w:fldCharType="end"/>
      </w:r>
      <w:r w:rsidRPr="00422CA2">
        <w:rPr>
          <w:rFonts w:ascii="ITC Avant Garde" w:hAnsi="ITC Avant Garde"/>
          <w:sz w:val="20"/>
          <w:szCs w:val="20"/>
          <w:lang w:val="es-MX"/>
        </w:rPr>
        <w:t xml:space="preserve"> Instalación de equipo del CS</w:t>
      </w:r>
    </w:p>
    <w:p w14:paraId="09A004FC" w14:textId="77777777" w:rsidR="00075D3F" w:rsidRPr="00422CA2" w:rsidRDefault="00075D3F" w:rsidP="00B54180">
      <w:pPr>
        <w:rPr>
          <w:rFonts w:ascii="ITC Avant Garde" w:hAnsi="ITC Avant Garde"/>
          <w:lang w:val="es-MX" w:eastAsia="en-US"/>
        </w:rPr>
      </w:pPr>
    </w:p>
    <w:p w14:paraId="387DB1C3" w14:textId="5315B7AD" w:rsidR="0092070D" w:rsidRPr="00422CA2" w:rsidRDefault="00140DD3" w:rsidP="00586B55">
      <w:pPr>
        <w:pStyle w:val="Ttulo1"/>
      </w:pPr>
      <w:bookmarkStart w:id="582" w:name="_Toc436840923"/>
      <w:bookmarkStart w:id="583" w:name="_Toc436846360"/>
      <w:bookmarkStart w:id="584" w:name="_Toc436848310"/>
      <w:bookmarkStart w:id="585" w:name="_Toc436856558"/>
      <w:bookmarkStart w:id="586" w:name="_Toc436862704"/>
      <w:bookmarkStart w:id="587" w:name="_Toc436866354"/>
      <w:bookmarkStart w:id="588" w:name="_Toc436870933"/>
      <w:bookmarkStart w:id="589" w:name="_Toc436875925"/>
      <w:bookmarkStart w:id="590" w:name="_Toc437602112"/>
      <w:r w:rsidRPr="00422CA2">
        <w:lastRenderedPageBreak/>
        <w:t>7.4</w:t>
      </w:r>
      <w:r w:rsidRPr="00422CA2">
        <w:tab/>
        <w:t>Adecuaciones disponibles para la Coubicación.</w:t>
      </w:r>
      <w:bookmarkEnd w:id="582"/>
      <w:bookmarkEnd w:id="583"/>
      <w:bookmarkEnd w:id="584"/>
      <w:bookmarkEnd w:id="585"/>
      <w:bookmarkEnd w:id="586"/>
      <w:bookmarkEnd w:id="587"/>
      <w:bookmarkEnd w:id="588"/>
      <w:bookmarkEnd w:id="589"/>
      <w:bookmarkEnd w:id="590"/>
    </w:p>
    <w:p w14:paraId="641C5457" w14:textId="77777777" w:rsidR="00140DD3" w:rsidRPr="00422CA2" w:rsidRDefault="00140DD3" w:rsidP="00140DD3">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Se entiende por adecuación cualquier ajuste a las condiciones técnicas preexistentes para los diferentes tipos de Coubicación, requerido por el CS a través del formato de Solicitud de Coubicación para Servicios de Desagregación; estos ajustes pueden estar relacionados con el incremento en la capacidad de: suministro de energía eléctrica, interruptores de alimentación, aire acondicionado o cualquier otro elemento de infraestructura de red que no implique crecimiento del área arrendada y modificaciones a la infraestructura de obra civil de una Coubicación existente.</w:t>
      </w:r>
    </w:p>
    <w:p w14:paraId="00AC3636" w14:textId="77777777" w:rsidR="00140DD3" w:rsidRPr="00422CA2" w:rsidRDefault="00140DD3" w:rsidP="00E11FEA">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el caso de la CC el CS podrá solicitar las siguientes adecuaciones:</w:t>
      </w:r>
    </w:p>
    <w:p w14:paraId="69A872C2" w14:textId="5AFD0843" w:rsidR="00140DD3" w:rsidRPr="00422CA2" w:rsidRDefault="00140DD3" w:rsidP="00E11FEA">
      <w:pPr>
        <w:pStyle w:val="Prrafodelista"/>
        <w:numPr>
          <w:ilvl w:val="0"/>
          <w:numId w:val="18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Diferentes capacidades de fuerza (para corriente alterna o directa). Las capacidades de los interruptores termomagnéticos que podrá solicitar serán: 20, 30, 40, 50, 60, 80, 90, 100, 110, 150 y 200 (Amperes).</w:t>
      </w:r>
    </w:p>
    <w:p w14:paraId="7E475EB5" w14:textId="4A70363F" w:rsidR="00140DD3" w:rsidRPr="00422CA2" w:rsidRDefault="00140DD3" w:rsidP="00E11FEA">
      <w:pPr>
        <w:pStyle w:val="Prrafodelista"/>
        <w:numPr>
          <w:ilvl w:val="0"/>
          <w:numId w:val="18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Diferentes capacidades de clima, es decir mayor cantidad de unidades de BTUs</w:t>
      </w:r>
      <w:r w:rsidRPr="00422CA2">
        <w:rPr>
          <w:rStyle w:val="Refdenotaalpie"/>
          <w:rFonts w:ascii="ITC Avant Garde" w:hAnsi="ITC Avant Garde"/>
          <w:sz w:val="22"/>
          <w:szCs w:val="22"/>
          <w:lang w:val="es-MX"/>
        </w:rPr>
        <w:footnoteReference w:id="43"/>
      </w:r>
      <w:r w:rsidRPr="00422CA2">
        <w:rPr>
          <w:rFonts w:ascii="ITC Avant Garde" w:hAnsi="ITC Avant Garde"/>
          <w:sz w:val="22"/>
          <w:szCs w:val="22"/>
          <w:lang w:val="es-MX"/>
        </w:rPr>
        <w:t>, los cuales estarán asociados a una mayor capacidad de fuerza.</w:t>
      </w:r>
    </w:p>
    <w:p w14:paraId="5A7E913E" w14:textId="77777777" w:rsidR="00E22C66" w:rsidRPr="00422CA2" w:rsidRDefault="00140DD3" w:rsidP="00E22C66">
      <w:pPr>
        <w:pStyle w:val="Prrafodelista"/>
        <w:numPr>
          <w:ilvl w:val="0"/>
          <w:numId w:val="18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Aprovisionamiento de la Coubicación sin respaldo, dicha solicitud se atenderá como Trabajo Especial.</w:t>
      </w:r>
      <w:r w:rsidR="00E22C66" w:rsidRPr="00422CA2">
        <w:rPr>
          <w:rFonts w:ascii="ITC Avant Garde" w:hAnsi="ITC Avant Garde"/>
          <w:sz w:val="22"/>
          <w:szCs w:val="22"/>
          <w:lang w:val="es-MX"/>
        </w:rPr>
        <w:t xml:space="preserve"> </w:t>
      </w:r>
    </w:p>
    <w:p w14:paraId="2583F9DF" w14:textId="4496E5E5" w:rsidR="00140DD3" w:rsidRPr="00422CA2" w:rsidRDefault="00140DD3" w:rsidP="00E11FEA">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el caso de la CB el CS podrá solicitar las siguientes adecuaciones:</w:t>
      </w:r>
    </w:p>
    <w:p w14:paraId="3AF69698" w14:textId="77777777" w:rsidR="00140DD3" w:rsidRPr="00422CA2" w:rsidRDefault="00140DD3" w:rsidP="0037703A">
      <w:pPr>
        <w:pStyle w:val="Prrafodelista"/>
        <w:numPr>
          <w:ilvl w:val="0"/>
          <w:numId w:val="67"/>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Metros cuadrados adicionales para una coubicación nueva.</w:t>
      </w:r>
    </w:p>
    <w:p w14:paraId="20FC208F" w14:textId="77777777" w:rsidR="00140DD3" w:rsidRPr="00422CA2" w:rsidRDefault="00140DD3" w:rsidP="0037703A">
      <w:pPr>
        <w:pStyle w:val="Prrafodelista"/>
        <w:numPr>
          <w:ilvl w:val="0"/>
          <w:numId w:val="67"/>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Diferentes capacidades de fuerza (para corriente alterna o directa). Las capacidades de los interruptores termomagnéticos que podrá solicitar serán: 20, 30, 40, 50, 60, 80, 90, 100, 110, 150 y 200 (Amperes).</w:t>
      </w:r>
    </w:p>
    <w:p w14:paraId="02B0D2F4" w14:textId="3BC39F39" w:rsidR="00140DD3" w:rsidRPr="00422CA2" w:rsidRDefault="00140DD3" w:rsidP="0037703A">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el caso de la CEq el CS podrá solicitar las siguientes adecuaciones:</w:t>
      </w:r>
    </w:p>
    <w:p w14:paraId="54998653" w14:textId="77777777" w:rsidR="00140DD3" w:rsidRPr="00422CA2" w:rsidRDefault="00140DD3" w:rsidP="0037703A">
      <w:pPr>
        <w:pStyle w:val="Prrafodelista"/>
        <w:numPr>
          <w:ilvl w:val="0"/>
          <w:numId w:val="67"/>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Gabinetes adicionales.</w:t>
      </w:r>
    </w:p>
    <w:p w14:paraId="20C2F406" w14:textId="77777777" w:rsidR="00140DD3" w:rsidRPr="00422CA2" w:rsidRDefault="00140DD3" w:rsidP="0037703A">
      <w:pPr>
        <w:pStyle w:val="Prrafodelista"/>
        <w:numPr>
          <w:ilvl w:val="0"/>
          <w:numId w:val="67"/>
        </w:num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Diferentes capacidades de fuerza para los gabinetes (en corriente alterna o directa). Las capacidades de los interruptores termomagnéticos que podrá solicitar serán: 20, 30, 40, 50, 60, 80, 90, 100, 110, 150 y 200 (Amperes).</w:t>
      </w:r>
    </w:p>
    <w:p w14:paraId="2B605566" w14:textId="555CA4E1" w:rsidR="00140DD3" w:rsidRPr="00422CA2" w:rsidRDefault="00140DD3" w:rsidP="00140DD3">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un CS requiera más metros cuadrados, lo cual implique cambios en la obra civil (loza, paredes o piso) de una Coubicación existente, la solicitud </w:t>
      </w:r>
      <w:r w:rsidRPr="00422CA2">
        <w:rPr>
          <w:rFonts w:ascii="ITC Avant Garde" w:hAnsi="ITC Avant Garde"/>
          <w:sz w:val="22"/>
          <w:szCs w:val="22"/>
          <w:lang w:val="es-MX"/>
        </w:rPr>
        <w:lastRenderedPageBreak/>
        <w:t xml:space="preserve">estará sujeta a factibilidad técnica y a los tiempos de atención asociados a una Coubicación nueva establecidos en el numeral 7.7 de la presente </w:t>
      </w:r>
      <w:r w:rsidR="005D7076" w:rsidRPr="00422CA2">
        <w:rPr>
          <w:rFonts w:ascii="ITC Avant Garde" w:hAnsi="ITC Avant Garde"/>
          <w:sz w:val="22"/>
          <w:szCs w:val="22"/>
          <w:lang w:val="es-MX"/>
        </w:rPr>
        <w:t>OREDA</w:t>
      </w:r>
      <w:r w:rsidRPr="00422CA2">
        <w:rPr>
          <w:rFonts w:ascii="ITC Avant Garde" w:hAnsi="ITC Avant Garde"/>
          <w:sz w:val="22"/>
          <w:szCs w:val="22"/>
          <w:lang w:val="es-MX"/>
        </w:rPr>
        <w:t>. El tiempo de implementación se notificará al CS en la cotización del servicio y estará en función del tipo de trabajos a realizar.</w:t>
      </w:r>
    </w:p>
    <w:p w14:paraId="0663E2A9" w14:textId="5E2262D5" w:rsidR="00140DD3" w:rsidRPr="00422CA2" w:rsidRDefault="00C468D4" w:rsidP="00586B55">
      <w:pPr>
        <w:pStyle w:val="Ttulo1"/>
      </w:pPr>
      <w:bookmarkStart w:id="591" w:name="_Toc436840924"/>
      <w:bookmarkStart w:id="592" w:name="_Toc436846361"/>
      <w:bookmarkStart w:id="593" w:name="_Toc436848311"/>
      <w:bookmarkStart w:id="594" w:name="_Toc436856559"/>
      <w:bookmarkStart w:id="595" w:name="_Toc436862705"/>
      <w:bookmarkStart w:id="596" w:name="_Toc436866355"/>
      <w:bookmarkStart w:id="597" w:name="_Toc436870934"/>
      <w:bookmarkStart w:id="598" w:name="_Toc436875926"/>
      <w:bookmarkStart w:id="599" w:name="_Toc437602113"/>
      <w:r w:rsidRPr="00422CA2">
        <w:t>7.5</w:t>
      </w:r>
      <w:r w:rsidRPr="00422CA2">
        <w:tab/>
        <w:t>Identificador de Ubicación en Lenguaje Común (CLLI)</w:t>
      </w:r>
      <w:bookmarkEnd w:id="591"/>
      <w:bookmarkEnd w:id="592"/>
      <w:bookmarkEnd w:id="593"/>
      <w:bookmarkEnd w:id="594"/>
      <w:bookmarkEnd w:id="595"/>
      <w:bookmarkEnd w:id="596"/>
      <w:bookmarkEnd w:id="597"/>
      <w:bookmarkEnd w:id="598"/>
      <w:bookmarkEnd w:id="599"/>
    </w:p>
    <w:p w14:paraId="553E00FA" w14:textId="48AEA5E2" w:rsidR="00C468D4" w:rsidRPr="00422CA2" w:rsidRDefault="00C468D4" w:rsidP="00C468D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Una vez asignado el espacio para Coubicación al CS, Telmex enviará al CS el CLLI correspondiente para la identificación de la Coubicación, ya que será necesario para solicitar servicios auxiliares. </w:t>
      </w:r>
    </w:p>
    <w:p w14:paraId="40FB145C" w14:textId="46B5D4B9" w:rsidR="00140DD3" w:rsidRPr="00422CA2" w:rsidRDefault="00C468D4" w:rsidP="00C468D4">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que el CS solicite servicios </w:t>
      </w:r>
      <w:r w:rsidR="00D90DCF" w:rsidRPr="00422CA2">
        <w:rPr>
          <w:rFonts w:ascii="ITC Avant Garde" w:hAnsi="ITC Avant Garde"/>
          <w:sz w:val="22"/>
          <w:szCs w:val="22"/>
          <w:lang w:val="es-MX"/>
        </w:rPr>
        <w:t xml:space="preserve">de manera simultánea, </w:t>
      </w:r>
      <w:r w:rsidRPr="00422CA2">
        <w:rPr>
          <w:rFonts w:ascii="ITC Avant Garde" w:hAnsi="ITC Avant Garde"/>
          <w:sz w:val="22"/>
          <w:szCs w:val="22"/>
          <w:lang w:val="es-MX"/>
        </w:rPr>
        <w:t xml:space="preserve">deberá indicar </w:t>
      </w:r>
      <w:r w:rsidR="00D90DCF" w:rsidRPr="00422CA2">
        <w:rPr>
          <w:rFonts w:ascii="ITC Avant Garde" w:hAnsi="ITC Avant Garde"/>
          <w:sz w:val="22"/>
          <w:szCs w:val="22"/>
          <w:lang w:val="es-MX"/>
        </w:rPr>
        <w:t>en los formatos correspondientes el</w:t>
      </w:r>
      <w:r w:rsidRPr="00422CA2">
        <w:rPr>
          <w:rFonts w:ascii="ITC Avant Garde" w:hAnsi="ITC Avant Garde"/>
          <w:sz w:val="22"/>
          <w:szCs w:val="22"/>
          <w:lang w:val="es-MX"/>
        </w:rPr>
        <w:t xml:space="preserve"> NIS-Referencia asociado a los servicios.</w:t>
      </w:r>
    </w:p>
    <w:p w14:paraId="3F3DD282" w14:textId="77777777" w:rsidR="0092070D" w:rsidRPr="00422CA2" w:rsidRDefault="00646800" w:rsidP="00586B55">
      <w:pPr>
        <w:pStyle w:val="Ttulo1"/>
      </w:pPr>
      <w:bookmarkStart w:id="600" w:name="_Toc396337603"/>
      <w:bookmarkStart w:id="601" w:name="_Toc436840925"/>
      <w:bookmarkStart w:id="602" w:name="_Toc436846362"/>
      <w:bookmarkStart w:id="603" w:name="_Toc436848312"/>
      <w:bookmarkStart w:id="604" w:name="_Toc436856560"/>
      <w:bookmarkStart w:id="605" w:name="_Toc436862706"/>
      <w:bookmarkStart w:id="606" w:name="_Toc436866356"/>
      <w:bookmarkStart w:id="607" w:name="_Toc436870935"/>
      <w:bookmarkStart w:id="608" w:name="_Toc436875927"/>
      <w:bookmarkStart w:id="609" w:name="_Toc437602114"/>
      <w:r w:rsidRPr="00422CA2">
        <w:t>7.6</w:t>
      </w:r>
      <w:r w:rsidRPr="00422CA2">
        <w:tab/>
      </w:r>
      <w:r w:rsidR="0092070D" w:rsidRPr="00422CA2">
        <w:t>Servicio de Reasignación y Servicio de Recuperación de Espacio de Coubicación para Desagregación.</w:t>
      </w:r>
      <w:bookmarkEnd w:id="600"/>
      <w:bookmarkEnd w:id="601"/>
      <w:bookmarkEnd w:id="602"/>
      <w:bookmarkEnd w:id="603"/>
      <w:bookmarkEnd w:id="604"/>
      <w:bookmarkEnd w:id="605"/>
      <w:bookmarkEnd w:id="606"/>
      <w:bookmarkEnd w:id="607"/>
      <w:bookmarkEnd w:id="608"/>
      <w:bookmarkEnd w:id="609"/>
    </w:p>
    <w:p w14:paraId="41C19A0C" w14:textId="77777777" w:rsidR="0092070D" w:rsidRPr="00422CA2" w:rsidRDefault="0092070D" w:rsidP="0037703A">
      <w:pPr>
        <w:spacing w:after="200" w:line="276" w:lineRule="auto"/>
        <w:jc w:val="both"/>
        <w:rPr>
          <w:rFonts w:ascii="ITC Avant Garde" w:hAnsi="ITC Avant Garde"/>
          <w:sz w:val="22"/>
          <w:szCs w:val="22"/>
        </w:rPr>
      </w:pPr>
      <w:bookmarkStart w:id="610" w:name="_Toc396337601"/>
      <w:r w:rsidRPr="00422CA2">
        <w:rPr>
          <w:rFonts w:ascii="ITC Avant Garde" w:hAnsi="ITC Avant Garde"/>
          <w:sz w:val="22"/>
          <w:szCs w:val="22"/>
        </w:rPr>
        <w:t>La Reasignación y Recuperación de Espacio para Coubicación son Servicios que iniciarán cuando no se cuente con espacio disponible en la central para satisfacer la demanda de Coubicación para Desagregación.</w:t>
      </w:r>
    </w:p>
    <w:p w14:paraId="0F8B478D" w14:textId="77777777"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Cuando no exista espacio vacante primero se realizará la Reasignación de Espacios que consiste en un procedimiento de redistribución de elementos de la red de Telmex con el fin de liberar espacio para Coubicación.</w:t>
      </w:r>
    </w:p>
    <w:p w14:paraId="7CEEA4DA" w14:textId="77777777"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Si esta Reasignación de Espacios no fuese suficiente para liberar espacio a fin de poder atender la solicitud de Coubicación, entonces se iniciará el Servicio de Recuperación de Espacios, que ocurre cuando un espacio de Coubicación para Desagregación no hubiera sido utilizado efectivamente  por un CS después de ocho meses de su entrega (es decir, que no haya instalado los equipos para proveer servicios a los usuario finales o que no tenga ningún servicio contratado en dicha Coubicación), debiéndose otorgar a dicho CS la posibilidad de justificar las razones por las que el espacio no está siendo ocupado efectivamente, si esto se debe a causas no imputables al CS, dicho espacio no podrá recuperarse.</w:t>
      </w:r>
    </w:p>
    <w:p w14:paraId="626016A1" w14:textId="1FBD6F32"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 xml:space="preserve">La factibilidad técnica de estos servicios depende de la existencia del espacio disponible, de la movilidad, así como de la suficiencia de espacio para la habilitación de los elementos instalados en el predio o </w:t>
      </w:r>
      <w:r w:rsidR="00A155C5" w:rsidRPr="00422CA2">
        <w:rPr>
          <w:rFonts w:ascii="ITC Avant Garde" w:hAnsi="ITC Avant Garde"/>
          <w:sz w:val="22"/>
          <w:szCs w:val="22"/>
        </w:rPr>
        <w:t>C</w:t>
      </w:r>
      <w:r w:rsidRPr="00422CA2">
        <w:rPr>
          <w:rFonts w:ascii="ITC Avant Garde" w:hAnsi="ITC Avant Garde"/>
          <w:sz w:val="22"/>
          <w:szCs w:val="22"/>
        </w:rPr>
        <w:t xml:space="preserve">entral </w:t>
      </w:r>
      <w:r w:rsidR="00A155C5" w:rsidRPr="00422CA2">
        <w:rPr>
          <w:rFonts w:ascii="ITC Avant Garde" w:hAnsi="ITC Avant Garde"/>
          <w:sz w:val="22"/>
          <w:szCs w:val="22"/>
        </w:rPr>
        <w:t>Telefónica</w:t>
      </w:r>
      <w:r w:rsidRPr="00422CA2">
        <w:rPr>
          <w:rFonts w:ascii="ITC Avant Garde" w:hAnsi="ITC Avant Garde"/>
          <w:sz w:val="22"/>
          <w:szCs w:val="22"/>
        </w:rPr>
        <w:t xml:space="preserve"> para que sea posible proporcionar el espacio que es solicitado por el CS. Esta actividad tiene un costo, por lo que el CS deberá resarcir </w:t>
      </w:r>
      <w:r w:rsidR="00A155C5" w:rsidRPr="00422CA2">
        <w:rPr>
          <w:rFonts w:ascii="ITC Avant Garde" w:hAnsi="ITC Avant Garde"/>
          <w:sz w:val="22"/>
          <w:szCs w:val="22"/>
        </w:rPr>
        <w:t>los costos incurridos</w:t>
      </w:r>
      <w:r w:rsidRPr="00422CA2">
        <w:rPr>
          <w:rFonts w:ascii="ITC Avant Garde" w:hAnsi="ITC Avant Garde"/>
          <w:sz w:val="22"/>
          <w:szCs w:val="22"/>
        </w:rPr>
        <w:t xml:space="preserve"> si decide interrumpir el procedimiento de reasignación o recuperación de espacios.</w:t>
      </w:r>
    </w:p>
    <w:p w14:paraId="10E56B8E" w14:textId="4C310EF9"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 xml:space="preserve">Si después de aplicar el proceso de Reasignación y Recuperación de Espacio no es técnicamente factible ofrecer el Servicio de Coubicación para Desagregación, a través del Sistema de Captura o SEG se ofrecerá en un plazo no mayor a 5 días hábiles la solución alternativa de una </w:t>
      </w:r>
      <w:r w:rsidR="00A155C5" w:rsidRPr="00422CA2">
        <w:rPr>
          <w:rFonts w:ascii="ITC Avant Garde" w:hAnsi="ITC Avant Garde"/>
          <w:sz w:val="22"/>
          <w:szCs w:val="22"/>
        </w:rPr>
        <w:t>Central T</w:t>
      </w:r>
      <w:r w:rsidRPr="00422CA2">
        <w:rPr>
          <w:rFonts w:ascii="ITC Avant Garde" w:hAnsi="ITC Avant Garde"/>
          <w:sz w:val="22"/>
          <w:szCs w:val="22"/>
        </w:rPr>
        <w:t xml:space="preserve">elefónica </w:t>
      </w:r>
      <w:r w:rsidR="00E22C66" w:rsidRPr="00422CA2">
        <w:rPr>
          <w:rFonts w:ascii="ITC Avant Garde" w:hAnsi="ITC Avant Garde"/>
          <w:sz w:val="22"/>
          <w:szCs w:val="22"/>
        </w:rPr>
        <w:t>o Instalación E</w:t>
      </w:r>
      <w:r w:rsidRPr="00422CA2">
        <w:rPr>
          <w:rFonts w:ascii="ITC Avant Garde" w:hAnsi="ITC Avant Garde"/>
          <w:sz w:val="22"/>
          <w:szCs w:val="22"/>
        </w:rPr>
        <w:t>quivalente geográficamente cercana que atienda la zona de cobertura solicitada y técnicamente factible para la entrega del servicio.</w:t>
      </w:r>
    </w:p>
    <w:p w14:paraId="7C5337C3" w14:textId="2D167CE9" w:rsidR="0092070D" w:rsidRPr="00422CA2" w:rsidRDefault="00BE7C98" w:rsidP="0037703A">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Finalmente, si tras haber</w:t>
      </w:r>
      <w:r w:rsidR="0092070D" w:rsidRPr="00422CA2">
        <w:rPr>
          <w:rFonts w:ascii="ITC Avant Garde" w:hAnsi="ITC Avant Garde"/>
          <w:sz w:val="22"/>
          <w:szCs w:val="22"/>
        </w:rPr>
        <w:t xml:space="preserve"> ejecutado todos los procedimientos </w:t>
      </w:r>
      <w:r w:rsidR="0027160B" w:rsidRPr="00422CA2">
        <w:rPr>
          <w:rFonts w:ascii="ITC Avant Garde" w:hAnsi="ITC Avant Garde"/>
          <w:sz w:val="22"/>
          <w:szCs w:val="22"/>
        </w:rPr>
        <w:t>de</w:t>
      </w:r>
      <w:r w:rsidR="0092070D" w:rsidRPr="00422CA2">
        <w:rPr>
          <w:rFonts w:ascii="ITC Avant Garde" w:hAnsi="ITC Avant Garde"/>
          <w:sz w:val="22"/>
          <w:szCs w:val="22"/>
        </w:rPr>
        <w:t xml:space="preserve"> </w:t>
      </w:r>
      <w:r w:rsidR="0027160B" w:rsidRPr="00422CA2">
        <w:rPr>
          <w:rFonts w:ascii="ITC Avant Garde" w:hAnsi="ITC Avant Garde"/>
          <w:sz w:val="22"/>
          <w:szCs w:val="22"/>
        </w:rPr>
        <w:t xml:space="preserve">Reasignación y Recuperación de Espacio </w:t>
      </w:r>
      <w:r w:rsidR="0092070D" w:rsidRPr="00422CA2">
        <w:rPr>
          <w:rFonts w:ascii="ITC Avant Garde" w:hAnsi="ITC Avant Garde"/>
          <w:sz w:val="22"/>
          <w:szCs w:val="22"/>
        </w:rPr>
        <w:t xml:space="preserve">no </w:t>
      </w:r>
      <w:r w:rsidRPr="00422CA2">
        <w:rPr>
          <w:rFonts w:ascii="ITC Avant Garde" w:hAnsi="ITC Avant Garde"/>
          <w:sz w:val="22"/>
          <w:szCs w:val="22"/>
        </w:rPr>
        <w:t>se satisface la demanda total del Servicio de Coubicación para Desagregación, Telmex</w:t>
      </w:r>
      <w:r w:rsidR="0092070D" w:rsidRPr="00422CA2">
        <w:rPr>
          <w:rFonts w:ascii="ITC Avant Garde" w:hAnsi="ITC Avant Garde"/>
          <w:sz w:val="22"/>
          <w:szCs w:val="22"/>
        </w:rPr>
        <w:t xml:space="preserve"> notificará al CS y al Instituto </w:t>
      </w:r>
      <w:r w:rsidR="00B61260" w:rsidRPr="00422CA2">
        <w:rPr>
          <w:rFonts w:ascii="ITC Avant Garde" w:hAnsi="ITC Avant Garde"/>
          <w:sz w:val="22"/>
          <w:szCs w:val="22"/>
        </w:rPr>
        <w:t xml:space="preserve">dicha </w:t>
      </w:r>
      <w:r w:rsidR="0092070D" w:rsidRPr="00422CA2">
        <w:rPr>
          <w:rFonts w:ascii="ITC Avant Garde" w:hAnsi="ITC Avant Garde"/>
          <w:sz w:val="22"/>
          <w:szCs w:val="22"/>
        </w:rPr>
        <w:t xml:space="preserve">situación para </w:t>
      </w:r>
      <w:r w:rsidR="00E11371" w:rsidRPr="00422CA2">
        <w:rPr>
          <w:rFonts w:ascii="ITC Avant Garde" w:hAnsi="ITC Avant Garde"/>
          <w:sz w:val="22"/>
          <w:szCs w:val="22"/>
        </w:rPr>
        <w:t>los efectos conducentes</w:t>
      </w:r>
      <w:r w:rsidR="0092070D" w:rsidRPr="00422CA2">
        <w:rPr>
          <w:rFonts w:ascii="ITC Avant Garde" w:hAnsi="ITC Avant Garde"/>
          <w:sz w:val="22"/>
          <w:szCs w:val="22"/>
        </w:rPr>
        <w:t>.</w:t>
      </w:r>
    </w:p>
    <w:p w14:paraId="555BE9D7" w14:textId="77777777" w:rsidR="0092070D" w:rsidRPr="00422CA2" w:rsidRDefault="00646800" w:rsidP="00586B55">
      <w:pPr>
        <w:pStyle w:val="Ttulo1"/>
      </w:pPr>
      <w:bookmarkStart w:id="611" w:name="_Toc436840926"/>
      <w:bookmarkStart w:id="612" w:name="_Toc436846363"/>
      <w:bookmarkStart w:id="613" w:name="_Toc436848313"/>
      <w:bookmarkStart w:id="614" w:name="_Toc436856561"/>
      <w:bookmarkStart w:id="615" w:name="_Toc436862707"/>
      <w:bookmarkStart w:id="616" w:name="_Toc436866357"/>
      <w:bookmarkStart w:id="617" w:name="_Toc436870936"/>
      <w:bookmarkStart w:id="618" w:name="_Toc436875928"/>
      <w:bookmarkStart w:id="619" w:name="_Toc437602115"/>
      <w:r w:rsidRPr="00422CA2">
        <w:t>7.7</w:t>
      </w:r>
      <w:r w:rsidRPr="00422CA2">
        <w:tab/>
      </w:r>
      <w:r w:rsidR="0092070D" w:rsidRPr="00422CA2">
        <w:t>Procedimientos de contratación, modificación, mantenimiento y baja del servicio</w:t>
      </w:r>
      <w:bookmarkEnd w:id="610"/>
      <w:r w:rsidR="0092070D" w:rsidRPr="00422CA2">
        <w:t>.</w:t>
      </w:r>
      <w:bookmarkEnd w:id="611"/>
      <w:bookmarkEnd w:id="612"/>
      <w:bookmarkEnd w:id="613"/>
      <w:bookmarkEnd w:id="614"/>
      <w:bookmarkEnd w:id="615"/>
      <w:bookmarkEnd w:id="616"/>
      <w:bookmarkEnd w:id="617"/>
      <w:bookmarkEnd w:id="618"/>
      <w:bookmarkEnd w:id="619"/>
    </w:p>
    <w:p w14:paraId="669FD66E" w14:textId="77777777" w:rsidR="008070FB" w:rsidRPr="00422CA2" w:rsidRDefault="008070FB" w:rsidP="008070FB">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Queda establecido que mediante el envío de la solicitud, el CS consiente efectuar el pago por las actividades a realizar así como por los elementos de cobro que conforman el (los) servicio(s), en el momento que se indique en el procedimiento. Asimismo, si el CS rechaza el servicio o decide no continuar con el procedimiento, deberá liquidar el monto generado por las actividades realizadas hasta el momento que decidió terminar el procedimiento.</w:t>
      </w:r>
    </w:p>
    <w:p w14:paraId="0FD43B4B" w14:textId="77777777" w:rsidR="008070FB" w:rsidRPr="00422CA2" w:rsidRDefault="008070FB" w:rsidP="008070FB">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y entrega de Coubicación y Reasignación de espacio.</w:t>
      </w:r>
    </w:p>
    <w:p w14:paraId="5BF3595A" w14:textId="77777777" w:rsidR="008070FB" w:rsidRPr="00422CA2" w:rsidRDefault="008070FB" w:rsidP="008070FB">
      <w:pPr>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contratación y entrega de los servicios de Coubicación. Las fases en que se divide este procedimiento son: (i) Entrega y validación de la solicitud para que el CS manifieste su intención de contratar el servicio, las características que solicita para el mismo, y la validación por parte de Telmex de que la solicitud cuenta con todos los elementos para la contratación del servicio; (ii) Análisis de Factibilidad técnica a fin de que Telmex pueda verificar que cuenta con los elementos para brindar el servicio solicitado; y (iii) Habilitación y aprovisionamiento del servicio solicitado, que detonará los procesos de pruebas de entrega y facturación; en caso de no existir espacio vacante y facilidades técnicas para proporcionar la Coubicación (iv) Reasignación de espacio y Redistribución de elementos.</w:t>
      </w:r>
    </w:p>
    <w:p w14:paraId="203C216C" w14:textId="77777777" w:rsidR="008070FB" w:rsidRPr="00422CA2" w:rsidRDefault="008070FB" w:rsidP="00BC6E66">
      <w:pPr>
        <w:pStyle w:val="Prrafodelista"/>
        <w:numPr>
          <w:ilvl w:val="0"/>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deberá presentar solicitud en el formato correspondiente a través del Sistema de Captura, o del SEG una vez que entre en operación.</w:t>
      </w:r>
    </w:p>
    <w:p w14:paraId="3DDB00FB" w14:textId="77777777" w:rsidR="008070FB" w:rsidRPr="00422CA2" w:rsidRDefault="008070FB" w:rsidP="00BC6E66">
      <w:pPr>
        <w:pStyle w:val="Prrafodelista"/>
        <w:numPr>
          <w:ilvl w:val="0"/>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La solicitud del CS será validada en un plazo máximo de 1 día hábil, se dará seguimiento a la solicitud con un folio hasta que se asigne un Número de Identificación de Solicitud (NIS), si la solicitud no cumple con la información correspondiente, será devuelta al CS junto con el motivo por el cual no fue válida para que sea corregida y reenviada a Telmex a fin de que vuelva a ser evaluada.</w:t>
      </w:r>
    </w:p>
    <w:p w14:paraId="15C1615F" w14:textId="77777777" w:rsidR="008070FB" w:rsidRPr="00422CA2" w:rsidRDefault="008070FB" w:rsidP="00BC6E66">
      <w:pPr>
        <w:pStyle w:val="Prrafodelista"/>
        <w:numPr>
          <w:ilvl w:val="0"/>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validada la solicitud, se verificará la factibilidad técnica y se responderá al CS en un plazo no mayor a 3 días hábiles conforme a lo siguiente: </w:t>
      </w:r>
    </w:p>
    <w:p w14:paraId="36C1383A" w14:textId="77777777" w:rsidR="008070FB" w:rsidRPr="00422CA2" w:rsidRDefault="008070FB" w:rsidP="00BC6E66">
      <w:pPr>
        <w:pStyle w:val="Prrafodelista"/>
        <w:numPr>
          <w:ilvl w:val="1"/>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Existe el espacio vacante y las facilidades técnicas necesarias en la Central Telefónica o Instalación Equivalente solicitada:</w:t>
      </w:r>
    </w:p>
    <w:p w14:paraId="2D96E42F" w14:textId="77777777" w:rsidR="008070FB" w:rsidRPr="00422CA2" w:rsidRDefault="008070FB" w:rsidP="00BC6E66">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asignará un número de NIS-Referencia y se enviará la cotización correspondiente.</w:t>
      </w:r>
    </w:p>
    <w:p w14:paraId="10BCB41F" w14:textId="0FE76AE3" w:rsidR="008070FB" w:rsidRPr="00422CA2" w:rsidRDefault="008070FB" w:rsidP="00BC6E66">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contará con 5 días hábiles para aceptar la cotización</w:t>
      </w:r>
      <w:r w:rsidR="008F633B" w:rsidRPr="00422CA2">
        <w:rPr>
          <w:rStyle w:val="Refdenotaalpie"/>
          <w:rFonts w:ascii="ITC Avant Garde" w:hAnsi="ITC Avant Garde" w:cs="Arial"/>
          <w:sz w:val="22"/>
          <w:szCs w:val="22"/>
        </w:rPr>
        <w:footnoteReference w:id="44"/>
      </w:r>
      <w:r w:rsidRPr="00422CA2">
        <w:rPr>
          <w:rFonts w:ascii="ITC Avant Garde" w:hAnsi="ITC Avant Garde" w:cs="Arial"/>
          <w:sz w:val="22"/>
          <w:szCs w:val="22"/>
        </w:rPr>
        <w:t>, dentro de este plazo el CS podrá analizar el presupuesto y solicitar aclaraciones a Telmex. De no ser aceptada la cotización se entenderá que el CS rechazó el servicio.</w:t>
      </w:r>
    </w:p>
    <w:p w14:paraId="3256C2F5" w14:textId="77777777" w:rsidR="008070FB" w:rsidRPr="00422CA2" w:rsidRDefault="008070FB" w:rsidP="00BC6E66">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recibida la aceptación de la cotización, se iniciará la elaboración del diseño y la construcción de la Coubicación, la cual será entregada en un plazo de 60 días hábiles a partir de la fecha de entrega de solicitud.</w:t>
      </w:r>
    </w:p>
    <w:p w14:paraId="45820599" w14:textId="77777777" w:rsidR="008070FB" w:rsidRPr="00422CA2" w:rsidRDefault="008070FB" w:rsidP="008070FB">
      <w:pPr>
        <w:pStyle w:val="Prrafodelista"/>
        <w:numPr>
          <w:ilvl w:val="1"/>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No existe espacio vacante para proveer la Coubicación:</w:t>
      </w:r>
    </w:p>
    <w:p w14:paraId="2A7ED725" w14:textId="77777777" w:rsidR="00E22C66" w:rsidRPr="00422CA2" w:rsidRDefault="008070FB" w:rsidP="00285D7C">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iniciará el proceso de Recuperación de Espacios enviando la cotización y el plan de trabajo correspondientes a las actividades a realizar.</w:t>
      </w:r>
      <w:r w:rsidR="00E22C66" w:rsidRPr="00422CA2">
        <w:rPr>
          <w:rFonts w:ascii="ITC Avant Garde" w:hAnsi="ITC Avant Garde" w:cs="Arial"/>
          <w:sz w:val="22"/>
          <w:szCs w:val="22"/>
        </w:rPr>
        <w:t xml:space="preserve"> </w:t>
      </w:r>
    </w:p>
    <w:p w14:paraId="19C3AFE7" w14:textId="77777777" w:rsidR="00E22C66" w:rsidRPr="00422CA2" w:rsidRDefault="008070FB" w:rsidP="00285D7C">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contará con 5 días hábiles para aceptar la cotización y el plan de trabajo del servicio</w:t>
      </w:r>
      <w:r w:rsidRPr="00422CA2">
        <w:rPr>
          <w:rStyle w:val="Refdenotaalpie"/>
          <w:rFonts w:ascii="ITC Avant Garde" w:hAnsi="ITC Avant Garde" w:cs="Arial"/>
          <w:sz w:val="22"/>
          <w:szCs w:val="22"/>
        </w:rPr>
        <w:footnoteReference w:id="45"/>
      </w:r>
      <w:r w:rsidRPr="00422CA2">
        <w:rPr>
          <w:rFonts w:ascii="ITC Avant Garde" w:hAnsi="ITC Avant Garde" w:cs="Arial"/>
          <w:sz w:val="22"/>
          <w:szCs w:val="22"/>
        </w:rPr>
        <w:t xml:space="preserve">, dentro de este plazo el CS podrá analizar el presupuesto y solicitar aclaraciones a Telmex. </w:t>
      </w:r>
      <w:r w:rsidRPr="00422CA2">
        <w:rPr>
          <w:rFonts w:ascii="ITC Avant Garde" w:hAnsi="ITC Avant Garde" w:cs="Arial"/>
          <w:sz w:val="22"/>
          <w:szCs w:val="22"/>
        </w:rPr>
        <w:lastRenderedPageBreak/>
        <w:t>De no ser aceptada la cotización y/o el plan de trabajo se entenderá que el CS rechazó el servicio.</w:t>
      </w:r>
      <w:r w:rsidR="00E22C66" w:rsidRPr="00422CA2">
        <w:rPr>
          <w:rFonts w:ascii="ITC Avant Garde" w:hAnsi="ITC Avant Garde" w:cs="Arial"/>
          <w:sz w:val="22"/>
          <w:szCs w:val="22"/>
        </w:rPr>
        <w:t xml:space="preserve"> </w:t>
      </w:r>
    </w:p>
    <w:p w14:paraId="735A439F" w14:textId="033FF495" w:rsidR="008070FB" w:rsidRPr="00422CA2" w:rsidRDefault="008070FB" w:rsidP="00285D7C">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se hayan aceptado la cotización y el plan de trabajo se procederá a realizar los cambios. La fecha de entrega de la Coubicación estará en función de lo estipulado en el plan de trabajo acordado entre Telmex y el CS.</w:t>
      </w:r>
    </w:p>
    <w:p w14:paraId="68E12D36" w14:textId="77777777" w:rsidR="008070FB" w:rsidRPr="00422CA2" w:rsidRDefault="008070FB" w:rsidP="008070FB">
      <w:pPr>
        <w:pStyle w:val="Prrafodelista"/>
        <w:numPr>
          <w:ilvl w:val="1"/>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No es posible atender la demanda de Coubicación a través del procedimiento de Reasignación de Espacio: </w:t>
      </w:r>
    </w:p>
    <w:p w14:paraId="2190539A" w14:textId="77777777" w:rsidR="008070FB" w:rsidRPr="00422CA2" w:rsidRDefault="008070FB" w:rsidP="008070FB">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iniciará el procedimiento de Recuperación de Espacio.</w:t>
      </w:r>
    </w:p>
    <w:p w14:paraId="38E3EC66" w14:textId="77777777" w:rsidR="008070FB" w:rsidRPr="00422CA2" w:rsidRDefault="008070FB" w:rsidP="008070FB">
      <w:pPr>
        <w:pStyle w:val="Prrafodelista"/>
        <w:numPr>
          <w:ilvl w:val="1"/>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No existe factibilidad técnica: </w:t>
      </w:r>
    </w:p>
    <w:p w14:paraId="1AF0DA67" w14:textId="77777777" w:rsidR="008070FB" w:rsidRPr="00422CA2" w:rsidRDefault="008070FB" w:rsidP="008070FB">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Telmex enviará al CS la justificación de los motivos descritos en el apartado 1.4 relativo a los recursos de red asociados a los servicios, así como las evidencias correspondientes; en un plazo no mayor a 5 días hábiles ofrecerá un medio alternativo de solución</w:t>
      </w:r>
    </w:p>
    <w:p w14:paraId="24F750A0" w14:textId="20E28B1A" w:rsidR="008070FB" w:rsidRPr="00422CA2" w:rsidRDefault="008070FB" w:rsidP="008070FB">
      <w:pPr>
        <w:pStyle w:val="Prrafodelista"/>
        <w:numPr>
          <w:ilvl w:val="2"/>
          <w:numId w:val="21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De ser solicitado por el CS se inicia</w:t>
      </w:r>
      <w:r w:rsidR="00AB1AAC" w:rsidRPr="00422CA2">
        <w:rPr>
          <w:rFonts w:ascii="ITC Avant Garde" w:hAnsi="ITC Avant Garde" w:cs="Arial"/>
          <w:sz w:val="22"/>
          <w:szCs w:val="22"/>
        </w:rPr>
        <w:t>rá el procedimiento de Trabajo E</w:t>
      </w:r>
      <w:r w:rsidRPr="00422CA2">
        <w:rPr>
          <w:rFonts w:ascii="ITC Avant Garde" w:hAnsi="ITC Avant Garde" w:cs="Arial"/>
          <w:sz w:val="22"/>
          <w:szCs w:val="22"/>
        </w:rPr>
        <w:t>special.</w:t>
      </w:r>
    </w:p>
    <w:p w14:paraId="3EDCCE3C" w14:textId="77777777" w:rsidR="008070FB" w:rsidRPr="00422CA2" w:rsidRDefault="008070FB" w:rsidP="008070FB">
      <w:pPr>
        <w:pStyle w:val="Prrafodelista"/>
        <w:numPr>
          <w:ilvl w:val="0"/>
          <w:numId w:val="211"/>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Una vez construida se le notificará al CS que la Coubicación está lista para ser ocupada, los resultados de las pruebas se ingresarán en el Sistema de Captura o en el SEG cuando entre en operación, para que el CS pueda consultarlas, y se firmará el formato de recepción para coubicaciones de CS lo cual detonará el inicio de la facturación por la renta correspondiente.</w:t>
      </w:r>
    </w:p>
    <w:p w14:paraId="4215F084" w14:textId="77777777" w:rsidR="008070FB" w:rsidRPr="00422CA2" w:rsidRDefault="008070FB" w:rsidP="008070FB">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para Recuperación de Espacio</w:t>
      </w:r>
    </w:p>
    <w:p w14:paraId="5EB8CC9F" w14:textId="77777777" w:rsidR="008070FB" w:rsidRPr="00422CA2" w:rsidRDefault="008070FB" w:rsidP="008070FB">
      <w:pPr>
        <w:spacing w:after="200" w:line="276" w:lineRule="auto"/>
        <w:jc w:val="both"/>
        <w:rPr>
          <w:rFonts w:ascii="ITC Avant Garde" w:hAnsi="ITC Avant Garde" w:cs="Arial"/>
          <w:sz w:val="22"/>
          <w:szCs w:val="22"/>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Recuperación de Espacios derivado de que no fuera posible atender la demanda de Coubicación una vez realizado el procedimiento de reasignación de espacio; las fases en que se divide este procedimiento son: (i) </w:t>
      </w:r>
      <w:r w:rsidRPr="00422CA2">
        <w:rPr>
          <w:rFonts w:ascii="ITC Avant Garde" w:hAnsi="ITC Avant Garde" w:cs="Arial"/>
          <w:sz w:val="22"/>
          <w:szCs w:val="22"/>
        </w:rPr>
        <w:t>Análisis de Factibilidad técnica a fin de que Telmex pueda verificar que cuenta con los elementos para brindar el servicio solicitado; y (ii) Cotización e inicio de la recuperación de espacio o de un medio alternativo de solución.</w:t>
      </w:r>
    </w:p>
    <w:p w14:paraId="6C4E99CD" w14:textId="77777777" w:rsidR="008070FB" w:rsidRPr="00422CA2" w:rsidRDefault="008070FB" w:rsidP="008070FB">
      <w:pPr>
        <w:pStyle w:val="Prrafodelista"/>
        <w:numPr>
          <w:ilvl w:val="0"/>
          <w:numId w:val="21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lastRenderedPageBreak/>
        <w:t>En un plazo de 3 días hábiles a partir de la notificación de reasignación de espacio no factible, Telmex analizará la factibilidad técnica para recuperación de espacio.</w:t>
      </w:r>
    </w:p>
    <w:p w14:paraId="1E6F4E94" w14:textId="77777777" w:rsidR="008070FB" w:rsidRPr="00422CA2" w:rsidRDefault="008070FB" w:rsidP="008070FB">
      <w:pPr>
        <w:pStyle w:val="Prrafodelista"/>
        <w:numPr>
          <w:ilvl w:val="0"/>
          <w:numId w:val="6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Si se determina que un CS no ha utilizado efectivamente el espacio, dicho CS será notificado y tendrá un plazo de 5 días hábiles para ofrecer una respuesta sobre las causas por las cuales no ha utilizado efectivamente el espacio. Si no se recibe respuesta por parte del CS se entenderá que es posible recuperar el espacio.</w:t>
      </w:r>
    </w:p>
    <w:p w14:paraId="2F26360B" w14:textId="0660CCFE" w:rsidR="008070FB" w:rsidRPr="00422CA2" w:rsidRDefault="008070FB" w:rsidP="008070FB">
      <w:pPr>
        <w:pStyle w:val="Prrafodelista"/>
        <w:numPr>
          <w:ilvl w:val="0"/>
          <w:numId w:val="21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Si el CS en la respuesta justifica que la utilización no efectiva es por causas no imputables al mismo, se permitirá la continuidad del servicio. En cambio si la justificación muestra que la utilización no efectiva es por decisiones del CS se procederá a recuperar el espacio. Dicha situación será notificada al I</w:t>
      </w:r>
      <w:r w:rsidR="00722B4C" w:rsidRPr="00422CA2">
        <w:rPr>
          <w:rFonts w:ascii="ITC Avant Garde" w:hAnsi="ITC Avant Garde" w:cs="Arial"/>
          <w:sz w:val="22"/>
          <w:szCs w:val="22"/>
          <w:lang w:val="es-MX" w:eastAsia="es-MX"/>
        </w:rPr>
        <w:t>nstituto</w:t>
      </w:r>
      <w:r w:rsidRPr="00422CA2">
        <w:rPr>
          <w:rFonts w:ascii="ITC Avant Garde" w:hAnsi="ITC Avant Garde" w:cs="Arial"/>
          <w:sz w:val="22"/>
          <w:szCs w:val="22"/>
          <w:lang w:val="es-MX" w:eastAsia="es-MX"/>
        </w:rPr>
        <w:t>:</w:t>
      </w:r>
    </w:p>
    <w:p w14:paraId="67F41943" w14:textId="77777777" w:rsidR="008070FB" w:rsidRPr="00422CA2" w:rsidRDefault="008070FB" w:rsidP="008070FB">
      <w:pPr>
        <w:pStyle w:val="Prrafodelista"/>
        <w:numPr>
          <w:ilvl w:val="0"/>
          <w:numId w:val="77"/>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Si tras la comunicación con el CS resulta factible la Recuperación del Espacio, se enviará cotización y el plan de trabajo al nuevo CS en un plazo de 5 días hábiles.</w:t>
      </w:r>
    </w:p>
    <w:p w14:paraId="123E8160" w14:textId="77777777" w:rsidR="008070FB" w:rsidRPr="00422CA2" w:rsidRDefault="008070FB" w:rsidP="008070FB">
      <w:pPr>
        <w:pStyle w:val="Prrafodelista"/>
        <w:numPr>
          <w:ilvl w:val="0"/>
          <w:numId w:val="77"/>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Si no es factible la recuperación de espacio, se entregará al CS en el Sistema de Captura o SEG la justificación de los motivos descritos en el apartado 1.4 relativo a los recursos de red asociados a los servicios, así como las evidencias correspondientes, y se pondrá a consideración del CS la siguiente alternativa:</w:t>
      </w:r>
    </w:p>
    <w:p w14:paraId="5869BC91" w14:textId="02F60BDB" w:rsidR="008070FB" w:rsidRPr="00422CA2" w:rsidRDefault="008070FB" w:rsidP="008070FB">
      <w:pPr>
        <w:pStyle w:val="Prrafodelista"/>
        <w:numPr>
          <w:ilvl w:val="1"/>
          <w:numId w:val="77"/>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ofrecerá un medio alternativo de solución en un plazo no mayor a 5 días hábiles, el cual consistirá en conciliar con el CS la alternativa de una central telefónica equivalente cercana y técnicamente factible, enviando Telmex la cotización y el plan de trabajo correspondientes.</w:t>
      </w:r>
    </w:p>
    <w:p w14:paraId="6B73E469" w14:textId="77777777" w:rsidR="008070FB" w:rsidRPr="00422CA2" w:rsidRDefault="008070FB" w:rsidP="008070FB">
      <w:pPr>
        <w:pStyle w:val="Prrafodelista"/>
        <w:numPr>
          <w:ilvl w:val="0"/>
          <w:numId w:val="21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contará con 5 días hábiles para aceptar la cotización del servicio</w:t>
      </w:r>
      <w:r w:rsidRPr="00422CA2">
        <w:rPr>
          <w:rStyle w:val="Refdenotaalpie"/>
          <w:rFonts w:ascii="ITC Avant Garde" w:hAnsi="ITC Avant Garde" w:cs="Arial"/>
          <w:sz w:val="22"/>
          <w:szCs w:val="22"/>
        </w:rPr>
        <w:footnoteReference w:id="46"/>
      </w:r>
      <w:r w:rsidRPr="00422CA2">
        <w:rPr>
          <w:rFonts w:ascii="ITC Avant Garde" w:hAnsi="ITC Avant Garde" w:cs="Arial"/>
          <w:sz w:val="22"/>
          <w:szCs w:val="22"/>
          <w:lang w:val="es-MX" w:eastAsia="es-MX"/>
        </w:rPr>
        <w:t xml:space="preserve">, </w:t>
      </w:r>
      <w:r w:rsidRPr="00422CA2">
        <w:rPr>
          <w:rFonts w:ascii="ITC Avant Garde" w:hAnsi="ITC Avant Garde" w:cs="Arial"/>
          <w:sz w:val="22"/>
          <w:szCs w:val="22"/>
        </w:rPr>
        <w:t>dentro de este plazo el CS podrá analizar el presupuesto y solicitar aclaraciones a Telmex,</w:t>
      </w:r>
      <w:r w:rsidRPr="00422CA2">
        <w:rPr>
          <w:rFonts w:ascii="ITC Avant Garde" w:hAnsi="ITC Avant Garde" w:cs="Arial"/>
          <w:sz w:val="22"/>
          <w:szCs w:val="22"/>
          <w:lang w:val="es-MX" w:eastAsia="es-MX"/>
        </w:rPr>
        <w:t xml:space="preserve"> si no acepta la cotización se entenderá que el CS rechazó el servicio.</w:t>
      </w:r>
    </w:p>
    <w:p w14:paraId="580E72E6" w14:textId="77777777" w:rsidR="008070FB" w:rsidRPr="00422CA2" w:rsidRDefault="008070FB" w:rsidP="008070FB">
      <w:pPr>
        <w:pStyle w:val="Prrafodelista"/>
        <w:numPr>
          <w:ilvl w:val="0"/>
          <w:numId w:val="21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Una vez que hayan sido aceptados la cotización y el plan de trabajo se procederá a realizar la Recuperación de Espacio o trabajos en central </w:t>
      </w:r>
      <w:r w:rsidRPr="00422CA2">
        <w:rPr>
          <w:rFonts w:ascii="ITC Avant Garde" w:hAnsi="ITC Avant Garde" w:cs="Arial"/>
          <w:sz w:val="22"/>
          <w:szCs w:val="22"/>
          <w:lang w:val="es-MX" w:eastAsia="es-MX"/>
        </w:rPr>
        <w:lastRenderedPageBreak/>
        <w:t xml:space="preserve">alterna. </w:t>
      </w:r>
      <w:r w:rsidRPr="00422CA2">
        <w:rPr>
          <w:rFonts w:ascii="ITC Avant Garde" w:hAnsi="ITC Avant Garde" w:cs="Arial"/>
          <w:sz w:val="22"/>
          <w:szCs w:val="22"/>
        </w:rPr>
        <w:t>La fecha de entrega de la Coubicación estará en función de lo estipulado en el plan de trabajo acordado entre Telmex y el CS</w:t>
      </w:r>
      <w:r w:rsidRPr="00422CA2">
        <w:rPr>
          <w:rFonts w:ascii="ITC Avant Garde" w:hAnsi="ITC Avant Garde" w:cs="Arial"/>
          <w:sz w:val="22"/>
          <w:szCs w:val="22"/>
          <w:lang w:val="es-MX" w:eastAsia="es-MX"/>
        </w:rPr>
        <w:t>.</w:t>
      </w:r>
    </w:p>
    <w:p w14:paraId="3D5ACAFB" w14:textId="77777777" w:rsidR="008070FB" w:rsidRPr="00422CA2" w:rsidRDefault="008070FB" w:rsidP="008070FB">
      <w:p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Nota: Si el CS solicitó el Servicio de Cableado Multipar de manera simultánea a la Coubicación, éste se entregará junto con la Coubicación. </w:t>
      </w:r>
    </w:p>
    <w:p w14:paraId="60FC496E" w14:textId="77777777" w:rsidR="008070FB" w:rsidRPr="00422CA2" w:rsidRDefault="008070FB" w:rsidP="008070FB">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adecuación de Coubicación</w:t>
      </w:r>
    </w:p>
    <w:p w14:paraId="4999F6BF" w14:textId="34318B14" w:rsidR="008070FB" w:rsidRPr="00422CA2" w:rsidRDefault="008070FB" w:rsidP="00BC6E66">
      <w:pPr>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modificación de alguna Coubicación existente; las fases en que se divide este procedimiento son: (i) Entrega y validación de la solicitud para que el CS manifieste su intención de modificar la Coubicación y la validación por parte de Telmex de que la solicitud cuenta con todos los elementos para la contratación del servicio; (ii) </w:t>
      </w:r>
      <w:r w:rsidRPr="00422CA2">
        <w:rPr>
          <w:rFonts w:ascii="ITC Avant Garde" w:hAnsi="ITC Avant Garde" w:cs="Arial"/>
          <w:sz w:val="22"/>
          <w:szCs w:val="22"/>
        </w:rPr>
        <w:t xml:space="preserve">Análisis de Factibilidad Técnica a fin de que Telmex pueda verificar que cuenta con los elementos para brindar el servicio solicitado; y (ii) Entrega de cotización y plan de trabajo e inicio de la modificación. </w:t>
      </w:r>
      <w:r w:rsidRPr="00422CA2">
        <w:rPr>
          <w:rFonts w:ascii="ITC Avant Garde" w:hAnsi="ITC Avant Garde" w:cs="Arial"/>
          <w:sz w:val="22"/>
          <w:szCs w:val="22"/>
          <w:lang w:val="es-ES" w:eastAsia="es-MX"/>
        </w:rPr>
        <w:t>Este procedimiento aplica para los movimientos señalados en la sección 7.4 de esta OREDA.</w:t>
      </w:r>
    </w:p>
    <w:p w14:paraId="22B5FA0D" w14:textId="77777777" w:rsidR="008070FB" w:rsidRPr="00422CA2" w:rsidRDefault="008070FB" w:rsidP="00BC6E66">
      <w:pPr>
        <w:pStyle w:val="Prrafodelista"/>
        <w:numPr>
          <w:ilvl w:val="0"/>
          <w:numId w:val="21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3A46853D" w14:textId="77777777" w:rsidR="008070FB" w:rsidRPr="00422CA2" w:rsidRDefault="008070FB" w:rsidP="00BC6E66">
      <w:pPr>
        <w:pStyle w:val="Prrafodelista"/>
        <w:numPr>
          <w:ilvl w:val="0"/>
          <w:numId w:val="21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 xml:space="preserve">La solicitud del CS será validada en un plazo máximo de 1 día hábil, se dará seguimiento a la solicitud con un folio hasta que se asigne un nuevo NIS, si la solicitud no cumple con la información correspondiente, será devuelta al CS </w:t>
      </w:r>
      <w:r w:rsidRPr="00422CA2">
        <w:rPr>
          <w:rFonts w:ascii="ITC Avant Garde" w:hAnsi="ITC Avant Garde" w:cs="Arial"/>
          <w:sz w:val="22"/>
          <w:szCs w:val="22"/>
        </w:rPr>
        <w:t xml:space="preserve">junto con el motivo por el cual no fue válida </w:t>
      </w:r>
      <w:r w:rsidRPr="00422CA2">
        <w:rPr>
          <w:rFonts w:ascii="ITC Avant Garde" w:hAnsi="ITC Avant Garde"/>
          <w:sz w:val="22"/>
          <w:szCs w:val="22"/>
          <w:lang w:val="es-ES"/>
        </w:rPr>
        <w:t>para que sea corregida y reenviada a Telmex a fin de que vuelva a ser evaluada.</w:t>
      </w:r>
    </w:p>
    <w:p w14:paraId="3E7237B2" w14:textId="77777777" w:rsidR="008070FB" w:rsidRPr="00422CA2" w:rsidRDefault="008070FB" w:rsidP="00BC6E66">
      <w:pPr>
        <w:pStyle w:val="Prrafodelista"/>
        <w:numPr>
          <w:ilvl w:val="0"/>
          <w:numId w:val="213"/>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validada la solicitud, se verificará la factibilidad técnica y se responderá al CS en un plazo no mayor a 3 días hábiles conforme a lo siguiente: </w:t>
      </w:r>
    </w:p>
    <w:p w14:paraId="3ECF8CE5" w14:textId="77777777" w:rsidR="008070FB" w:rsidRPr="00422CA2" w:rsidRDefault="008070FB" w:rsidP="00BC6E66">
      <w:pPr>
        <w:pStyle w:val="Prrafodelista"/>
        <w:numPr>
          <w:ilvl w:val="0"/>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Existe factibilidad técnica: </w:t>
      </w:r>
    </w:p>
    <w:p w14:paraId="3B5CEFE1" w14:textId="77777777" w:rsidR="008070FB" w:rsidRPr="00422CA2" w:rsidRDefault="008070FB" w:rsidP="00BC6E66">
      <w:pPr>
        <w:pStyle w:val="Prrafodelista"/>
        <w:numPr>
          <w:ilvl w:val="1"/>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enviará la cotización y el plan de trabajo correspondiente.</w:t>
      </w:r>
    </w:p>
    <w:p w14:paraId="776B5789" w14:textId="77777777" w:rsidR="008070FB" w:rsidRPr="00422CA2" w:rsidRDefault="008070FB" w:rsidP="00BC6E66">
      <w:pPr>
        <w:pStyle w:val="Prrafodelista"/>
        <w:numPr>
          <w:ilvl w:val="1"/>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contará con 5 días hábiles para confirmar la aceptación</w:t>
      </w:r>
      <w:r w:rsidRPr="00422CA2">
        <w:rPr>
          <w:rStyle w:val="Refdenotaalpie"/>
          <w:rFonts w:ascii="ITC Avant Garde" w:hAnsi="ITC Avant Garde" w:cs="Arial"/>
          <w:sz w:val="22"/>
          <w:szCs w:val="22"/>
        </w:rPr>
        <w:footnoteReference w:id="47"/>
      </w:r>
      <w:r w:rsidRPr="00422CA2">
        <w:rPr>
          <w:rFonts w:ascii="ITC Avant Garde" w:hAnsi="ITC Avant Garde" w:cs="Arial"/>
          <w:sz w:val="22"/>
          <w:szCs w:val="22"/>
        </w:rPr>
        <w:t xml:space="preserve">, dentro de este plazo el CS podrá analizar el </w:t>
      </w:r>
      <w:r w:rsidRPr="00422CA2">
        <w:rPr>
          <w:rFonts w:ascii="ITC Avant Garde" w:hAnsi="ITC Avant Garde" w:cs="Arial"/>
          <w:sz w:val="22"/>
          <w:szCs w:val="22"/>
        </w:rPr>
        <w:lastRenderedPageBreak/>
        <w:t>presupuesto y solicitar aclaraciones a Telmex, si no se recibe se entenderá que el CS rechazó la solicitud.</w:t>
      </w:r>
    </w:p>
    <w:p w14:paraId="6C0A29F0" w14:textId="77777777" w:rsidR="008070FB" w:rsidRPr="00422CA2" w:rsidRDefault="008070FB" w:rsidP="00BC6E66">
      <w:pPr>
        <w:pStyle w:val="Prrafodelista"/>
        <w:numPr>
          <w:ilvl w:val="1"/>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recibida la aceptación de la cotización y el plan de trabajo se realizará la modificación en un plazo máximo de 30 días hábiles</w:t>
      </w:r>
      <w:r w:rsidRPr="00422CA2">
        <w:rPr>
          <w:rStyle w:val="Refdenotaalpie"/>
          <w:rFonts w:ascii="ITC Avant Garde" w:hAnsi="ITC Avant Garde" w:cs="Arial"/>
          <w:sz w:val="22"/>
          <w:szCs w:val="22"/>
          <w:lang w:val="es-ES" w:eastAsia="es-MX"/>
        </w:rPr>
        <w:footnoteReference w:id="48"/>
      </w:r>
      <w:r w:rsidRPr="00422CA2">
        <w:rPr>
          <w:rFonts w:ascii="ITC Avant Garde" w:hAnsi="ITC Avant Garde" w:cs="Arial"/>
          <w:sz w:val="22"/>
          <w:szCs w:val="22"/>
        </w:rPr>
        <w:t>.</w:t>
      </w:r>
    </w:p>
    <w:p w14:paraId="5CF7D01A" w14:textId="77777777" w:rsidR="008070FB" w:rsidRPr="00422CA2" w:rsidRDefault="008070FB" w:rsidP="00BC6E66">
      <w:pPr>
        <w:pStyle w:val="Prrafodelista"/>
        <w:numPr>
          <w:ilvl w:val="0"/>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No existe factibilidad técnica:</w:t>
      </w:r>
    </w:p>
    <w:p w14:paraId="29F74F49" w14:textId="77777777" w:rsidR="008070FB" w:rsidRPr="00422CA2" w:rsidRDefault="008070FB" w:rsidP="00BC6E66">
      <w:pPr>
        <w:pStyle w:val="Prrafodelista"/>
        <w:numPr>
          <w:ilvl w:val="1"/>
          <w:numId w:val="78"/>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Se entregará al CS en el Sistema de Captura o SEG la justificación de los motivos descritos en el apartado 1.4 relativo a los recursos de red asociados a los servicios, así como las evidencias correspondientes, a solicitud del CS se iniciará el procedimiento de Trabajo Especial.</w:t>
      </w:r>
    </w:p>
    <w:p w14:paraId="0FA97532" w14:textId="77777777" w:rsidR="008070FB" w:rsidRPr="00422CA2" w:rsidRDefault="008070FB" w:rsidP="00BC6E66">
      <w:pPr>
        <w:pStyle w:val="Prrafodelista"/>
        <w:numPr>
          <w:ilvl w:val="0"/>
          <w:numId w:val="213"/>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Una vez realizadas las modificación se le notificará al CS que se la Coubicación está lista para ser ocupada y se comenzará a facturar la renta correspondiente.</w:t>
      </w:r>
    </w:p>
    <w:p w14:paraId="7301B230" w14:textId="77777777" w:rsidR="008070FB" w:rsidRPr="00422CA2" w:rsidRDefault="008070FB" w:rsidP="00BC6E66">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lang w:val="es-ES"/>
        </w:rPr>
        <w:t>Debido a que en la ejecución de los trabajos de adecuación se realizan en condiciones de operación por parte de la infraestructura de equipo del CS, se debe acordar con el CS la ventana de mantenimiento correspondiente para evitar cualquier tipo de afectación, esto se realizara a través del SC o SEG (cuando esté disponible).</w:t>
      </w:r>
    </w:p>
    <w:p w14:paraId="49C2684C" w14:textId="77777777" w:rsidR="008070FB" w:rsidRPr="00422CA2" w:rsidRDefault="008070FB" w:rsidP="008070FB">
      <w:pPr>
        <w:spacing w:after="200" w:line="276" w:lineRule="auto"/>
        <w:jc w:val="both"/>
        <w:rPr>
          <w:rFonts w:ascii="ITC Avant Garde" w:hAnsi="ITC Avant Garde" w:cs="Arial"/>
          <w:b/>
          <w:sz w:val="22"/>
          <w:szCs w:val="22"/>
        </w:rPr>
      </w:pPr>
      <w:r w:rsidRPr="00422CA2">
        <w:rPr>
          <w:rFonts w:ascii="ITC Avant Garde" w:hAnsi="ITC Avant Garde" w:cs="Arial"/>
          <w:b/>
          <w:sz w:val="22"/>
          <w:szCs w:val="22"/>
        </w:rPr>
        <w:t>Baja del servicio</w:t>
      </w:r>
    </w:p>
    <w:p w14:paraId="4227F796" w14:textId="77777777" w:rsidR="008070FB" w:rsidRPr="00422CA2" w:rsidRDefault="008070FB" w:rsidP="008070FB">
      <w:pPr>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baja de los servicios de Coubicación; las fases en que se divide este procedimiento son: (i) Entrega y validación de la solicitud para que el CS manifieste su intención de dar de baja los servicios, y la validación por parte de Telmex de que la solicitud cuenta con todos los elementos; </w:t>
      </w:r>
      <w:r w:rsidRPr="00422CA2">
        <w:rPr>
          <w:rFonts w:ascii="ITC Avant Garde" w:hAnsi="ITC Avant Garde" w:cs="Arial"/>
          <w:sz w:val="22"/>
          <w:szCs w:val="22"/>
        </w:rPr>
        <w:t>y (ii) Baja del (los) servicio (s) y de la facturación correspondiente.</w:t>
      </w:r>
    </w:p>
    <w:p w14:paraId="72313564" w14:textId="77777777" w:rsidR="008070FB" w:rsidRPr="00422CA2" w:rsidRDefault="008070FB" w:rsidP="008070FB">
      <w:pPr>
        <w:pStyle w:val="Prrafodelista"/>
        <w:numPr>
          <w:ilvl w:val="0"/>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Para dar de baja un servicio 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64DA3955" w14:textId="77777777" w:rsidR="008070FB" w:rsidRPr="00422CA2" w:rsidRDefault="008070FB" w:rsidP="008070FB">
      <w:pPr>
        <w:pStyle w:val="Prrafodelista"/>
        <w:numPr>
          <w:ilvl w:val="0"/>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lastRenderedPageBreak/>
        <w:t>Se validará que la solicitud cumpla con la información de los formatos y en un plazo máximo de 1 día hábil se contestará conforme lo siguiente:</w:t>
      </w:r>
    </w:p>
    <w:p w14:paraId="22D66366" w14:textId="1840BC8E" w:rsidR="008070FB" w:rsidRPr="00422CA2" w:rsidRDefault="008070FB" w:rsidP="00A84DBA">
      <w:pPr>
        <w:pStyle w:val="Prrafodelista"/>
        <w:numPr>
          <w:ilvl w:val="1"/>
          <w:numId w:val="48"/>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cumple con lo establecido se dará seguimiento con un </w:t>
      </w:r>
      <w:r w:rsidR="00A84DBA" w:rsidRPr="00422CA2">
        <w:rPr>
          <w:rFonts w:ascii="ITC Avant Garde" w:hAnsi="ITC Avant Garde" w:cs="Arial"/>
          <w:sz w:val="22"/>
          <w:szCs w:val="22"/>
          <w:lang w:val="es-MX"/>
        </w:rPr>
        <w:t>Número de Identificación del Servicio</w:t>
      </w:r>
      <w:r w:rsidRPr="00422CA2">
        <w:rPr>
          <w:rFonts w:ascii="ITC Avant Garde" w:hAnsi="ITC Avant Garde" w:cs="Arial"/>
          <w:sz w:val="22"/>
          <w:szCs w:val="22"/>
          <w:lang w:val="es-MX"/>
        </w:rPr>
        <w:t xml:space="preserve">. </w:t>
      </w:r>
    </w:p>
    <w:p w14:paraId="0BADE2B0" w14:textId="44587504" w:rsidR="00725639" w:rsidRPr="00422CA2" w:rsidRDefault="008070FB">
      <w:pPr>
        <w:pStyle w:val="Prrafodelista"/>
        <w:numPr>
          <w:ilvl w:val="1"/>
          <w:numId w:val="48"/>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información no cumple con lo establecido será devuelta al CS </w:t>
      </w:r>
      <w:r w:rsidRPr="00422CA2">
        <w:rPr>
          <w:rFonts w:ascii="ITC Avant Garde" w:hAnsi="ITC Avant Garde" w:cs="Arial"/>
          <w:sz w:val="22"/>
          <w:szCs w:val="22"/>
        </w:rPr>
        <w:t xml:space="preserve">junto con el motivo por el cual no fue válida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lang w:val="es-MX"/>
        </w:rPr>
        <w:t>.</w:t>
      </w:r>
    </w:p>
    <w:p w14:paraId="0261B717" w14:textId="4C9FC3DF" w:rsidR="00725639" w:rsidRPr="00422CA2" w:rsidRDefault="00725639">
      <w:pPr>
        <w:pStyle w:val="Prrafodelista"/>
        <w:numPr>
          <w:ilvl w:val="0"/>
          <w:numId w:val="48"/>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eastAsia="es-MX"/>
        </w:rPr>
        <w:t>La facturación del servicio se detendrá a los 2 días de haberse solicitado la baja.</w:t>
      </w:r>
    </w:p>
    <w:p w14:paraId="1B2F8DCB" w14:textId="77777777" w:rsidR="008070FB" w:rsidRPr="00422CA2" w:rsidRDefault="008070FB" w:rsidP="008070FB">
      <w:pPr>
        <w:pStyle w:val="Prrafodelista"/>
        <w:numPr>
          <w:ilvl w:val="0"/>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Una vez asignado el folio el CS deberá retirar sus equipos en un plazo máximo de 5 días hábiles. </w:t>
      </w:r>
    </w:p>
    <w:p w14:paraId="0A5F7646" w14:textId="77777777" w:rsidR="008070FB" w:rsidRPr="00422CA2" w:rsidRDefault="008070FB" w:rsidP="008070FB">
      <w:pPr>
        <w:pStyle w:val="Prrafodelista"/>
        <w:numPr>
          <w:ilvl w:val="0"/>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Retirados los equipos Telmex verificará que no existan afectaciones:</w:t>
      </w:r>
    </w:p>
    <w:p w14:paraId="0B490086" w14:textId="0C899BE7" w:rsidR="008070FB" w:rsidRPr="00422CA2" w:rsidRDefault="00A84DBA" w:rsidP="00A84DBA">
      <w:pPr>
        <w:pStyle w:val="Prrafodelista"/>
        <w:numPr>
          <w:ilvl w:val="1"/>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De no existir afectaciones, se finalizará la baja el servicio correspondiente y se cerrará el NIS en el Sistema de Captura o el SEG una vez que sea habilitado</w:t>
      </w:r>
      <w:r w:rsidR="008070FB" w:rsidRPr="00422CA2">
        <w:rPr>
          <w:rFonts w:ascii="ITC Avant Garde" w:hAnsi="ITC Avant Garde" w:cs="Arial"/>
          <w:sz w:val="22"/>
          <w:szCs w:val="22"/>
          <w:lang w:val="es-MX" w:eastAsia="es-MX"/>
        </w:rPr>
        <w:t>.</w:t>
      </w:r>
    </w:p>
    <w:p w14:paraId="0AA5C4CA" w14:textId="41C577C2" w:rsidR="008070FB" w:rsidRPr="00422CA2" w:rsidRDefault="00A84DBA" w:rsidP="00A84DBA">
      <w:pPr>
        <w:pStyle w:val="Prrafodelista"/>
        <w:numPr>
          <w:ilvl w:val="1"/>
          <w:numId w:val="48"/>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En caso de existir afectaciones, el CS deberá resarcir los daños. Una vez realizado lo anterior, se finalizará la baja el servicio correspondiente y se cerrará el NIS en el Sistema de Captura o el SEG una vez que sea habilitado</w:t>
      </w:r>
      <w:r w:rsidR="008070FB" w:rsidRPr="00422CA2">
        <w:rPr>
          <w:rFonts w:ascii="ITC Avant Garde" w:hAnsi="ITC Avant Garde" w:cs="Arial"/>
          <w:sz w:val="22"/>
          <w:szCs w:val="22"/>
          <w:lang w:val="es-MX" w:eastAsia="es-MX"/>
        </w:rPr>
        <w:t>.</w:t>
      </w:r>
    </w:p>
    <w:p w14:paraId="523B9F33" w14:textId="77777777" w:rsidR="008070FB" w:rsidRPr="00422CA2" w:rsidRDefault="008070FB" w:rsidP="008070FB">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Nota:</w:t>
      </w:r>
    </w:p>
    <w:p w14:paraId="54574B42" w14:textId="77777777" w:rsidR="008070FB" w:rsidRPr="00422CA2" w:rsidRDefault="008070FB" w:rsidP="008070FB">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El CS deberá tomar en cuenta que no existe el esquema de rentas parciales sino sólo de rentas mensuales, por lo que no será posible realizar cobros parciales de los servicios. </w:t>
      </w:r>
    </w:p>
    <w:p w14:paraId="536CFCAF" w14:textId="77777777" w:rsidR="0092070D" w:rsidRPr="00422CA2" w:rsidRDefault="0092070D" w:rsidP="0037703A">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para accesos a Coubicación por falla.</w:t>
      </w:r>
    </w:p>
    <w:p w14:paraId="1726953A" w14:textId="77777777" w:rsidR="0092070D" w:rsidRPr="00422CA2" w:rsidRDefault="0092070D" w:rsidP="0037703A">
      <w:pPr>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tramitar el acceso a sus Coubicaciones derivado de una falla en los servicios; las fases en que se divide este procedimiento son: (i) Entrega de la solicitud; </w:t>
      </w:r>
      <w:r w:rsidRPr="00422CA2">
        <w:rPr>
          <w:rFonts w:ascii="ITC Avant Garde" w:hAnsi="ITC Avant Garde" w:cs="Arial"/>
          <w:sz w:val="22"/>
          <w:szCs w:val="22"/>
        </w:rPr>
        <w:t>y (ii) Asignación del pase de acceso a la Coubicación.</w:t>
      </w:r>
    </w:p>
    <w:p w14:paraId="124C8D19" w14:textId="77777777" w:rsidR="0092070D" w:rsidRPr="00422CA2" w:rsidRDefault="0092070D" w:rsidP="0037703A">
      <w:pPr>
        <w:pStyle w:val="Prrafodelista"/>
        <w:numPr>
          <w:ilvl w:val="0"/>
          <w:numId w:val="36"/>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Cuando el CS necesite acceder a la Coubicación para reparar alguna falla, deberá enviar el Formato de Acceso a Telmex vía 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el SEG una vez que entre en operación</w:t>
      </w:r>
      <w:r w:rsidRPr="00422CA2">
        <w:rPr>
          <w:rFonts w:ascii="ITC Avant Garde" w:hAnsi="ITC Avant Garde" w:cs="Arial"/>
          <w:sz w:val="22"/>
          <w:szCs w:val="22"/>
          <w:lang w:val="es-ES" w:eastAsia="es-MX"/>
        </w:rPr>
        <w:t xml:space="preserve">, adicionalmente deberá incluir el </w:t>
      </w:r>
      <w:r w:rsidRPr="00422CA2">
        <w:rPr>
          <w:rFonts w:ascii="ITC Avant Garde" w:hAnsi="ITC Avant Garde" w:cs="Arial"/>
          <w:sz w:val="22"/>
          <w:szCs w:val="22"/>
          <w:lang w:val="es-ES" w:eastAsia="es-MX"/>
        </w:rPr>
        <w:lastRenderedPageBreak/>
        <w:t>formato de Responsiva de Riesgo firmado, e indicar el número de NIS</w:t>
      </w:r>
      <w:r w:rsidRPr="00422CA2">
        <w:rPr>
          <w:rFonts w:ascii="ITC Avant Garde" w:hAnsi="ITC Avant Garde"/>
          <w:sz w:val="22"/>
          <w:szCs w:val="22"/>
        </w:rPr>
        <w:t>-Referencia</w:t>
      </w:r>
      <w:r w:rsidRPr="00422CA2">
        <w:rPr>
          <w:rFonts w:ascii="ITC Avant Garde" w:hAnsi="ITC Avant Garde" w:cs="Arial"/>
          <w:sz w:val="22"/>
          <w:szCs w:val="22"/>
          <w:lang w:val="es-ES" w:eastAsia="es-MX"/>
        </w:rPr>
        <w:t xml:space="preserve"> al cual está relacionada la Coubicación.</w:t>
      </w:r>
    </w:p>
    <w:p w14:paraId="1DCDB00E" w14:textId="07460024" w:rsidR="0092070D" w:rsidRPr="00422CA2" w:rsidRDefault="0092070D" w:rsidP="0037703A">
      <w:pPr>
        <w:pStyle w:val="Prrafodelista"/>
        <w:numPr>
          <w:ilvl w:val="0"/>
          <w:numId w:val="36"/>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Se responderá en un plazo máximo de </w:t>
      </w:r>
      <w:r w:rsidR="00E45203" w:rsidRPr="00422CA2">
        <w:rPr>
          <w:rFonts w:ascii="ITC Avant Garde" w:hAnsi="ITC Avant Garde" w:cs="Arial"/>
          <w:sz w:val="22"/>
          <w:szCs w:val="22"/>
          <w:lang w:val="es-ES" w:eastAsia="es-MX"/>
        </w:rPr>
        <w:t xml:space="preserve">2 </w:t>
      </w:r>
      <w:r w:rsidRPr="00422CA2">
        <w:rPr>
          <w:rFonts w:ascii="ITC Avant Garde" w:hAnsi="ITC Avant Garde" w:cs="Arial"/>
          <w:sz w:val="22"/>
          <w:szCs w:val="22"/>
          <w:lang w:val="es-ES" w:eastAsia="es-MX"/>
        </w:rPr>
        <w:t xml:space="preserve">horas después de haber sido recibida la notificación y le será asignado al CS un pase de acceso a la Coubicación. </w:t>
      </w:r>
    </w:p>
    <w:p w14:paraId="372AA498" w14:textId="77777777" w:rsidR="0092070D" w:rsidRPr="00422CA2" w:rsidRDefault="0092070D" w:rsidP="0037703A">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para mantenimiento programado.</w:t>
      </w:r>
    </w:p>
    <w:p w14:paraId="79F919A1" w14:textId="77777777" w:rsidR="0092070D" w:rsidRPr="00422CA2" w:rsidRDefault="0092070D" w:rsidP="0037703A">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tramitar el acceso a sus Coubicaciones derivado de un mantenimiento programado en su Coubicación; las fases en que se divide este procedimiento son: (i) Entrega de la solicitud; </w:t>
      </w:r>
      <w:r w:rsidRPr="00422CA2">
        <w:rPr>
          <w:rFonts w:ascii="ITC Avant Garde" w:hAnsi="ITC Avant Garde" w:cs="Arial"/>
          <w:sz w:val="22"/>
          <w:szCs w:val="22"/>
        </w:rPr>
        <w:t>y (ii) Asignación del pase de acceso a la Coubicación.</w:t>
      </w:r>
    </w:p>
    <w:p w14:paraId="4F30E4AB" w14:textId="77777777"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Cuando el CS requiera realizar actividades de mantenimiento sobre los elementos instalados en su Coubicación, deberá:</w:t>
      </w:r>
    </w:p>
    <w:p w14:paraId="21C152AF" w14:textId="26AEF83D" w:rsidR="0092070D" w:rsidRPr="00422CA2" w:rsidRDefault="0092070D" w:rsidP="0037703A">
      <w:pPr>
        <w:pStyle w:val="Prrafodelista"/>
        <w:numPr>
          <w:ilvl w:val="0"/>
          <w:numId w:val="37"/>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Dar aviso con </w:t>
      </w:r>
      <w:r w:rsidR="00E45203" w:rsidRPr="00422CA2">
        <w:rPr>
          <w:rFonts w:ascii="ITC Avant Garde" w:hAnsi="ITC Avant Garde" w:cs="Arial"/>
          <w:sz w:val="22"/>
          <w:szCs w:val="22"/>
          <w:lang w:val="es-ES" w:eastAsia="es-MX"/>
        </w:rPr>
        <w:t xml:space="preserve">10 </w:t>
      </w:r>
      <w:r w:rsidRPr="00422CA2">
        <w:rPr>
          <w:rFonts w:ascii="ITC Avant Garde" w:hAnsi="ITC Avant Garde" w:cs="Arial"/>
          <w:sz w:val="22"/>
          <w:szCs w:val="22"/>
          <w:lang w:val="es-ES" w:eastAsia="es-MX"/>
        </w:rPr>
        <w:t xml:space="preserve">días hábiles de anticipación a través del </w:t>
      </w:r>
      <w:r w:rsidR="00902623" w:rsidRPr="00422CA2">
        <w:rPr>
          <w:rFonts w:ascii="ITC Avant Garde" w:hAnsi="ITC Avant Garde" w:cs="Arial"/>
          <w:sz w:val="22"/>
          <w:szCs w:val="22"/>
          <w:lang w:val="es-ES" w:eastAsia="es-MX"/>
        </w:rPr>
        <w:t>Sistema</w:t>
      </w:r>
      <w:r w:rsidRPr="00422CA2">
        <w:rPr>
          <w:rFonts w:ascii="ITC Avant Garde" w:hAnsi="ITC Avant Garde" w:cs="Arial"/>
          <w:sz w:val="22"/>
          <w:szCs w:val="22"/>
          <w:lang w:val="es-ES" w:eastAsia="es-MX"/>
        </w:rPr>
        <w:t xml:space="preserve"> de </w:t>
      </w:r>
      <w:r w:rsidR="00902623" w:rsidRPr="00422CA2">
        <w:rPr>
          <w:rFonts w:ascii="ITC Avant Garde" w:hAnsi="ITC Avant Garde" w:cs="Arial"/>
          <w:sz w:val="22"/>
          <w:szCs w:val="22"/>
          <w:lang w:val="es-ES" w:eastAsia="es-MX"/>
        </w:rPr>
        <w:t>C</w:t>
      </w:r>
      <w:r w:rsidRPr="00422CA2">
        <w:rPr>
          <w:rFonts w:ascii="ITC Avant Garde" w:hAnsi="ITC Avant Garde" w:cs="Arial"/>
          <w:sz w:val="22"/>
          <w:szCs w:val="22"/>
          <w:lang w:val="es-ES" w:eastAsia="es-MX"/>
        </w:rPr>
        <w:t>aptura</w:t>
      </w:r>
      <w:r w:rsidRPr="00422CA2">
        <w:rPr>
          <w:rFonts w:ascii="ITC Avant Garde" w:hAnsi="ITC Avant Garde"/>
          <w:sz w:val="22"/>
          <w:szCs w:val="22"/>
        </w:rPr>
        <w:t>,</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w:t>
      </w:r>
      <w:r w:rsidRPr="00422CA2">
        <w:rPr>
          <w:rFonts w:ascii="ITC Avant Garde" w:hAnsi="ITC Avant Garde" w:cs="Arial"/>
          <w:sz w:val="22"/>
          <w:szCs w:val="22"/>
          <w:lang w:val="es-ES" w:eastAsia="es-MX"/>
        </w:rPr>
        <w:t>. Dicho aviso deberá contener:</w:t>
      </w:r>
    </w:p>
    <w:p w14:paraId="108DBFE5" w14:textId="52B29D1F" w:rsidR="0092070D" w:rsidRPr="00422CA2" w:rsidRDefault="0092070D" w:rsidP="00902623">
      <w:pPr>
        <w:pStyle w:val="Prrafodelista"/>
        <w:numPr>
          <w:ilvl w:val="1"/>
          <w:numId w:val="215"/>
        </w:numPr>
        <w:spacing w:after="200" w:line="276" w:lineRule="auto"/>
        <w:ind w:left="1418"/>
        <w:jc w:val="both"/>
        <w:rPr>
          <w:rFonts w:ascii="ITC Avant Garde" w:hAnsi="ITC Avant Garde"/>
          <w:sz w:val="22"/>
          <w:szCs w:val="22"/>
        </w:rPr>
      </w:pPr>
      <w:r w:rsidRPr="00422CA2">
        <w:rPr>
          <w:rFonts w:ascii="ITC Avant Garde" w:hAnsi="ITC Avant Garde"/>
          <w:sz w:val="22"/>
          <w:szCs w:val="22"/>
        </w:rPr>
        <w:t>Descripción detallada de las actividades a realizar;</w:t>
      </w:r>
    </w:p>
    <w:p w14:paraId="29077023" w14:textId="10E1F627" w:rsidR="0092070D" w:rsidRPr="00422CA2" w:rsidRDefault="0092070D" w:rsidP="00902623">
      <w:pPr>
        <w:pStyle w:val="Prrafodelista"/>
        <w:numPr>
          <w:ilvl w:val="1"/>
          <w:numId w:val="215"/>
        </w:numPr>
        <w:spacing w:after="200" w:line="276" w:lineRule="auto"/>
        <w:ind w:left="1418"/>
        <w:jc w:val="both"/>
        <w:rPr>
          <w:rFonts w:ascii="ITC Avant Garde" w:hAnsi="ITC Avant Garde"/>
          <w:sz w:val="22"/>
          <w:szCs w:val="22"/>
        </w:rPr>
      </w:pPr>
      <w:r w:rsidRPr="00422CA2">
        <w:rPr>
          <w:rFonts w:ascii="ITC Avant Garde" w:hAnsi="ITC Avant Garde"/>
          <w:sz w:val="22"/>
          <w:szCs w:val="22"/>
        </w:rPr>
        <w:t>Coubicación que será intervenida;</w:t>
      </w:r>
    </w:p>
    <w:p w14:paraId="1D65AE2E" w14:textId="0EB488A1" w:rsidR="0092070D" w:rsidRPr="00422CA2" w:rsidRDefault="0092070D" w:rsidP="00902623">
      <w:pPr>
        <w:pStyle w:val="Prrafodelista"/>
        <w:numPr>
          <w:ilvl w:val="1"/>
          <w:numId w:val="215"/>
        </w:numPr>
        <w:spacing w:after="200" w:line="276" w:lineRule="auto"/>
        <w:ind w:left="1418"/>
        <w:jc w:val="both"/>
        <w:rPr>
          <w:rFonts w:ascii="ITC Avant Garde" w:hAnsi="ITC Avant Garde"/>
          <w:sz w:val="22"/>
          <w:szCs w:val="22"/>
        </w:rPr>
      </w:pPr>
      <w:r w:rsidRPr="00422CA2">
        <w:rPr>
          <w:rFonts w:ascii="ITC Avant Garde" w:hAnsi="ITC Avant Garde"/>
          <w:sz w:val="22"/>
          <w:szCs w:val="22"/>
        </w:rPr>
        <w:t>Programa de actividades, detallando horarios, fechas y</w:t>
      </w:r>
    </w:p>
    <w:p w14:paraId="60D7EEC7" w14:textId="3FF0F3D3" w:rsidR="0092070D" w:rsidRPr="00422CA2" w:rsidRDefault="0092070D" w:rsidP="00902623">
      <w:pPr>
        <w:pStyle w:val="Prrafodelista"/>
        <w:numPr>
          <w:ilvl w:val="1"/>
          <w:numId w:val="215"/>
        </w:numPr>
        <w:spacing w:after="200" w:line="276" w:lineRule="auto"/>
        <w:ind w:left="1418"/>
        <w:jc w:val="both"/>
        <w:rPr>
          <w:rFonts w:ascii="ITC Avant Garde" w:hAnsi="ITC Avant Garde"/>
          <w:sz w:val="22"/>
          <w:szCs w:val="22"/>
        </w:rPr>
      </w:pPr>
      <w:r w:rsidRPr="00422CA2">
        <w:rPr>
          <w:rFonts w:ascii="ITC Avant Garde" w:hAnsi="ITC Avant Garde"/>
          <w:sz w:val="22"/>
          <w:szCs w:val="22"/>
        </w:rPr>
        <w:t>Datos de contacto.</w:t>
      </w:r>
    </w:p>
    <w:p w14:paraId="56F040DA" w14:textId="46349DD7" w:rsidR="0092070D" w:rsidRPr="00422CA2" w:rsidRDefault="0092070D" w:rsidP="0037703A">
      <w:pPr>
        <w:pStyle w:val="Prrafodelista"/>
        <w:numPr>
          <w:ilvl w:val="0"/>
          <w:numId w:val="37"/>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 xml:space="preserve">Telmex contestará en un plazo de </w:t>
      </w:r>
      <w:r w:rsidR="00E45203" w:rsidRPr="00422CA2">
        <w:rPr>
          <w:rFonts w:ascii="ITC Avant Garde" w:hAnsi="ITC Avant Garde" w:cs="Arial"/>
          <w:sz w:val="22"/>
          <w:szCs w:val="22"/>
          <w:lang w:val="es-ES" w:eastAsia="es-MX"/>
        </w:rPr>
        <w:t xml:space="preserve">2 </w:t>
      </w:r>
      <w:r w:rsidRPr="00422CA2">
        <w:rPr>
          <w:rFonts w:ascii="ITC Avant Garde" w:hAnsi="ITC Avant Garde" w:cs="Arial"/>
          <w:sz w:val="22"/>
          <w:szCs w:val="22"/>
          <w:lang w:val="es-ES" w:eastAsia="es-MX"/>
        </w:rPr>
        <w:t>días hábiles con la autorización correspondiente.</w:t>
      </w:r>
    </w:p>
    <w:p w14:paraId="59F4CF00" w14:textId="77777777"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El CS deberá tramitar los Accesos a su Coubicación mediante el procedimiento establecido para Accesos a Coubicación.</w:t>
      </w:r>
    </w:p>
    <w:p w14:paraId="25C6E966" w14:textId="6B9827E8" w:rsidR="0092070D" w:rsidRPr="00422CA2" w:rsidRDefault="0092070D" w:rsidP="0037703A">
      <w:pPr>
        <w:autoSpaceDE w:val="0"/>
        <w:autoSpaceDN w:val="0"/>
        <w:adjustRightInd w:val="0"/>
        <w:spacing w:after="200" w:line="276" w:lineRule="auto"/>
        <w:rPr>
          <w:rFonts w:ascii="ITC Avant Garde" w:hAnsi="ITC Avant Garde" w:cs="Arial"/>
          <w:b/>
          <w:sz w:val="22"/>
          <w:szCs w:val="22"/>
        </w:rPr>
      </w:pPr>
      <w:r w:rsidRPr="00422CA2">
        <w:rPr>
          <w:rFonts w:ascii="ITC Avant Garde" w:hAnsi="ITC Avant Garde" w:cs="Arial"/>
          <w:b/>
          <w:sz w:val="22"/>
          <w:szCs w:val="22"/>
        </w:rPr>
        <w:t xml:space="preserve">Procedimiento para Reubicación </w:t>
      </w:r>
      <w:r w:rsidR="00107F51" w:rsidRPr="00422CA2">
        <w:rPr>
          <w:rFonts w:ascii="ITC Avant Garde" w:hAnsi="ITC Avant Garde" w:cs="Arial"/>
          <w:b/>
          <w:sz w:val="22"/>
          <w:szCs w:val="22"/>
        </w:rPr>
        <w:t>por</w:t>
      </w:r>
      <w:r w:rsidRPr="00422CA2">
        <w:rPr>
          <w:rFonts w:ascii="ITC Avant Garde" w:hAnsi="ITC Avant Garde" w:cs="Arial"/>
          <w:b/>
          <w:sz w:val="22"/>
          <w:szCs w:val="22"/>
        </w:rPr>
        <w:t xml:space="preserve"> </w:t>
      </w:r>
      <w:r w:rsidR="00045EC7" w:rsidRPr="00422CA2">
        <w:rPr>
          <w:rFonts w:ascii="ITC Avant Garde" w:hAnsi="ITC Avant Garde" w:cs="Arial"/>
          <w:b/>
          <w:sz w:val="22"/>
          <w:szCs w:val="22"/>
        </w:rPr>
        <w:t>C</w:t>
      </w:r>
      <w:r w:rsidRPr="00422CA2">
        <w:rPr>
          <w:rFonts w:ascii="ITC Avant Garde" w:hAnsi="ITC Avant Garde" w:cs="Arial"/>
          <w:b/>
          <w:sz w:val="22"/>
          <w:szCs w:val="22"/>
        </w:rPr>
        <w:t>ierre de Centrales Telefónicas</w:t>
      </w:r>
    </w:p>
    <w:p w14:paraId="0B5939FD" w14:textId="7649EE0A" w:rsidR="0011680B" w:rsidRPr="00422CA2" w:rsidRDefault="0092070D" w:rsidP="0037703A">
      <w:pPr>
        <w:spacing w:after="200" w:line="276" w:lineRule="auto"/>
        <w:jc w:val="both"/>
        <w:rPr>
          <w:rFonts w:ascii="ITC Avant Garde" w:hAnsi="ITC Avant Garde"/>
          <w:sz w:val="22"/>
          <w:szCs w:val="22"/>
          <w:lang w:val="es-MX"/>
        </w:rPr>
      </w:pPr>
      <w:r w:rsidRPr="00422CA2">
        <w:rPr>
          <w:rFonts w:ascii="ITC Avant Garde" w:hAnsi="ITC Avant Garde"/>
          <w:sz w:val="22"/>
          <w:szCs w:val="22"/>
        </w:rPr>
        <w:t xml:space="preserve">Cuando Telmex decida cerrar una </w:t>
      </w:r>
      <w:r w:rsidR="00C84A24" w:rsidRPr="00422CA2">
        <w:rPr>
          <w:rFonts w:ascii="ITC Avant Garde" w:hAnsi="ITC Avant Garde"/>
          <w:sz w:val="22"/>
          <w:szCs w:val="22"/>
          <w:lang w:val="es-MX"/>
        </w:rPr>
        <w:t>Central Telefónica o Instalación Equivalente</w:t>
      </w:r>
      <w:r w:rsidRPr="00422CA2">
        <w:rPr>
          <w:rFonts w:ascii="ITC Avant Garde" w:hAnsi="ITC Avant Garde"/>
          <w:sz w:val="22"/>
          <w:szCs w:val="22"/>
        </w:rPr>
        <w:t xml:space="preserve">, los Concesionarios Solicitantes serán reubicados en </w:t>
      </w:r>
      <w:r w:rsidR="000B4243" w:rsidRPr="00422CA2">
        <w:rPr>
          <w:rFonts w:ascii="ITC Avant Garde" w:hAnsi="ITC Avant Garde"/>
          <w:sz w:val="22"/>
          <w:szCs w:val="22"/>
        </w:rPr>
        <w:t xml:space="preserve">otra </w:t>
      </w:r>
      <w:r w:rsidR="000B4243" w:rsidRPr="00422CA2">
        <w:rPr>
          <w:rFonts w:ascii="ITC Avant Garde" w:hAnsi="ITC Avant Garde"/>
          <w:sz w:val="22"/>
          <w:szCs w:val="22"/>
          <w:lang w:val="es-MX"/>
        </w:rPr>
        <w:t>Central Telefónica o Instalación Equivalente</w:t>
      </w:r>
      <w:r w:rsidRPr="00422CA2">
        <w:rPr>
          <w:rFonts w:ascii="ITC Avant Garde" w:hAnsi="ITC Avant Garde"/>
          <w:sz w:val="22"/>
          <w:szCs w:val="22"/>
        </w:rPr>
        <w:t xml:space="preserve">, </w:t>
      </w:r>
      <w:r w:rsidR="000B4243" w:rsidRPr="00422CA2">
        <w:rPr>
          <w:rFonts w:ascii="ITC Avant Garde" w:hAnsi="ITC Avant Garde"/>
          <w:sz w:val="22"/>
          <w:szCs w:val="22"/>
          <w:lang w:val="es-MX"/>
        </w:rPr>
        <w:t xml:space="preserve">considerando dentro de las nuevas instalaciones los servicios actualmente contratados por los CS. </w:t>
      </w:r>
    </w:p>
    <w:p w14:paraId="5AF4C7BE" w14:textId="5EAE8DD2" w:rsidR="0092070D" w:rsidRPr="00422CA2" w:rsidRDefault="000B4243" w:rsidP="0037703A">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realizará la reubicación sin generar a los CS algún costo adici</w:t>
      </w:r>
      <w:r w:rsidR="0011680B" w:rsidRPr="00422CA2">
        <w:rPr>
          <w:rFonts w:ascii="ITC Avant Garde" w:hAnsi="ITC Avant Garde"/>
          <w:sz w:val="22"/>
          <w:szCs w:val="22"/>
          <w:lang w:val="es-MX"/>
        </w:rPr>
        <w:t>onal por los trabajos requeridos</w:t>
      </w:r>
      <w:r w:rsidRPr="00422CA2">
        <w:rPr>
          <w:rFonts w:ascii="ITC Avant Garde" w:hAnsi="ITC Avant Garde"/>
          <w:sz w:val="22"/>
          <w:szCs w:val="22"/>
          <w:lang w:val="es-MX"/>
        </w:rPr>
        <w:t xml:space="preserve">; </w:t>
      </w:r>
      <w:r w:rsidR="0011680B" w:rsidRPr="00422CA2">
        <w:rPr>
          <w:rFonts w:ascii="ITC Avant Garde" w:hAnsi="ITC Avant Garde"/>
          <w:sz w:val="22"/>
          <w:szCs w:val="22"/>
        </w:rPr>
        <w:t>estableciendo</w:t>
      </w:r>
      <w:r w:rsidR="0092070D" w:rsidRPr="00422CA2">
        <w:rPr>
          <w:rFonts w:ascii="ITC Avant Garde" w:hAnsi="ITC Avant Garde"/>
          <w:sz w:val="22"/>
          <w:szCs w:val="22"/>
        </w:rPr>
        <w:t xml:space="preserve"> acuerdos </w:t>
      </w:r>
      <w:r w:rsidR="0011680B" w:rsidRPr="00422CA2">
        <w:rPr>
          <w:rFonts w:ascii="ITC Avant Garde" w:hAnsi="ITC Avant Garde"/>
          <w:sz w:val="22"/>
          <w:szCs w:val="22"/>
        </w:rPr>
        <w:t>con el CS</w:t>
      </w:r>
      <w:r w:rsidR="00AE1AB0" w:rsidRPr="00422CA2">
        <w:rPr>
          <w:rFonts w:ascii="ITC Avant Garde" w:hAnsi="ITC Avant Garde"/>
          <w:sz w:val="22"/>
          <w:szCs w:val="22"/>
        </w:rPr>
        <w:t xml:space="preserve"> para </w:t>
      </w:r>
      <w:r w:rsidR="0092070D" w:rsidRPr="00422CA2">
        <w:rPr>
          <w:rFonts w:ascii="ITC Avant Garde" w:hAnsi="ITC Avant Garde"/>
          <w:sz w:val="22"/>
          <w:szCs w:val="22"/>
        </w:rPr>
        <w:t xml:space="preserve">minimizar las </w:t>
      </w:r>
      <w:r w:rsidR="0092070D" w:rsidRPr="00422CA2">
        <w:rPr>
          <w:rFonts w:ascii="ITC Avant Garde" w:hAnsi="ITC Avant Garde"/>
          <w:sz w:val="22"/>
          <w:szCs w:val="22"/>
        </w:rPr>
        <w:lastRenderedPageBreak/>
        <w:t>afectaciones en los servicios de los usuarios finales</w:t>
      </w:r>
      <w:r w:rsidR="00AE1AB0" w:rsidRPr="00422CA2">
        <w:rPr>
          <w:rFonts w:ascii="ITC Avant Garde" w:hAnsi="ITC Avant Garde"/>
          <w:sz w:val="22"/>
          <w:szCs w:val="22"/>
        </w:rPr>
        <w:t xml:space="preserve">. </w:t>
      </w:r>
      <w:r w:rsidR="00AE1AB0" w:rsidRPr="00422CA2">
        <w:rPr>
          <w:rFonts w:ascii="ITC Avant Garde" w:hAnsi="ITC Avant Garde"/>
          <w:sz w:val="22"/>
          <w:szCs w:val="22"/>
          <w:lang w:val="es-MX"/>
        </w:rPr>
        <w:t xml:space="preserve">Será responsabilidad de Telmex y los CS realizar de manera conjunta las adecuaciones necesarias para garantizar la continuidad de los servicios </w:t>
      </w:r>
      <w:r w:rsidR="0092070D" w:rsidRPr="00422CA2">
        <w:rPr>
          <w:rFonts w:ascii="ITC Avant Garde" w:hAnsi="ITC Avant Garde"/>
          <w:sz w:val="22"/>
          <w:szCs w:val="22"/>
        </w:rPr>
        <w:t>dando seguimiento al siguiente procedimiento:</w:t>
      </w:r>
    </w:p>
    <w:p w14:paraId="37E7BCE5" w14:textId="77777777"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cs="Arial"/>
          <w:sz w:val="22"/>
          <w:szCs w:val="22"/>
          <w:lang w:val="es-ES" w:eastAsia="es-MX"/>
        </w:rPr>
        <w:t>Telmex notificará a los CS con 12 meses de anticipación sobre la Reubicación.</w:t>
      </w:r>
    </w:p>
    <w:p w14:paraId="50466ABE" w14:textId="77777777"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Telmex analizará las posibles alternativas para reubicación considerando la información de los servicios actualmente contratados por cada CS y la disponibilidad de recursos técnicos e infraestructura de Centrales Telefónicas o Instalaciones Equivalentes donde los clientes de la central en proceso de cierre van a ser reubicados.</w:t>
      </w:r>
    </w:p>
    <w:p w14:paraId="3879D4CA" w14:textId="5196BFCE"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Identificadas las Centrales Telefónicas </w:t>
      </w:r>
      <w:r w:rsidR="00AE1AB0" w:rsidRPr="00422CA2">
        <w:rPr>
          <w:rFonts w:ascii="ITC Avant Garde" w:hAnsi="ITC Avant Garde"/>
          <w:sz w:val="22"/>
          <w:szCs w:val="22"/>
        </w:rPr>
        <w:t xml:space="preserve">o Instalaciones Equivalentes </w:t>
      </w:r>
      <w:r w:rsidRPr="00422CA2">
        <w:rPr>
          <w:rFonts w:ascii="ITC Avant Garde" w:hAnsi="ITC Avant Garde"/>
          <w:sz w:val="22"/>
          <w:szCs w:val="22"/>
        </w:rPr>
        <w:t>se notificará a los CS involucrados para su conciliación.</w:t>
      </w:r>
    </w:p>
    <w:p w14:paraId="34E51416" w14:textId="7CDB0446"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Una vez que el CS </w:t>
      </w:r>
      <w:r w:rsidR="00AE1AB0" w:rsidRPr="00422CA2">
        <w:rPr>
          <w:rFonts w:ascii="ITC Avant Garde" w:hAnsi="ITC Avant Garde"/>
          <w:sz w:val="22"/>
          <w:szCs w:val="22"/>
        </w:rPr>
        <w:t xml:space="preserve">notifique </w:t>
      </w:r>
      <w:r w:rsidRPr="00422CA2">
        <w:rPr>
          <w:rFonts w:ascii="ITC Avant Garde" w:hAnsi="ITC Avant Garde"/>
          <w:sz w:val="22"/>
          <w:szCs w:val="22"/>
        </w:rPr>
        <w:t xml:space="preserve">la aceptación de la alternativa propuesta se iniciará el proceso de adecuación para la reubicación de Coubicación y Servicios de Desagregación </w:t>
      </w:r>
      <w:r w:rsidR="00AE1AB0" w:rsidRPr="00422CA2">
        <w:rPr>
          <w:rFonts w:ascii="ITC Avant Garde" w:hAnsi="ITC Avant Garde"/>
          <w:sz w:val="22"/>
          <w:szCs w:val="22"/>
        </w:rPr>
        <w:t xml:space="preserve">en </w:t>
      </w:r>
      <w:r w:rsidRPr="00422CA2">
        <w:rPr>
          <w:rFonts w:ascii="ITC Avant Garde" w:hAnsi="ITC Avant Garde"/>
          <w:sz w:val="22"/>
          <w:szCs w:val="22"/>
        </w:rPr>
        <w:t>la nueva Central o Instalación Equivalente</w:t>
      </w:r>
      <w:r w:rsidR="00AE1AB0" w:rsidRPr="00422CA2">
        <w:rPr>
          <w:rFonts w:ascii="ITC Avant Garde" w:hAnsi="ITC Avant Garde"/>
          <w:sz w:val="22"/>
          <w:szCs w:val="22"/>
        </w:rPr>
        <w:t>.</w:t>
      </w:r>
    </w:p>
    <w:p w14:paraId="53406D80" w14:textId="2A16C2B3"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En caso de que el CS rechace la propuesta inicial</w:t>
      </w:r>
      <w:r w:rsidR="00107F51" w:rsidRPr="00422CA2">
        <w:rPr>
          <w:rFonts w:ascii="ITC Avant Garde" w:hAnsi="ITC Avant Garde"/>
          <w:sz w:val="22"/>
          <w:szCs w:val="22"/>
        </w:rPr>
        <w:t>,</w:t>
      </w:r>
      <w:r w:rsidRPr="00422CA2">
        <w:rPr>
          <w:rFonts w:ascii="ITC Avant Garde" w:hAnsi="ITC Avant Garde"/>
          <w:sz w:val="22"/>
          <w:szCs w:val="22"/>
        </w:rPr>
        <w:t xml:space="preserve"> Telmex le presentará otras alternativas de reubicación.</w:t>
      </w:r>
    </w:p>
    <w:p w14:paraId="69B5BBB6" w14:textId="1E4E6120" w:rsidR="0092070D" w:rsidRPr="00422CA2" w:rsidRDefault="0092070D" w:rsidP="0037703A">
      <w:pPr>
        <w:pStyle w:val="Prrafodelista"/>
        <w:numPr>
          <w:ilvl w:val="0"/>
          <w:numId w:val="181"/>
        </w:num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En caso de que ninguna alternativa de reubicación sea aceptada por el CS se notificará </w:t>
      </w:r>
      <w:r w:rsidR="00107F51" w:rsidRPr="00422CA2">
        <w:rPr>
          <w:rFonts w:ascii="ITC Avant Garde" w:hAnsi="ITC Avant Garde"/>
          <w:sz w:val="22"/>
          <w:szCs w:val="22"/>
        </w:rPr>
        <w:t xml:space="preserve">dicha situación </w:t>
      </w:r>
      <w:r w:rsidRPr="00422CA2">
        <w:rPr>
          <w:rFonts w:ascii="ITC Avant Garde" w:hAnsi="ITC Avant Garde"/>
          <w:sz w:val="22"/>
          <w:szCs w:val="22"/>
        </w:rPr>
        <w:t>al Instituto.</w:t>
      </w:r>
    </w:p>
    <w:p w14:paraId="21480EB3" w14:textId="3D12AAC9" w:rsidR="0092070D" w:rsidRPr="00422CA2" w:rsidRDefault="0092070D" w:rsidP="0037703A">
      <w:pPr>
        <w:spacing w:after="200" w:line="276" w:lineRule="auto"/>
        <w:jc w:val="both"/>
        <w:rPr>
          <w:rFonts w:ascii="ITC Avant Garde" w:hAnsi="ITC Avant Garde"/>
          <w:sz w:val="22"/>
          <w:szCs w:val="22"/>
        </w:rPr>
      </w:pPr>
      <w:r w:rsidRPr="00422CA2">
        <w:rPr>
          <w:rFonts w:ascii="ITC Avant Garde" w:hAnsi="ITC Avant Garde"/>
          <w:sz w:val="22"/>
          <w:szCs w:val="22"/>
        </w:rPr>
        <w:t>Para garantizar la continuidad de los servicios prestados por los Concesionarios Solicitantes</w:t>
      </w:r>
      <w:r w:rsidR="00107F51" w:rsidRPr="00422CA2">
        <w:rPr>
          <w:rFonts w:ascii="ITC Avant Garde" w:hAnsi="ITC Avant Garde"/>
          <w:sz w:val="22"/>
          <w:szCs w:val="22"/>
        </w:rPr>
        <w:t>,</w:t>
      </w:r>
      <w:r w:rsidRPr="00422CA2">
        <w:rPr>
          <w:rFonts w:ascii="ITC Avant Garde" w:hAnsi="ITC Avant Garde"/>
          <w:sz w:val="22"/>
          <w:szCs w:val="22"/>
        </w:rPr>
        <w:t xml:space="preserve"> Telmex deberá asegurar la terminación de la habilitación de la Coubicación y puesta en operación de los servicios de desagregación previo al cierre de la Central Telefónica</w:t>
      </w:r>
      <w:r w:rsidR="00107F51" w:rsidRPr="00422CA2">
        <w:rPr>
          <w:rFonts w:ascii="ITC Avant Garde" w:hAnsi="ITC Avant Garde"/>
          <w:sz w:val="22"/>
          <w:szCs w:val="22"/>
        </w:rPr>
        <w:t xml:space="preserve"> o Instalación Equivalente</w:t>
      </w:r>
      <w:r w:rsidRPr="00422CA2">
        <w:rPr>
          <w:rFonts w:ascii="ITC Avant Garde" w:hAnsi="ITC Avant Garde"/>
          <w:sz w:val="22"/>
          <w:szCs w:val="22"/>
        </w:rPr>
        <w:t>.</w:t>
      </w:r>
    </w:p>
    <w:p w14:paraId="27F811BD" w14:textId="77777777" w:rsidR="00C831EF" w:rsidRPr="00422CA2" w:rsidRDefault="00C831EF" w:rsidP="00586B55">
      <w:pPr>
        <w:pStyle w:val="Ttulo1"/>
      </w:pPr>
      <w:bookmarkStart w:id="620" w:name="_Toc396337602"/>
      <w:bookmarkStart w:id="621" w:name="_Toc436840927"/>
      <w:bookmarkStart w:id="622" w:name="_Toc436846364"/>
      <w:bookmarkStart w:id="623" w:name="_Toc436848314"/>
      <w:bookmarkStart w:id="624" w:name="_Toc436856562"/>
      <w:bookmarkStart w:id="625" w:name="_Toc436862708"/>
      <w:bookmarkStart w:id="626" w:name="_Toc436866358"/>
      <w:bookmarkStart w:id="627" w:name="_Toc436870937"/>
      <w:bookmarkStart w:id="628" w:name="_Toc436875929"/>
      <w:bookmarkStart w:id="629" w:name="_Toc437602116"/>
      <w:r w:rsidRPr="00422CA2">
        <w:t>7.8</w:t>
      </w:r>
      <w:r w:rsidRPr="00422CA2">
        <w:tab/>
        <w:t>Plazos de Entrega</w:t>
      </w:r>
      <w:bookmarkEnd w:id="620"/>
      <w:r w:rsidRPr="00422CA2">
        <w:t xml:space="preserve"> de Coubicación</w:t>
      </w:r>
      <w:bookmarkEnd w:id="621"/>
      <w:bookmarkEnd w:id="622"/>
      <w:bookmarkEnd w:id="623"/>
      <w:bookmarkEnd w:id="624"/>
      <w:bookmarkEnd w:id="625"/>
      <w:bookmarkEnd w:id="626"/>
      <w:bookmarkEnd w:id="627"/>
      <w:bookmarkEnd w:id="628"/>
      <w:bookmarkEnd w:id="629"/>
    </w:p>
    <w:p w14:paraId="5E72C73B" w14:textId="77777777" w:rsidR="006952E8" w:rsidRPr="00422CA2" w:rsidRDefault="006952E8" w:rsidP="006952E8">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Validación de la solicitud junto con verificación de factibilidad: máximo 4 días hábiles.</w:t>
      </w:r>
    </w:p>
    <w:p w14:paraId="72CD43B1" w14:textId="01145B68"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 xml:space="preserve">Verificación de la factibilidad técnica para reasignación de espacios: </w:t>
      </w:r>
      <w:r w:rsidR="00107F51" w:rsidRPr="00422CA2">
        <w:rPr>
          <w:rFonts w:ascii="ITC Avant Garde" w:hAnsi="ITC Avant Garde"/>
          <w:sz w:val="22"/>
          <w:szCs w:val="22"/>
          <w:lang w:val="es-MX"/>
        </w:rPr>
        <w:t xml:space="preserve">3 </w:t>
      </w:r>
      <w:r w:rsidRPr="00422CA2">
        <w:rPr>
          <w:rFonts w:ascii="ITC Avant Garde" w:hAnsi="ITC Avant Garde"/>
          <w:sz w:val="22"/>
          <w:szCs w:val="22"/>
          <w:lang w:val="es-MX"/>
        </w:rPr>
        <w:t>días hábiles.</w:t>
      </w:r>
    </w:p>
    <w:p w14:paraId="47AADACE" w14:textId="0A9F0824"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 xml:space="preserve">Verificación de la factibilidad técnica para recuperación de espacios: </w:t>
      </w:r>
      <w:r w:rsidR="00107F51" w:rsidRPr="00422CA2">
        <w:rPr>
          <w:rFonts w:ascii="ITC Avant Garde" w:hAnsi="ITC Avant Garde"/>
          <w:sz w:val="22"/>
          <w:szCs w:val="22"/>
          <w:lang w:val="es-MX"/>
        </w:rPr>
        <w:t xml:space="preserve">3 </w:t>
      </w:r>
      <w:r w:rsidRPr="00422CA2">
        <w:rPr>
          <w:rFonts w:ascii="ITC Avant Garde" w:hAnsi="ITC Avant Garde"/>
          <w:sz w:val="22"/>
          <w:szCs w:val="22"/>
          <w:lang w:val="es-MX"/>
        </w:rPr>
        <w:t>días hábiles.</w:t>
      </w:r>
    </w:p>
    <w:p w14:paraId="0098F445" w14:textId="77777777"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Entrega de Coubicación nueva (validación de la solicitud, verificación de factibilidad técnica y construcción): 60 días hábiles a partir de la solicitud.</w:t>
      </w:r>
    </w:p>
    <w:p w14:paraId="06DFAFF8" w14:textId="3A2938CD"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lastRenderedPageBreak/>
        <w:t xml:space="preserve">Entrega de modificación a Coubicación existente (validación de la solicitud, verificación de factibilidad técnica y construcción): </w:t>
      </w:r>
      <w:r w:rsidR="00107F51" w:rsidRPr="00422CA2">
        <w:rPr>
          <w:rFonts w:ascii="ITC Avant Garde" w:hAnsi="ITC Avant Garde"/>
          <w:sz w:val="22"/>
          <w:szCs w:val="22"/>
          <w:lang w:val="es-MX"/>
        </w:rPr>
        <w:t xml:space="preserve">30 </w:t>
      </w:r>
      <w:r w:rsidRPr="00422CA2">
        <w:rPr>
          <w:rFonts w:ascii="ITC Avant Garde" w:hAnsi="ITC Avant Garde"/>
          <w:sz w:val="22"/>
          <w:szCs w:val="22"/>
          <w:lang w:val="es-MX"/>
        </w:rPr>
        <w:t>días hábiles, a partir de la solicitud.</w:t>
      </w:r>
    </w:p>
    <w:p w14:paraId="4E6E79B6" w14:textId="1B5F6309"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Reasignación de espacio: Due date</w:t>
      </w:r>
      <w:r w:rsidR="00917FE1" w:rsidRPr="00422CA2">
        <w:rPr>
          <w:rFonts w:ascii="ITC Avant Garde" w:hAnsi="ITC Avant Garde"/>
          <w:sz w:val="22"/>
          <w:szCs w:val="22"/>
          <w:lang w:val="es-MX"/>
        </w:rPr>
        <w:t>.</w:t>
      </w:r>
    </w:p>
    <w:p w14:paraId="7F401E6E" w14:textId="38D92C84" w:rsidR="00C831EF" w:rsidRPr="00422CA2" w:rsidRDefault="00C831EF" w:rsidP="00C831EF">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MX"/>
        </w:rPr>
        <w:t>Recuperación de espacio: Due date</w:t>
      </w:r>
      <w:r w:rsidR="00917FE1" w:rsidRPr="00422CA2">
        <w:rPr>
          <w:rFonts w:ascii="ITC Avant Garde" w:hAnsi="ITC Avant Garde"/>
          <w:sz w:val="22"/>
          <w:szCs w:val="22"/>
          <w:lang w:val="es-MX"/>
        </w:rPr>
        <w:t>.</w:t>
      </w:r>
    </w:p>
    <w:p w14:paraId="2B0D1524" w14:textId="59A30C19" w:rsidR="00107F51" w:rsidRPr="00422CA2" w:rsidRDefault="00917FE1" w:rsidP="00107F51">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Reubicación por</w:t>
      </w:r>
      <w:r w:rsidR="00107F51" w:rsidRPr="00422CA2">
        <w:rPr>
          <w:rFonts w:ascii="ITC Avant Garde" w:hAnsi="ITC Avant Garde"/>
          <w:sz w:val="22"/>
          <w:szCs w:val="22"/>
          <w:lang w:val="es-ES"/>
        </w:rPr>
        <w:t xml:space="preserve"> Cierre de Centrales Telefónicas: Due date</w:t>
      </w:r>
      <w:r w:rsidRPr="00422CA2">
        <w:rPr>
          <w:rFonts w:ascii="ITC Avant Garde" w:hAnsi="ITC Avant Garde"/>
          <w:sz w:val="22"/>
          <w:szCs w:val="22"/>
          <w:lang w:val="es-ES"/>
        </w:rPr>
        <w:t>.</w:t>
      </w:r>
    </w:p>
    <w:p w14:paraId="422AF84B" w14:textId="3DF40805" w:rsidR="00917FE1" w:rsidRPr="00422CA2" w:rsidRDefault="00917FE1" w:rsidP="00107F51">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Autorización de acceso a Coubicación por falla: 2 horas.</w:t>
      </w:r>
    </w:p>
    <w:p w14:paraId="10CF964A" w14:textId="181A246C" w:rsidR="00917FE1" w:rsidRPr="00422CA2" w:rsidRDefault="00917FE1" w:rsidP="00107F51">
      <w:pPr>
        <w:pStyle w:val="Prrafodelista"/>
        <w:numPr>
          <w:ilvl w:val="0"/>
          <w:numId w:val="32"/>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Autorización de acceso por mantenimiento preventivo: 2 días hábiles.</w:t>
      </w:r>
    </w:p>
    <w:p w14:paraId="7832C59E" w14:textId="149AD378" w:rsidR="00C831EF" w:rsidRPr="00422CA2" w:rsidRDefault="00C831EF" w:rsidP="00C831EF">
      <w:p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 xml:space="preserve">Cuando se requiera un permiso de construcción otorgado por las Autoridades competentes, </w:t>
      </w:r>
      <w:r w:rsidR="0009465E" w:rsidRPr="00422CA2">
        <w:rPr>
          <w:rFonts w:ascii="ITC Avant Garde" w:hAnsi="ITC Avant Garde"/>
          <w:sz w:val="22"/>
          <w:szCs w:val="22"/>
          <w:lang w:val="es-ES"/>
        </w:rPr>
        <w:t>el tiempo requerido para obtenerlo</w:t>
      </w:r>
      <w:r w:rsidRPr="00422CA2">
        <w:rPr>
          <w:rFonts w:ascii="ITC Avant Garde" w:hAnsi="ITC Avant Garde"/>
          <w:sz w:val="22"/>
          <w:szCs w:val="22"/>
          <w:lang w:val="es-ES"/>
        </w:rPr>
        <w:t xml:space="preserve"> no se contabilizará dentro de los plazos de entrega.</w:t>
      </w:r>
    </w:p>
    <w:p w14:paraId="22DB748A" w14:textId="760C31D4" w:rsidR="00210FB6" w:rsidRPr="00422CA2" w:rsidRDefault="00210FB6" w:rsidP="00586B55">
      <w:pPr>
        <w:pStyle w:val="Ttulo1"/>
        <w:rPr>
          <w:lang w:val="es-ES"/>
        </w:rPr>
      </w:pPr>
      <w:bookmarkStart w:id="630" w:name="_Toc436840928"/>
      <w:bookmarkStart w:id="631" w:name="_Toc436846365"/>
      <w:bookmarkStart w:id="632" w:name="_Toc436848315"/>
      <w:bookmarkStart w:id="633" w:name="_Toc436856563"/>
      <w:bookmarkStart w:id="634" w:name="_Toc436862709"/>
      <w:bookmarkStart w:id="635" w:name="_Toc436866359"/>
      <w:bookmarkStart w:id="636" w:name="_Toc436870938"/>
      <w:bookmarkStart w:id="637" w:name="_Toc436875930"/>
      <w:bookmarkStart w:id="638" w:name="_Toc437602117"/>
      <w:r w:rsidRPr="00422CA2">
        <w:rPr>
          <w:lang w:val="es-ES"/>
        </w:rPr>
        <w:t>7.9</w:t>
      </w:r>
      <w:r w:rsidRPr="00422CA2">
        <w:rPr>
          <w:lang w:val="es-ES"/>
        </w:rPr>
        <w:tab/>
        <w:t>Parámetros e indicadores de calidad para los Servicios de Coubicación</w:t>
      </w:r>
      <w:bookmarkEnd w:id="630"/>
      <w:bookmarkEnd w:id="631"/>
      <w:bookmarkEnd w:id="632"/>
      <w:bookmarkEnd w:id="633"/>
      <w:bookmarkEnd w:id="634"/>
      <w:bookmarkEnd w:id="635"/>
      <w:bookmarkEnd w:id="636"/>
      <w:bookmarkEnd w:id="637"/>
      <w:bookmarkEnd w:id="638"/>
    </w:p>
    <w:p w14:paraId="539F18EF" w14:textId="77777777" w:rsidR="003E475D" w:rsidRPr="00422CA2" w:rsidRDefault="003E475D" w:rsidP="003E47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esta sección se muestran los parámetros e indicadores de calidad referentes a la provisión y atención de fallas del Servicio de Coubicación. Estos parámetros e indicadores corresponden a los utilizados en la propia operación de Telmex, y se medirán con una periodicidad trimestral por cada uno de los CS.</w:t>
      </w:r>
    </w:p>
    <w:p w14:paraId="3B80B09C" w14:textId="77777777" w:rsidR="003E475D" w:rsidRPr="00422CA2" w:rsidRDefault="003E475D" w:rsidP="003E475D">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Parámetros e indicadores para provisión de los servicios </w:t>
      </w:r>
    </w:p>
    <w:p w14:paraId="53041EBF" w14:textId="77777777" w:rsidR="003E475D" w:rsidRPr="00422CA2" w:rsidRDefault="003E475D" w:rsidP="003E47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lo referente a la provisión de los servicios (validación de la solicitud, verificación de factibilidad y habilitación), se tienen los siguientes indicadores:</w:t>
      </w:r>
    </w:p>
    <w:p w14:paraId="3D0AB3E5" w14:textId="77777777" w:rsidR="003E475D" w:rsidRPr="00422CA2" w:rsidRDefault="003E475D" w:rsidP="003E475D">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Con pronóstico:</w:t>
      </w:r>
    </w:p>
    <w:p w14:paraId="1EFBE176" w14:textId="18D38B9B" w:rsidR="006952E8" w:rsidRPr="00422CA2" w:rsidRDefault="006952E8" w:rsidP="006952E8">
      <w:pPr>
        <w:pStyle w:val="Prrafodelista"/>
        <w:numPr>
          <w:ilvl w:val="0"/>
          <w:numId w:val="23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Validación de la solicitud junto con verificación de la factibilidad: 90% de las solicitudes en </w:t>
      </w:r>
      <w:r w:rsidR="00F629EC" w:rsidRPr="00422CA2">
        <w:rPr>
          <w:rFonts w:ascii="ITC Avant Garde" w:hAnsi="ITC Avant Garde"/>
          <w:sz w:val="22"/>
          <w:szCs w:val="22"/>
          <w:lang w:val="es-MX"/>
        </w:rPr>
        <w:t xml:space="preserve">un plazo </w:t>
      </w:r>
      <w:r w:rsidRPr="00422CA2">
        <w:rPr>
          <w:rFonts w:ascii="ITC Avant Garde" w:hAnsi="ITC Avant Garde"/>
          <w:sz w:val="22"/>
          <w:szCs w:val="22"/>
          <w:lang w:val="es-MX"/>
        </w:rPr>
        <w:t xml:space="preserve">máximo de 4 días hábiles. El 10% restante en </w:t>
      </w:r>
      <w:r w:rsidR="00F629EC" w:rsidRPr="00422CA2">
        <w:rPr>
          <w:rFonts w:ascii="ITC Avant Garde" w:hAnsi="ITC Avant Garde"/>
          <w:sz w:val="22"/>
          <w:szCs w:val="22"/>
          <w:lang w:val="es-MX"/>
        </w:rPr>
        <w:t xml:space="preserve">máximo </w:t>
      </w:r>
      <w:r w:rsidRPr="00422CA2">
        <w:rPr>
          <w:rFonts w:ascii="ITC Avant Garde" w:hAnsi="ITC Avant Garde"/>
          <w:sz w:val="22"/>
          <w:szCs w:val="22"/>
          <w:lang w:val="es-MX"/>
        </w:rPr>
        <w:t>6 días hábiles.</w:t>
      </w:r>
    </w:p>
    <w:p w14:paraId="66A895C3" w14:textId="4005311A" w:rsidR="007D326C" w:rsidRPr="00422CA2" w:rsidRDefault="007D326C" w:rsidP="00DE1A7E">
      <w:pPr>
        <w:pStyle w:val="Prrafodelista"/>
        <w:numPr>
          <w:ilvl w:val="0"/>
          <w:numId w:val="23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Entrega de Coubicaciones nuevas: 90% de entregas en un plazo máximo de 60 días hábiles, el 10% restante en 90 días hábiles.</w:t>
      </w:r>
    </w:p>
    <w:p w14:paraId="670D1DE2" w14:textId="3D520F6E" w:rsidR="007D326C" w:rsidRPr="00422CA2" w:rsidRDefault="007D326C" w:rsidP="00DE1A7E">
      <w:pPr>
        <w:pStyle w:val="Prrafodelista"/>
        <w:numPr>
          <w:ilvl w:val="0"/>
          <w:numId w:val="23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Entrega de adecuaciones para Coubicaciones existentes: 90% </w:t>
      </w:r>
      <w:r w:rsidR="00604B7A" w:rsidRPr="00422CA2">
        <w:rPr>
          <w:rFonts w:ascii="ITC Avant Garde" w:hAnsi="ITC Avant Garde"/>
          <w:sz w:val="22"/>
          <w:szCs w:val="22"/>
          <w:lang w:val="es-MX"/>
        </w:rPr>
        <w:t xml:space="preserve">de entregas </w:t>
      </w:r>
      <w:r w:rsidRPr="00422CA2">
        <w:rPr>
          <w:rFonts w:ascii="ITC Avant Garde" w:hAnsi="ITC Avant Garde"/>
          <w:sz w:val="22"/>
          <w:szCs w:val="22"/>
          <w:lang w:val="es-MX"/>
        </w:rPr>
        <w:t>en un plazo máximo de 30 días, el 10% restante en 45 días hábiles.</w:t>
      </w:r>
    </w:p>
    <w:p w14:paraId="18D4660A" w14:textId="78D9D8CB" w:rsidR="007D326C" w:rsidRPr="00422CA2" w:rsidRDefault="00604B7A" w:rsidP="00DE1A7E">
      <w:pPr>
        <w:pStyle w:val="Prrafodelista"/>
        <w:numPr>
          <w:ilvl w:val="0"/>
          <w:numId w:val="23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Reasignación y Recuperación de espacio: 90% de entregas en el tiempo pactado, el 10% restante no podrá exceder el 150% del tiempo original pactado.</w:t>
      </w:r>
    </w:p>
    <w:p w14:paraId="3DDFC277" w14:textId="585EDF27" w:rsidR="00604B7A" w:rsidRPr="00422CA2" w:rsidRDefault="00604B7A" w:rsidP="00604B7A">
      <w:pPr>
        <w:pStyle w:val="Prrafodelista"/>
        <w:numPr>
          <w:ilvl w:val="0"/>
          <w:numId w:val="231"/>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Reubicación por Cierre de Centrales Telefónicas: 90% de entregas en el tiempo pactado, el 10% restante no podrá exceder el 150% del tiempo original pactado.</w:t>
      </w:r>
    </w:p>
    <w:p w14:paraId="26490A3A" w14:textId="77777777" w:rsidR="003E475D" w:rsidRPr="00422CA2" w:rsidRDefault="003E475D" w:rsidP="003E47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los casos anteriores, el porcentaje restante no excederá el 150% de los plazos originales (considerando como plazo el día completo superior).</w:t>
      </w:r>
    </w:p>
    <w:p w14:paraId="13797801" w14:textId="77777777" w:rsidR="003E475D" w:rsidRPr="00422CA2" w:rsidRDefault="003E475D" w:rsidP="003E475D">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Sin pronóstico:</w:t>
      </w:r>
    </w:p>
    <w:p w14:paraId="2C129D97" w14:textId="15E18F15" w:rsidR="0047240E" w:rsidRPr="00422CA2" w:rsidRDefault="0047240E" w:rsidP="0047240E">
      <w:pPr>
        <w:pStyle w:val="Prrafodelista"/>
        <w:numPr>
          <w:ilvl w:val="0"/>
          <w:numId w:val="2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Validación de </w:t>
      </w:r>
      <w:r w:rsidR="00F629EC" w:rsidRPr="00422CA2">
        <w:rPr>
          <w:rFonts w:ascii="ITC Avant Garde" w:hAnsi="ITC Avant Garde"/>
          <w:sz w:val="22"/>
          <w:szCs w:val="22"/>
          <w:lang w:val="es-MX"/>
        </w:rPr>
        <w:t>la solicitud junto con verificación de la factibilidad</w:t>
      </w:r>
      <w:r w:rsidRPr="00422CA2">
        <w:rPr>
          <w:rFonts w:ascii="ITC Avant Garde" w:hAnsi="ITC Avant Garde"/>
          <w:sz w:val="22"/>
          <w:szCs w:val="22"/>
          <w:lang w:val="es-MX"/>
        </w:rPr>
        <w:t xml:space="preserve">: 65% de las solicitudes en un plazo máximo de </w:t>
      </w:r>
      <w:r w:rsidR="00F629EC" w:rsidRPr="00422CA2">
        <w:rPr>
          <w:rFonts w:ascii="ITC Avant Garde" w:hAnsi="ITC Avant Garde"/>
          <w:sz w:val="22"/>
          <w:szCs w:val="22"/>
          <w:lang w:val="es-MX"/>
        </w:rPr>
        <w:t>4 días hábiles</w:t>
      </w:r>
      <w:r w:rsidRPr="00422CA2">
        <w:rPr>
          <w:rFonts w:ascii="ITC Avant Garde" w:hAnsi="ITC Avant Garde"/>
          <w:sz w:val="22"/>
          <w:szCs w:val="22"/>
          <w:lang w:val="es-MX"/>
        </w:rPr>
        <w:t xml:space="preserve">, el 35% restante en máximo </w:t>
      </w:r>
      <w:r w:rsidR="00F629EC" w:rsidRPr="00422CA2">
        <w:rPr>
          <w:rFonts w:ascii="ITC Avant Garde" w:hAnsi="ITC Avant Garde"/>
          <w:sz w:val="22"/>
          <w:szCs w:val="22"/>
          <w:lang w:val="es-MX"/>
        </w:rPr>
        <w:t>6</w:t>
      </w:r>
      <w:r w:rsidRPr="00422CA2">
        <w:rPr>
          <w:rFonts w:ascii="ITC Avant Garde" w:hAnsi="ITC Avant Garde"/>
          <w:sz w:val="22"/>
          <w:szCs w:val="22"/>
          <w:lang w:val="es-MX"/>
        </w:rPr>
        <w:t xml:space="preserve"> días hábiles.</w:t>
      </w:r>
    </w:p>
    <w:p w14:paraId="61346A84" w14:textId="061F7A11" w:rsidR="0047240E" w:rsidRPr="00422CA2" w:rsidRDefault="0047240E" w:rsidP="0047240E">
      <w:pPr>
        <w:pStyle w:val="Prrafodelista"/>
        <w:numPr>
          <w:ilvl w:val="0"/>
          <w:numId w:val="2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Entrega de Coubicaciones nuevas: 65% de entregas en un plazo máximo de 60 días hábiles, el 35% restante en 90 días hábiles.</w:t>
      </w:r>
    </w:p>
    <w:p w14:paraId="32E740CA" w14:textId="2EADF93E" w:rsidR="0047240E" w:rsidRPr="00422CA2" w:rsidRDefault="0047240E" w:rsidP="0047240E">
      <w:pPr>
        <w:pStyle w:val="Prrafodelista"/>
        <w:numPr>
          <w:ilvl w:val="0"/>
          <w:numId w:val="2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Entrega de adecuaciones para Coubicaciones existentes: 65% de entregas en un plazo máximo de 30 días, el 35% restante en 45 días hábiles.</w:t>
      </w:r>
    </w:p>
    <w:p w14:paraId="6CAD625E" w14:textId="0E9D8B56" w:rsidR="0047240E" w:rsidRPr="00422CA2" w:rsidRDefault="0047240E" w:rsidP="0047240E">
      <w:pPr>
        <w:pStyle w:val="Prrafodelista"/>
        <w:numPr>
          <w:ilvl w:val="0"/>
          <w:numId w:val="2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Reasignación y Recuperación de espacio: 65% de entregas en el tiempo pactado, el 35% restante no podrá exceder el 150% del tiempo original pactado.</w:t>
      </w:r>
    </w:p>
    <w:p w14:paraId="52A399F2" w14:textId="7CB7D066" w:rsidR="0047240E" w:rsidRPr="00422CA2" w:rsidRDefault="0047240E" w:rsidP="0047240E">
      <w:pPr>
        <w:pStyle w:val="Prrafodelista"/>
        <w:numPr>
          <w:ilvl w:val="0"/>
          <w:numId w:val="2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Reubicación por Cierre de Centrales Telefónicas: 65% de entregas en el tiempo pactado, el 35% restante no podrá exceder el 150% del tiempo original pactado.</w:t>
      </w:r>
    </w:p>
    <w:p w14:paraId="5671455C" w14:textId="709FDFBB" w:rsidR="003E475D" w:rsidRPr="00422CA2" w:rsidRDefault="003E475D" w:rsidP="003E47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los casos anteriores, la habilitación de servicios para el porcentaje restante no excederá el </w:t>
      </w:r>
      <w:r w:rsidR="00AA46B6" w:rsidRPr="00422CA2">
        <w:rPr>
          <w:rFonts w:ascii="ITC Avant Garde" w:hAnsi="ITC Avant Garde"/>
          <w:sz w:val="22"/>
          <w:szCs w:val="22"/>
          <w:lang w:val="es-MX"/>
        </w:rPr>
        <w:t>150</w:t>
      </w:r>
      <w:r w:rsidRPr="00422CA2">
        <w:rPr>
          <w:rFonts w:ascii="ITC Avant Garde" w:hAnsi="ITC Avant Garde"/>
          <w:sz w:val="22"/>
          <w:szCs w:val="22"/>
          <w:lang w:val="es-MX"/>
        </w:rPr>
        <w:t>% de los plazos originales (considerando como plazo el día completo superior).</w:t>
      </w:r>
    </w:p>
    <w:p w14:paraId="17F47F3A" w14:textId="009CFE3D" w:rsidR="00C831EF" w:rsidRPr="00422CA2" w:rsidRDefault="003E475D" w:rsidP="00C831EF">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Los elementos infraestructurales relacionados con la provisión de cada servicio son los que se señalan en la sección 1.4 de esta </w:t>
      </w:r>
      <w:r w:rsidR="00CA026A">
        <w:rPr>
          <w:rFonts w:ascii="ITC Avant Garde" w:hAnsi="ITC Avant Garde"/>
          <w:sz w:val="22"/>
          <w:szCs w:val="22"/>
          <w:lang w:val="es-MX"/>
        </w:rPr>
        <w:t>OREDA</w:t>
      </w:r>
      <w:r w:rsidRPr="00422CA2">
        <w:rPr>
          <w:rFonts w:ascii="ITC Avant Garde" w:hAnsi="ITC Avant Garde"/>
          <w:sz w:val="22"/>
          <w:szCs w:val="22"/>
          <w:lang w:val="es-MX"/>
        </w:rPr>
        <w:t>.</w:t>
      </w:r>
    </w:p>
    <w:p w14:paraId="67677BF3" w14:textId="45D9A0C1" w:rsidR="00AA46B6" w:rsidRPr="00422CA2" w:rsidRDefault="00AA46B6" w:rsidP="00C831EF">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Sobre los accesos por falla o mantenimiento preventivo:</w:t>
      </w:r>
    </w:p>
    <w:p w14:paraId="034C0ED3" w14:textId="79015DA3" w:rsidR="00AA46B6" w:rsidRPr="00422CA2" w:rsidRDefault="00AA46B6" w:rsidP="00AA46B6">
      <w:pPr>
        <w:pStyle w:val="Prrafodelista"/>
        <w:numPr>
          <w:ilvl w:val="0"/>
          <w:numId w:val="231"/>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Autorización de acceso a Coubicación por falla: 100% de las solicitudes en 2 horas.</w:t>
      </w:r>
    </w:p>
    <w:p w14:paraId="17E177B7" w14:textId="2B849C22" w:rsidR="00AA46B6" w:rsidRPr="00422CA2" w:rsidRDefault="00AA46B6" w:rsidP="00AA46B6">
      <w:pPr>
        <w:pStyle w:val="Prrafodelista"/>
        <w:numPr>
          <w:ilvl w:val="0"/>
          <w:numId w:val="231"/>
        </w:numPr>
        <w:spacing w:after="200" w:line="276" w:lineRule="auto"/>
        <w:jc w:val="both"/>
        <w:rPr>
          <w:rFonts w:ascii="ITC Avant Garde" w:hAnsi="ITC Avant Garde"/>
          <w:sz w:val="22"/>
          <w:szCs w:val="22"/>
          <w:lang w:val="es-ES"/>
        </w:rPr>
      </w:pPr>
      <w:r w:rsidRPr="00422CA2">
        <w:rPr>
          <w:rFonts w:ascii="ITC Avant Garde" w:hAnsi="ITC Avant Garde"/>
          <w:sz w:val="22"/>
          <w:szCs w:val="22"/>
          <w:lang w:val="es-ES"/>
        </w:rPr>
        <w:t>Autorización de acceso por mantenimiento preventivo: 100% de las solicitudes en 2 días hábiles.</w:t>
      </w:r>
    </w:p>
    <w:p w14:paraId="76B4AB82" w14:textId="77777777" w:rsidR="00DE1A7E" w:rsidRPr="00422CA2" w:rsidRDefault="00DE1A7E" w:rsidP="00DE1A7E">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0C249736" w14:textId="77777777" w:rsidR="00DE1A7E" w:rsidRPr="00422CA2" w:rsidRDefault="00DE1A7E" w:rsidP="00DE1A7E">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Para realizar la medición de los indicadores presentados, se descontarán los plazos de entrega señalados en la sección 7.8 de este documento de los días totales utilizados para la realización de dicha actividad, considerando como inicio del proceso el día en que se solicitó el servicio por parte del CS. La misma metodología se aplicará para las tres modalidades de Coubicación.</w:t>
      </w:r>
    </w:p>
    <w:p w14:paraId="3CD339F1" w14:textId="77777777" w:rsidR="00DE1A7E" w:rsidRPr="00422CA2" w:rsidRDefault="00DE1A7E" w:rsidP="00DE1A7E">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para Reparación de Fallas</w:t>
      </w:r>
    </w:p>
    <w:p w14:paraId="2C68BB4F" w14:textId="1CD8937A" w:rsidR="003F2E19" w:rsidRPr="00422CA2" w:rsidRDefault="003F2E19" w:rsidP="00E242F0">
      <w:pPr>
        <w:pStyle w:val="CondicionesFinales"/>
        <w:ind w:left="0" w:right="51"/>
        <w:rPr>
          <w:rFonts w:cs="Times New Roman"/>
          <w:bCs w:val="0"/>
          <w:color w:val="auto"/>
          <w:lang w:val="es-MX"/>
        </w:rPr>
      </w:pPr>
      <w:r w:rsidRPr="00422CA2">
        <w:rPr>
          <w:rFonts w:cs="Times New Roman"/>
          <w:bCs w:val="0"/>
          <w:color w:val="auto"/>
          <w:lang w:val="es-MX"/>
        </w:rPr>
        <w:t>En virtud de que el servicio de Coubicación es un servicio necesario para que el CS pueda proveer los Servicios de Acceso Indirecto al Bucle así como Desagregación Total y Compartida del Bucle y de</w:t>
      </w:r>
      <w:r w:rsidRPr="00422CA2">
        <w:rPr>
          <w:rFonts w:cs="Times New Roman"/>
          <w:color w:val="auto"/>
          <w:lang w:val="es-MX"/>
        </w:rPr>
        <w:t>l Sub-bucle a usuarios finales,</w:t>
      </w:r>
      <w:r w:rsidRPr="00422CA2">
        <w:rPr>
          <w:rFonts w:cs="Times New Roman"/>
          <w:bCs w:val="0"/>
          <w:color w:val="auto"/>
          <w:lang w:val="es-MX"/>
        </w:rPr>
        <w:t xml:space="preserve"> </w:t>
      </w:r>
      <w:r w:rsidR="005C37E2" w:rsidRPr="00422CA2">
        <w:rPr>
          <w:rFonts w:cs="Times New Roman"/>
          <w:bCs w:val="0"/>
          <w:color w:val="auto"/>
          <w:lang w:val="es-MX"/>
        </w:rPr>
        <w:t>l</w:t>
      </w:r>
      <w:r w:rsidRPr="00422CA2">
        <w:rPr>
          <w:rFonts w:cs="Times New Roman"/>
          <w:bCs w:val="0"/>
          <w:color w:val="auto"/>
          <w:lang w:val="es-MX"/>
        </w:rPr>
        <w:t xml:space="preserve">os parámetros e indicadores de calidad asociados a fallas en el suministro de energía eléctrica de los espacios de coubicación contratados, sus condiciones ambientales garantizadas, de acceso, iluminación y vigilancia, serán los mismos que Telmex emplee para su propia operación. </w:t>
      </w:r>
    </w:p>
    <w:p w14:paraId="48E693A0" w14:textId="754C360A" w:rsidR="003F2E19" w:rsidRPr="00422CA2" w:rsidRDefault="003F2E19" w:rsidP="00E242F0">
      <w:pPr>
        <w:pStyle w:val="CondicionesFinales"/>
        <w:ind w:left="0" w:right="51"/>
        <w:rPr>
          <w:rFonts w:cs="Times New Roman"/>
          <w:bCs w:val="0"/>
          <w:color w:val="auto"/>
          <w:lang w:val="es-MX"/>
        </w:rPr>
      </w:pPr>
      <w:r w:rsidRPr="00422CA2">
        <w:rPr>
          <w:rFonts w:cs="Times New Roman"/>
          <w:bCs w:val="0"/>
          <w:color w:val="auto"/>
          <w:lang w:val="es-MX"/>
        </w:rPr>
        <w:t>Las fallas ocasionadas por desastres naturales o causas de fuerza mayor, serán atendidas en plazos que reflejen la complejidad de las actividades a realizar</w:t>
      </w:r>
      <w:r w:rsidR="00907B53" w:rsidRPr="00422CA2">
        <w:rPr>
          <w:rFonts w:cs="Times New Roman"/>
          <w:bCs w:val="0"/>
          <w:color w:val="auto"/>
          <w:lang w:val="es-MX"/>
        </w:rPr>
        <w:t>.</w:t>
      </w:r>
    </w:p>
    <w:p w14:paraId="50BA375E" w14:textId="77777777" w:rsidR="003F2E19" w:rsidRPr="00422CA2" w:rsidRDefault="003F2E19" w:rsidP="00E242F0">
      <w:pPr>
        <w:pStyle w:val="CondicionesFinales"/>
        <w:ind w:left="0" w:right="51"/>
        <w:rPr>
          <w:rFonts w:cs="Times New Roman"/>
          <w:bCs w:val="0"/>
          <w:color w:val="auto"/>
          <w:lang w:val="es-MX"/>
        </w:rPr>
      </w:pPr>
      <w:r w:rsidRPr="00422CA2">
        <w:rPr>
          <w:rFonts w:cs="Times New Roman"/>
          <w:bCs w:val="0"/>
          <w:color w:val="auto"/>
          <w:lang w:val="es-MX"/>
        </w:rPr>
        <w:t>Si las fallas en energía o clima fueron ocasionadas por un mal uso de las instalaciones o por excesos de consumo de los equipos de concesionario, el CS deberá pagar las reparaciones correspondientes.</w:t>
      </w:r>
    </w:p>
    <w:p w14:paraId="7571995E" w14:textId="26C224AE" w:rsidR="0026522C" w:rsidRPr="00422CA2" w:rsidRDefault="0026522C" w:rsidP="00DE1A7E">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para las pruebas de entrega de los servicios</w:t>
      </w:r>
    </w:p>
    <w:tbl>
      <w:tblPr>
        <w:tblW w:w="5000" w:type="pct"/>
        <w:tblCellMar>
          <w:left w:w="70" w:type="dxa"/>
          <w:right w:w="70" w:type="dxa"/>
        </w:tblCellMar>
        <w:tblLook w:val="04A0" w:firstRow="1" w:lastRow="0" w:firstColumn="1" w:lastColumn="0" w:noHBand="0" w:noVBand="1"/>
      </w:tblPr>
      <w:tblGrid>
        <w:gridCol w:w="1786"/>
        <w:gridCol w:w="1787"/>
        <w:gridCol w:w="5257"/>
      </w:tblGrid>
      <w:tr w:rsidR="00422CA2" w:rsidRPr="00422CA2" w14:paraId="1391659B" w14:textId="77777777" w:rsidTr="0026522C">
        <w:trPr>
          <w:trHeight w:val="300"/>
        </w:trPr>
        <w:tc>
          <w:tcPr>
            <w:tcW w:w="1181" w:type="pct"/>
            <w:tcBorders>
              <w:top w:val="single" w:sz="4" w:space="0" w:color="auto"/>
              <w:left w:val="single" w:sz="4" w:space="0" w:color="auto"/>
              <w:bottom w:val="single" w:sz="8" w:space="0" w:color="auto"/>
              <w:right w:val="single" w:sz="4" w:space="0" w:color="auto"/>
            </w:tcBorders>
            <w:shd w:val="clear" w:color="auto" w:fill="548DD4"/>
            <w:vAlign w:val="center"/>
            <w:hideMark/>
          </w:tcPr>
          <w:p w14:paraId="6CB2B3D4"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ELEMENTO</w:t>
            </w:r>
          </w:p>
        </w:tc>
        <w:tc>
          <w:tcPr>
            <w:tcW w:w="1181" w:type="pct"/>
            <w:tcBorders>
              <w:top w:val="single" w:sz="4" w:space="0" w:color="auto"/>
              <w:left w:val="nil"/>
              <w:bottom w:val="single" w:sz="8" w:space="0" w:color="auto"/>
              <w:right w:val="single" w:sz="4" w:space="0" w:color="auto"/>
            </w:tcBorders>
            <w:shd w:val="clear" w:color="auto" w:fill="548DD4"/>
            <w:vAlign w:val="center"/>
            <w:hideMark/>
          </w:tcPr>
          <w:p w14:paraId="1EA9C21B"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MÉTODO DE PRUEBA</w:t>
            </w:r>
          </w:p>
        </w:tc>
        <w:tc>
          <w:tcPr>
            <w:tcW w:w="2639" w:type="pct"/>
            <w:tcBorders>
              <w:top w:val="single" w:sz="4" w:space="0" w:color="auto"/>
              <w:left w:val="nil"/>
              <w:bottom w:val="single" w:sz="8" w:space="0" w:color="auto"/>
              <w:right w:val="single" w:sz="4" w:space="0" w:color="auto"/>
            </w:tcBorders>
            <w:shd w:val="clear" w:color="auto" w:fill="548DD4"/>
            <w:vAlign w:val="center"/>
            <w:hideMark/>
          </w:tcPr>
          <w:p w14:paraId="71884379"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RESULTADO ESPERADO</w:t>
            </w:r>
          </w:p>
        </w:tc>
      </w:tr>
      <w:tr w:rsidR="00422CA2" w:rsidRPr="00422CA2" w14:paraId="7814C544" w14:textId="77777777" w:rsidTr="0026522C">
        <w:trPr>
          <w:trHeight w:val="600"/>
        </w:trPr>
        <w:tc>
          <w:tcPr>
            <w:tcW w:w="1181" w:type="pct"/>
            <w:vMerge w:val="restart"/>
            <w:tcBorders>
              <w:top w:val="nil"/>
              <w:left w:val="single" w:sz="8" w:space="0" w:color="auto"/>
              <w:bottom w:val="single" w:sz="8" w:space="0" w:color="000000"/>
              <w:right w:val="single" w:sz="4" w:space="0" w:color="auto"/>
            </w:tcBorders>
            <w:shd w:val="clear" w:color="FFFFFF" w:fill="auto"/>
            <w:vAlign w:val="center"/>
            <w:hideMark/>
          </w:tcPr>
          <w:p w14:paraId="4BF3AD78"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ASIGNACIÓN DE ESPACIO</w:t>
            </w:r>
          </w:p>
        </w:tc>
        <w:tc>
          <w:tcPr>
            <w:tcW w:w="1181" w:type="pct"/>
            <w:vMerge w:val="restart"/>
            <w:tcBorders>
              <w:top w:val="nil"/>
              <w:left w:val="single" w:sz="4" w:space="0" w:color="auto"/>
              <w:bottom w:val="single" w:sz="8" w:space="0" w:color="000000"/>
              <w:right w:val="single" w:sz="4" w:space="0" w:color="auto"/>
            </w:tcBorders>
            <w:shd w:val="clear" w:color="FFFFFF" w:fill="auto"/>
            <w:vAlign w:val="center"/>
            <w:hideMark/>
          </w:tcPr>
          <w:p w14:paraId="5E52BD58"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INSPECCIÓN VISUAL</w:t>
            </w:r>
          </w:p>
        </w:tc>
        <w:tc>
          <w:tcPr>
            <w:tcW w:w="2639" w:type="pct"/>
            <w:tcBorders>
              <w:top w:val="nil"/>
              <w:left w:val="nil"/>
              <w:bottom w:val="single" w:sz="4" w:space="0" w:color="auto"/>
              <w:right w:val="single" w:sz="4" w:space="0" w:color="auto"/>
            </w:tcBorders>
            <w:shd w:val="clear" w:color="FFFFFF" w:fill="auto"/>
            <w:vAlign w:val="center"/>
            <w:hideMark/>
          </w:tcPr>
          <w:p w14:paraId="2736B043"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Existen señalamientos claros y visibles que indiquen  la localización y el nombre de la Coubicación.</w:t>
            </w:r>
          </w:p>
        </w:tc>
      </w:tr>
      <w:tr w:rsidR="00422CA2" w:rsidRPr="00422CA2" w14:paraId="3EB309DD" w14:textId="77777777" w:rsidTr="0026522C">
        <w:trPr>
          <w:trHeight w:val="900"/>
        </w:trPr>
        <w:tc>
          <w:tcPr>
            <w:tcW w:w="1181" w:type="pct"/>
            <w:vMerge/>
            <w:tcBorders>
              <w:top w:val="nil"/>
              <w:left w:val="single" w:sz="8" w:space="0" w:color="auto"/>
              <w:bottom w:val="single" w:sz="8" w:space="0" w:color="000000"/>
              <w:right w:val="single" w:sz="4" w:space="0" w:color="auto"/>
            </w:tcBorders>
            <w:vAlign w:val="center"/>
            <w:hideMark/>
          </w:tcPr>
          <w:p w14:paraId="4FE0B41E"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8" w:space="0" w:color="000000"/>
              <w:right w:val="single" w:sz="4" w:space="0" w:color="auto"/>
            </w:tcBorders>
            <w:vAlign w:val="center"/>
            <w:hideMark/>
          </w:tcPr>
          <w:p w14:paraId="7A6ACAD2"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6DF3D804"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Entrega de croquis claro y visible que indique la localización y el nombre de la Coubicación, con señalamientos de área y trayectorias de cableado.</w:t>
            </w:r>
          </w:p>
        </w:tc>
      </w:tr>
      <w:tr w:rsidR="00422CA2" w:rsidRPr="00422CA2" w14:paraId="779AE27F" w14:textId="77777777" w:rsidTr="0026522C">
        <w:trPr>
          <w:trHeight w:val="915"/>
        </w:trPr>
        <w:tc>
          <w:tcPr>
            <w:tcW w:w="1181" w:type="pct"/>
            <w:vMerge/>
            <w:tcBorders>
              <w:top w:val="nil"/>
              <w:left w:val="single" w:sz="8" w:space="0" w:color="auto"/>
              <w:bottom w:val="single" w:sz="8" w:space="0" w:color="000000"/>
              <w:right w:val="single" w:sz="4" w:space="0" w:color="auto"/>
            </w:tcBorders>
            <w:vAlign w:val="center"/>
            <w:hideMark/>
          </w:tcPr>
          <w:p w14:paraId="758E393A"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8" w:space="0" w:color="000000"/>
              <w:right w:val="single" w:sz="4" w:space="0" w:color="auto"/>
            </w:tcBorders>
            <w:vAlign w:val="center"/>
            <w:hideMark/>
          </w:tcPr>
          <w:p w14:paraId="6C364D05"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8" w:space="0" w:color="auto"/>
              <w:right w:val="single" w:sz="4" w:space="0" w:color="auto"/>
            </w:tcBorders>
            <w:shd w:val="clear" w:color="FFFFFF" w:fill="auto"/>
            <w:vAlign w:val="center"/>
            <w:hideMark/>
          </w:tcPr>
          <w:p w14:paraId="7A35A8D5"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Entrega de plano del frente de rack indicando claramente las posiciones asignadas en el mismo para realizar la instalación.</w:t>
            </w:r>
          </w:p>
        </w:tc>
      </w:tr>
      <w:tr w:rsidR="00422CA2" w:rsidRPr="00422CA2" w14:paraId="5D49084E" w14:textId="77777777" w:rsidTr="0026522C">
        <w:trPr>
          <w:trHeight w:val="300"/>
        </w:trPr>
        <w:tc>
          <w:tcPr>
            <w:tcW w:w="1181" w:type="pct"/>
            <w:vMerge w:val="restart"/>
            <w:tcBorders>
              <w:top w:val="nil"/>
              <w:left w:val="single" w:sz="8" w:space="0" w:color="auto"/>
              <w:bottom w:val="single" w:sz="8" w:space="0" w:color="000000"/>
              <w:right w:val="single" w:sz="4" w:space="0" w:color="auto"/>
            </w:tcBorders>
            <w:shd w:val="clear" w:color="FFFFFF" w:fill="auto"/>
            <w:vAlign w:val="center"/>
            <w:hideMark/>
          </w:tcPr>
          <w:p w14:paraId="0BF00A5E"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SUPERFICIE ASIGNADA</w:t>
            </w:r>
          </w:p>
        </w:tc>
        <w:tc>
          <w:tcPr>
            <w:tcW w:w="1181" w:type="pct"/>
            <w:vMerge w:val="restart"/>
            <w:tcBorders>
              <w:top w:val="nil"/>
              <w:left w:val="single" w:sz="4" w:space="0" w:color="auto"/>
              <w:bottom w:val="single" w:sz="4" w:space="0" w:color="auto"/>
              <w:right w:val="single" w:sz="4" w:space="0" w:color="auto"/>
            </w:tcBorders>
            <w:shd w:val="clear" w:color="FFFFFF" w:fill="auto"/>
            <w:vAlign w:val="center"/>
            <w:hideMark/>
          </w:tcPr>
          <w:p w14:paraId="12CA5EBD"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 xml:space="preserve">MEDICIÓN CON FLEXÓMETRO </w:t>
            </w:r>
          </w:p>
        </w:tc>
        <w:tc>
          <w:tcPr>
            <w:tcW w:w="2639" w:type="pct"/>
            <w:tcBorders>
              <w:top w:val="nil"/>
              <w:left w:val="nil"/>
              <w:bottom w:val="single" w:sz="4" w:space="0" w:color="auto"/>
              <w:right w:val="single" w:sz="4" w:space="0" w:color="auto"/>
            </w:tcBorders>
            <w:shd w:val="clear" w:color="FFFFFF" w:fill="auto"/>
            <w:vAlign w:val="center"/>
            <w:hideMark/>
          </w:tcPr>
          <w:p w14:paraId="78A1410A"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Espacio definido de la sala en m2</w:t>
            </w:r>
          </w:p>
        </w:tc>
      </w:tr>
      <w:tr w:rsidR="00422CA2" w:rsidRPr="00422CA2" w14:paraId="3484C082" w14:textId="77777777" w:rsidTr="0026522C">
        <w:trPr>
          <w:trHeight w:val="600"/>
        </w:trPr>
        <w:tc>
          <w:tcPr>
            <w:tcW w:w="1181" w:type="pct"/>
            <w:vMerge/>
            <w:tcBorders>
              <w:top w:val="nil"/>
              <w:left w:val="single" w:sz="8" w:space="0" w:color="auto"/>
              <w:bottom w:val="single" w:sz="8" w:space="0" w:color="000000"/>
              <w:right w:val="single" w:sz="4" w:space="0" w:color="auto"/>
            </w:tcBorders>
            <w:vAlign w:val="center"/>
            <w:hideMark/>
          </w:tcPr>
          <w:p w14:paraId="55D072EC"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auto"/>
              <w:right w:val="single" w:sz="4" w:space="0" w:color="auto"/>
            </w:tcBorders>
            <w:vAlign w:val="center"/>
            <w:hideMark/>
          </w:tcPr>
          <w:p w14:paraId="38D5B8BA"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7A1C8E1C"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 xml:space="preserve">Altura del local mínimo 3.0 metros </w:t>
            </w:r>
            <w:r w:rsidRPr="00422CA2">
              <w:rPr>
                <w:rFonts w:ascii="ITC Avant Garde" w:hAnsi="ITC Avant Garde"/>
                <w:sz w:val="20"/>
                <w:szCs w:val="20"/>
                <w:lang w:val="es-MX" w:eastAsia="es-MX"/>
              </w:rPr>
              <w:br/>
              <w:t>(Desde el nivel de piso terminado al techo/loza)</w:t>
            </w:r>
          </w:p>
        </w:tc>
      </w:tr>
      <w:tr w:rsidR="00422CA2" w:rsidRPr="00422CA2" w14:paraId="77FACFBB"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63DA0A46"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val="restart"/>
            <w:tcBorders>
              <w:top w:val="nil"/>
              <w:left w:val="single" w:sz="4" w:space="0" w:color="auto"/>
              <w:bottom w:val="single" w:sz="8" w:space="0" w:color="000000"/>
              <w:right w:val="single" w:sz="4" w:space="0" w:color="auto"/>
            </w:tcBorders>
            <w:shd w:val="clear" w:color="FFFFFF" w:fill="auto"/>
            <w:vAlign w:val="center"/>
            <w:hideMark/>
          </w:tcPr>
          <w:p w14:paraId="3EC91179"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INSPECCIÓN VISUAL</w:t>
            </w:r>
          </w:p>
        </w:tc>
        <w:tc>
          <w:tcPr>
            <w:tcW w:w="2639" w:type="pct"/>
            <w:tcBorders>
              <w:top w:val="nil"/>
              <w:left w:val="nil"/>
              <w:bottom w:val="single" w:sz="4" w:space="0" w:color="auto"/>
              <w:right w:val="single" w:sz="4" w:space="0" w:color="auto"/>
            </w:tcBorders>
            <w:shd w:val="clear" w:color="FFFFFF" w:fill="auto"/>
            <w:noWrap/>
            <w:vAlign w:val="bottom"/>
            <w:hideMark/>
          </w:tcPr>
          <w:p w14:paraId="42B013F7"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Piso firme, de concreto y cubierto con loseta vinílica.</w:t>
            </w:r>
          </w:p>
        </w:tc>
      </w:tr>
      <w:tr w:rsidR="00422CA2" w:rsidRPr="00422CA2" w14:paraId="4E4C2BA2"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6C003370"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8" w:space="0" w:color="000000"/>
              <w:right w:val="single" w:sz="4" w:space="0" w:color="auto"/>
            </w:tcBorders>
            <w:vAlign w:val="center"/>
            <w:hideMark/>
          </w:tcPr>
          <w:p w14:paraId="5EC24F4A"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5F68B09C"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Acabados interiores y exteriores</w:t>
            </w:r>
          </w:p>
        </w:tc>
      </w:tr>
      <w:tr w:rsidR="00422CA2" w:rsidRPr="00422CA2" w14:paraId="6EEA572E" w14:textId="77777777" w:rsidTr="0026522C">
        <w:trPr>
          <w:trHeight w:val="315"/>
        </w:trPr>
        <w:tc>
          <w:tcPr>
            <w:tcW w:w="1181" w:type="pct"/>
            <w:vMerge/>
            <w:tcBorders>
              <w:top w:val="nil"/>
              <w:left w:val="single" w:sz="8" w:space="0" w:color="auto"/>
              <w:bottom w:val="single" w:sz="8" w:space="0" w:color="000000"/>
              <w:right w:val="single" w:sz="4" w:space="0" w:color="auto"/>
            </w:tcBorders>
            <w:vAlign w:val="center"/>
            <w:hideMark/>
          </w:tcPr>
          <w:p w14:paraId="5B32D352"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8" w:space="0" w:color="000000"/>
              <w:right w:val="single" w:sz="4" w:space="0" w:color="auto"/>
            </w:tcBorders>
            <w:vAlign w:val="center"/>
            <w:hideMark/>
          </w:tcPr>
          <w:p w14:paraId="47E1D917"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8" w:space="0" w:color="auto"/>
              <w:right w:val="single" w:sz="4" w:space="0" w:color="auto"/>
            </w:tcBorders>
            <w:shd w:val="clear" w:color="FFFFFF" w:fill="auto"/>
            <w:vAlign w:val="center"/>
            <w:hideMark/>
          </w:tcPr>
          <w:p w14:paraId="3E521B33"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Herrajes / Ductería</w:t>
            </w:r>
          </w:p>
        </w:tc>
      </w:tr>
      <w:tr w:rsidR="00422CA2" w:rsidRPr="00422CA2" w14:paraId="7012E9AB" w14:textId="77777777" w:rsidTr="0026522C">
        <w:trPr>
          <w:trHeight w:val="615"/>
        </w:trPr>
        <w:tc>
          <w:tcPr>
            <w:tcW w:w="1181" w:type="pct"/>
            <w:tcBorders>
              <w:top w:val="nil"/>
              <w:left w:val="single" w:sz="8" w:space="0" w:color="auto"/>
              <w:bottom w:val="single" w:sz="8" w:space="0" w:color="auto"/>
              <w:right w:val="single" w:sz="4" w:space="0" w:color="auto"/>
            </w:tcBorders>
            <w:shd w:val="clear" w:color="FFFFFF" w:fill="auto"/>
            <w:vAlign w:val="center"/>
            <w:hideMark/>
          </w:tcPr>
          <w:p w14:paraId="2F1F6FE1"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TEMPERATURA</w:t>
            </w:r>
          </w:p>
        </w:tc>
        <w:tc>
          <w:tcPr>
            <w:tcW w:w="1181" w:type="pct"/>
            <w:tcBorders>
              <w:top w:val="nil"/>
              <w:left w:val="nil"/>
              <w:bottom w:val="single" w:sz="8" w:space="0" w:color="auto"/>
              <w:right w:val="single" w:sz="4" w:space="0" w:color="auto"/>
            </w:tcBorders>
            <w:shd w:val="clear" w:color="FFFFFF" w:fill="auto"/>
            <w:vAlign w:val="center"/>
            <w:hideMark/>
          </w:tcPr>
          <w:p w14:paraId="6413E16E"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CON TERMO HIGRÓMETRO</w:t>
            </w:r>
          </w:p>
        </w:tc>
        <w:tc>
          <w:tcPr>
            <w:tcW w:w="2639" w:type="pct"/>
            <w:tcBorders>
              <w:top w:val="nil"/>
              <w:left w:val="nil"/>
              <w:bottom w:val="single" w:sz="8" w:space="0" w:color="auto"/>
              <w:right w:val="single" w:sz="4" w:space="0" w:color="auto"/>
            </w:tcBorders>
            <w:shd w:val="clear" w:color="FFFFFF" w:fill="auto"/>
            <w:vAlign w:val="center"/>
            <w:hideMark/>
          </w:tcPr>
          <w:p w14:paraId="69BC18DE"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Entre 10 y 25 °C y una humedad relativa entre 40 y 60%</w:t>
            </w:r>
          </w:p>
        </w:tc>
      </w:tr>
      <w:tr w:rsidR="00422CA2" w:rsidRPr="00422CA2" w14:paraId="7785E824" w14:textId="77777777" w:rsidTr="0026522C">
        <w:trPr>
          <w:trHeight w:val="915"/>
        </w:trPr>
        <w:tc>
          <w:tcPr>
            <w:tcW w:w="1181" w:type="pct"/>
            <w:tcBorders>
              <w:top w:val="nil"/>
              <w:left w:val="single" w:sz="8" w:space="0" w:color="auto"/>
              <w:bottom w:val="single" w:sz="8" w:space="0" w:color="auto"/>
              <w:right w:val="single" w:sz="4" w:space="0" w:color="auto"/>
            </w:tcBorders>
            <w:shd w:val="clear" w:color="FFFFFF" w:fill="auto"/>
            <w:vAlign w:val="center"/>
            <w:hideMark/>
          </w:tcPr>
          <w:p w14:paraId="209B29FA"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ILUMINACIÓN</w:t>
            </w:r>
          </w:p>
        </w:tc>
        <w:tc>
          <w:tcPr>
            <w:tcW w:w="1181" w:type="pct"/>
            <w:tcBorders>
              <w:top w:val="nil"/>
              <w:left w:val="nil"/>
              <w:bottom w:val="single" w:sz="8" w:space="0" w:color="auto"/>
              <w:right w:val="single" w:sz="4" w:space="0" w:color="auto"/>
            </w:tcBorders>
            <w:shd w:val="clear" w:color="FFFFFF" w:fill="auto"/>
            <w:vAlign w:val="center"/>
            <w:hideMark/>
          </w:tcPr>
          <w:p w14:paraId="7BA6222D"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CON LUXÓMETRO</w:t>
            </w:r>
          </w:p>
        </w:tc>
        <w:tc>
          <w:tcPr>
            <w:tcW w:w="2639" w:type="pct"/>
            <w:tcBorders>
              <w:top w:val="nil"/>
              <w:left w:val="nil"/>
              <w:bottom w:val="single" w:sz="8" w:space="0" w:color="auto"/>
              <w:right w:val="single" w:sz="4" w:space="0" w:color="auto"/>
            </w:tcBorders>
            <w:shd w:val="clear" w:color="FFFFFF" w:fill="auto"/>
            <w:vAlign w:val="center"/>
            <w:hideMark/>
          </w:tcPr>
          <w:p w14:paraId="2F7A07B1"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Iluminación general de la sala de 300 luxes</w:t>
            </w:r>
            <w:r w:rsidRPr="00422CA2">
              <w:rPr>
                <w:rFonts w:ascii="ITC Avant Garde" w:hAnsi="ITC Avant Garde"/>
                <w:sz w:val="20"/>
                <w:szCs w:val="20"/>
                <w:lang w:val="es-MX" w:eastAsia="es-MX"/>
              </w:rPr>
              <w:br/>
              <w:t>(Medición en forma vertical bajo la lámpara por la parte frontal y posterior del equipo instalado)</w:t>
            </w:r>
          </w:p>
        </w:tc>
      </w:tr>
      <w:tr w:rsidR="00422CA2" w:rsidRPr="00422CA2" w14:paraId="402FF043" w14:textId="77777777" w:rsidTr="0026522C">
        <w:trPr>
          <w:trHeight w:val="630"/>
        </w:trPr>
        <w:tc>
          <w:tcPr>
            <w:tcW w:w="1181" w:type="pct"/>
            <w:vMerge w:val="restart"/>
            <w:tcBorders>
              <w:top w:val="nil"/>
              <w:left w:val="single" w:sz="8" w:space="0" w:color="auto"/>
              <w:bottom w:val="single" w:sz="8" w:space="0" w:color="000000"/>
              <w:right w:val="single" w:sz="4" w:space="0" w:color="auto"/>
            </w:tcBorders>
            <w:shd w:val="clear" w:color="FFFFFF" w:fill="auto"/>
            <w:vAlign w:val="center"/>
            <w:hideMark/>
          </w:tcPr>
          <w:p w14:paraId="67279AEC"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 xml:space="preserve">CONTACTOS POR CADA </w:t>
            </w:r>
            <w:r w:rsidRPr="00422CA2">
              <w:rPr>
                <w:rFonts w:ascii="ITC Avant Garde" w:hAnsi="ITC Avant Garde"/>
                <w:b/>
                <w:bCs/>
                <w:sz w:val="20"/>
                <w:szCs w:val="20"/>
                <w:lang w:val="es-MX" w:eastAsia="es-MX"/>
              </w:rPr>
              <w:br/>
              <w:t>4 M2</w:t>
            </w:r>
          </w:p>
        </w:tc>
        <w:tc>
          <w:tcPr>
            <w:tcW w:w="1181" w:type="pct"/>
            <w:vMerge w:val="restart"/>
            <w:tcBorders>
              <w:top w:val="nil"/>
              <w:left w:val="single" w:sz="4" w:space="0" w:color="auto"/>
              <w:bottom w:val="single" w:sz="4" w:space="0" w:color="auto"/>
              <w:right w:val="single" w:sz="4" w:space="0" w:color="auto"/>
            </w:tcBorders>
            <w:shd w:val="clear" w:color="FFFFFF" w:fill="auto"/>
            <w:vAlign w:val="center"/>
            <w:hideMark/>
          </w:tcPr>
          <w:p w14:paraId="756F34A9"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INSPECCIÓN VISUAL</w:t>
            </w:r>
          </w:p>
        </w:tc>
        <w:tc>
          <w:tcPr>
            <w:tcW w:w="2639" w:type="pct"/>
            <w:tcBorders>
              <w:top w:val="nil"/>
              <w:left w:val="nil"/>
              <w:bottom w:val="single" w:sz="4" w:space="0" w:color="auto"/>
              <w:right w:val="single" w:sz="4" w:space="0" w:color="auto"/>
            </w:tcBorders>
            <w:shd w:val="clear" w:color="FFFFFF" w:fill="auto"/>
            <w:vAlign w:val="center"/>
            <w:hideMark/>
          </w:tcPr>
          <w:p w14:paraId="46442AEF"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 xml:space="preserve">2 Contactos dobles polarizados de CA </w:t>
            </w:r>
          </w:p>
        </w:tc>
      </w:tr>
      <w:tr w:rsidR="00422CA2" w:rsidRPr="00422CA2" w14:paraId="68154D32"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0A21013A"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auto"/>
              <w:right w:val="single" w:sz="4" w:space="0" w:color="auto"/>
            </w:tcBorders>
            <w:vAlign w:val="center"/>
            <w:hideMark/>
          </w:tcPr>
          <w:p w14:paraId="2F38BB1B"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2E6EB4A8"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Interruptor termomagnético para CA de 15 Amp</w:t>
            </w:r>
          </w:p>
        </w:tc>
      </w:tr>
      <w:tr w:rsidR="00422CA2" w:rsidRPr="00422CA2" w14:paraId="2A6321A3" w14:textId="77777777" w:rsidTr="0026522C">
        <w:trPr>
          <w:trHeight w:val="615"/>
        </w:trPr>
        <w:tc>
          <w:tcPr>
            <w:tcW w:w="1181" w:type="pct"/>
            <w:vMerge/>
            <w:tcBorders>
              <w:top w:val="nil"/>
              <w:left w:val="single" w:sz="8" w:space="0" w:color="auto"/>
              <w:bottom w:val="single" w:sz="8" w:space="0" w:color="000000"/>
              <w:right w:val="single" w:sz="4" w:space="0" w:color="auto"/>
            </w:tcBorders>
            <w:vAlign w:val="center"/>
            <w:hideMark/>
          </w:tcPr>
          <w:p w14:paraId="143F71E6"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tcBorders>
              <w:top w:val="nil"/>
              <w:left w:val="nil"/>
              <w:bottom w:val="single" w:sz="8" w:space="0" w:color="auto"/>
              <w:right w:val="single" w:sz="4" w:space="0" w:color="auto"/>
            </w:tcBorders>
            <w:shd w:val="clear" w:color="FFFFFF" w:fill="auto"/>
            <w:vAlign w:val="center"/>
            <w:hideMark/>
          </w:tcPr>
          <w:p w14:paraId="61014C42"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CON MULTÍMETRO</w:t>
            </w:r>
          </w:p>
        </w:tc>
        <w:tc>
          <w:tcPr>
            <w:tcW w:w="2639" w:type="pct"/>
            <w:tcBorders>
              <w:top w:val="nil"/>
              <w:left w:val="nil"/>
              <w:bottom w:val="single" w:sz="8" w:space="0" w:color="auto"/>
              <w:right w:val="single" w:sz="4" w:space="0" w:color="auto"/>
            </w:tcBorders>
            <w:shd w:val="clear" w:color="FFFFFF" w:fill="auto"/>
            <w:vAlign w:val="center"/>
            <w:hideMark/>
          </w:tcPr>
          <w:p w14:paraId="09D779AA"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Energía en CA a 127 V +/- 10% máximo</w:t>
            </w:r>
          </w:p>
        </w:tc>
      </w:tr>
      <w:tr w:rsidR="00422CA2" w:rsidRPr="00422CA2" w14:paraId="6E82AABA" w14:textId="77777777" w:rsidTr="0026522C">
        <w:trPr>
          <w:trHeight w:val="945"/>
        </w:trPr>
        <w:tc>
          <w:tcPr>
            <w:tcW w:w="1181" w:type="pct"/>
            <w:vMerge w:val="restart"/>
            <w:tcBorders>
              <w:top w:val="nil"/>
              <w:left w:val="single" w:sz="8" w:space="0" w:color="auto"/>
              <w:bottom w:val="single" w:sz="8" w:space="0" w:color="000000"/>
              <w:right w:val="single" w:sz="4" w:space="0" w:color="auto"/>
            </w:tcBorders>
            <w:shd w:val="clear" w:color="FFFFFF" w:fill="auto"/>
            <w:vAlign w:val="center"/>
            <w:hideMark/>
          </w:tcPr>
          <w:p w14:paraId="380E2A81"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ENERGÍA EN CORRIENTE DIRECTA (CD)</w:t>
            </w:r>
          </w:p>
        </w:tc>
        <w:tc>
          <w:tcPr>
            <w:tcW w:w="1181" w:type="pct"/>
            <w:tcBorders>
              <w:top w:val="nil"/>
              <w:left w:val="nil"/>
              <w:bottom w:val="single" w:sz="4" w:space="0" w:color="auto"/>
              <w:right w:val="single" w:sz="4" w:space="0" w:color="auto"/>
            </w:tcBorders>
            <w:shd w:val="clear" w:color="FFFFFF" w:fill="auto"/>
            <w:vAlign w:val="center"/>
            <w:hideMark/>
          </w:tcPr>
          <w:p w14:paraId="12816ADC"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INSPECCIÓN VISUAL</w:t>
            </w:r>
          </w:p>
        </w:tc>
        <w:tc>
          <w:tcPr>
            <w:tcW w:w="2639" w:type="pct"/>
            <w:tcBorders>
              <w:top w:val="nil"/>
              <w:left w:val="nil"/>
              <w:bottom w:val="single" w:sz="4" w:space="0" w:color="auto"/>
              <w:right w:val="single" w:sz="4" w:space="0" w:color="auto"/>
            </w:tcBorders>
            <w:shd w:val="clear" w:color="FFFFFF" w:fill="auto"/>
            <w:vAlign w:val="center"/>
            <w:hideMark/>
          </w:tcPr>
          <w:p w14:paraId="09ED4527"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Interruptor termomagnético para CD de 15 Amp</w:t>
            </w:r>
          </w:p>
        </w:tc>
      </w:tr>
      <w:tr w:rsidR="00422CA2" w:rsidRPr="00422CA2" w14:paraId="7FC7918E" w14:textId="77777777" w:rsidTr="0026522C">
        <w:trPr>
          <w:trHeight w:val="915"/>
        </w:trPr>
        <w:tc>
          <w:tcPr>
            <w:tcW w:w="1181" w:type="pct"/>
            <w:vMerge/>
            <w:tcBorders>
              <w:top w:val="nil"/>
              <w:left w:val="single" w:sz="8" w:space="0" w:color="auto"/>
              <w:bottom w:val="single" w:sz="8" w:space="0" w:color="000000"/>
              <w:right w:val="single" w:sz="4" w:space="0" w:color="auto"/>
            </w:tcBorders>
            <w:vAlign w:val="center"/>
            <w:hideMark/>
          </w:tcPr>
          <w:p w14:paraId="25DC9F4D"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tcBorders>
              <w:top w:val="nil"/>
              <w:left w:val="nil"/>
              <w:bottom w:val="single" w:sz="8" w:space="0" w:color="auto"/>
              <w:right w:val="single" w:sz="4" w:space="0" w:color="auto"/>
            </w:tcBorders>
            <w:shd w:val="clear" w:color="FFFFFF" w:fill="auto"/>
            <w:vAlign w:val="center"/>
            <w:hideMark/>
          </w:tcPr>
          <w:p w14:paraId="1BD81F06"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CON MULTÍMETRO</w:t>
            </w:r>
          </w:p>
        </w:tc>
        <w:tc>
          <w:tcPr>
            <w:tcW w:w="2639" w:type="pct"/>
            <w:tcBorders>
              <w:top w:val="nil"/>
              <w:left w:val="nil"/>
              <w:bottom w:val="single" w:sz="8" w:space="0" w:color="auto"/>
              <w:right w:val="single" w:sz="4" w:space="0" w:color="auto"/>
            </w:tcBorders>
            <w:shd w:val="clear" w:color="FFFFFF" w:fill="auto"/>
            <w:vAlign w:val="center"/>
            <w:hideMark/>
          </w:tcPr>
          <w:p w14:paraId="4D2AD8AF"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-48 VCD, +20%, -15% con Respaldo</w:t>
            </w:r>
            <w:r w:rsidRPr="00422CA2">
              <w:rPr>
                <w:rFonts w:ascii="ITC Avant Garde" w:hAnsi="ITC Avant Garde"/>
                <w:sz w:val="20"/>
                <w:szCs w:val="20"/>
                <w:lang w:val="es-MX" w:eastAsia="es-MX"/>
              </w:rPr>
              <w:br/>
              <w:t xml:space="preserve">(El dato del respaldo se dará por cálculo: </w:t>
            </w:r>
            <w:r w:rsidRPr="00422CA2">
              <w:rPr>
                <w:rFonts w:ascii="ITC Avant Garde" w:hAnsi="ITC Avant Garde"/>
                <w:sz w:val="20"/>
                <w:szCs w:val="20"/>
                <w:lang w:val="es-MX" w:eastAsia="es-MX"/>
              </w:rPr>
              <w:br/>
              <w:t>Corriente Total Consumida / No. Total de Bancos)</w:t>
            </w:r>
          </w:p>
        </w:tc>
      </w:tr>
      <w:tr w:rsidR="00422CA2" w:rsidRPr="00422CA2" w14:paraId="6D19C27E" w14:textId="77777777" w:rsidTr="0026522C">
        <w:trPr>
          <w:trHeight w:val="915"/>
        </w:trPr>
        <w:tc>
          <w:tcPr>
            <w:tcW w:w="1181" w:type="pct"/>
            <w:tcBorders>
              <w:top w:val="nil"/>
              <w:left w:val="single" w:sz="8" w:space="0" w:color="auto"/>
              <w:bottom w:val="single" w:sz="8" w:space="0" w:color="auto"/>
              <w:right w:val="single" w:sz="4" w:space="0" w:color="auto"/>
            </w:tcBorders>
            <w:shd w:val="clear" w:color="FFFFFF" w:fill="auto"/>
            <w:vAlign w:val="center"/>
            <w:hideMark/>
          </w:tcPr>
          <w:p w14:paraId="2627E894"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SISTEMA DE TIERRAS</w:t>
            </w:r>
          </w:p>
        </w:tc>
        <w:tc>
          <w:tcPr>
            <w:tcW w:w="1181" w:type="pct"/>
            <w:tcBorders>
              <w:top w:val="nil"/>
              <w:left w:val="nil"/>
              <w:bottom w:val="single" w:sz="8" w:space="0" w:color="auto"/>
              <w:right w:val="single" w:sz="4" w:space="0" w:color="auto"/>
            </w:tcBorders>
            <w:shd w:val="clear" w:color="FFFFFF" w:fill="auto"/>
            <w:vAlign w:val="center"/>
            <w:hideMark/>
          </w:tcPr>
          <w:p w14:paraId="64123022"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A TRAVÉS DE TERRÓMETRO O TELURÓMETRO</w:t>
            </w:r>
          </w:p>
        </w:tc>
        <w:tc>
          <w:tcPr>
            <w:tcW w:w="2639" w:type="pct"/>
            <w:tcBorders>
              <w:top w:val="nil"/>
              <w:left w:val="nil"/>
              <w:bottom w:val="single" w:sz="8" w:space="0" w:color="auto"/>
              <w:right w:val="single" w:sz="4" w:space="0" w:color="auto"/>
            </w:tcBorders>
            <w:shd w:val="clear" w:color="FFFFFF" w:fill="auto"/>
            <w:vAlign w:val="center"/>
            <w:hideMark/>
          </w:tcPr>
          <w:p w14:paraId="28CD754D"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Conductor principal de puesta a tierra calibre 1/0 AWG con derivación a cada local con cable calibre 6 AWG con un valor máximo de 5 ohms.</w:t>
            </w:r>
          </w:p>
        </w:tc>
      </w:tr>
      <w:tr w:rsidR="00422CA2" w:rsidRPr="00422CA2" w14:paraId="43C67D83" w14:textId="77777777" w:rsidTr="0026522C">
        <w:trPr>
          <w:trHeight w:val="300"/>
        </w:trPr>
        <w:tc>
          <w:tcPr>
            <w:tcW w:w="1181" w:type="pct"/>
            <w:vMerge w:val="restart"/>
            <w:tcBorders>
              <w:top w:val="nil"/>
              <w:left w:val="single" w:sz="8" w:space="0" w:color="auto"/>
              <w:bottom w:val="single" w:sz="8" w:space="0" w:color="000000"/>
              <w:right w:val="single" w:sz="4" w:space="0" w:color="auto"/>
            </w:tcBorders>
            <w:shd w:val="clear" w:color="FFFFFF" w:fill="auto"/>
            <w:vAlign w:val="center"/>
            <w:hideMark/>
          </w:tcPr>
          <w:p w14:paraId="10474C78"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GABINETES</w:t>
            </w:r>
          </w:p>
        </w:tc>
        <w:tc>
          <w:tcPr>
            <w:tcW w:w="1181" w:type="pct"/>
            <w:vMerge w:val="restart"/>
            <w:tcBorders>
              <w:top w:val="nil"/>
              <w:left w:val="single" w:sz="4" w:space="0" w:color="auto"/>
              <w:bottom w:val="single" w:sz="4" w:space="0" w:color="auto"/>
              <w:right w:val="single" w:sz="4" w:space="0" w:color="auto"/>
            </w:tcBorders>
            <w:shd w:val="clear" w:color="FFFFFF" w:fill="auto"/>
            <w:vAlign w:val="center"/>
            <w:hideMark/>
          </w:tcPr>
          <w:p w14:paraId="1A4D5244"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CONTEO FÍSICO</w:t>
            </w:r>
          </w:p>
        </w:tc>
        <w:tc>
          <w:tcPr>
            <w:tcW w:w="2639" w:type="pct"/>
            <w:tcBorders>
              <w:top w:val="nil"/>
              <w:left w:val="nil"/>
              <w:bottom w:val="single" w:sz="4" w:space="0" w:color="auto"/>
              <w:right w:val="single" w:sz="4" w:space="0" w:color="auto"/>
            </w:tcBorders>
            <w:shd w:val="clear" w:color="FFFFFF" w:fill="auto"/>
            <w:vAlign w:val="center"/>
            <w:hideMark/>
          </w:tcPr>
          <w:p w14:paraId="2359B6CC"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Número de gabinetes de 19" solicitados</w:t>
            </w:r>
          </w:p>
        </w:tc>
      </w:tr>
      <w:tr w:rsidR="00422CA2" w:rsidRPr="00422CA2" w14:paraId="0A800BD6"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30C9D66B"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auto"/>
              <w:right w:val="single" w:sz="4" w:space="0" w:color="auto"/>
            </w:tcBorders>
            <w:vAlign w:val="center"/>
            <w:hideMark/>
          </w:tcPr>
          <w:p w14:paraId="4A3399D1"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38A0C3B0"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Unidades de Rack asignadas</w:t>
            </w:r>
          </w:p>
        </w:tc>
      </w:tr>
      <w:tr w:rsidR="00422CA2" w:rsidRPr="00422CA2" w14:paraId="288D6BAE" w14:textId="77777777" w:rsidTr="0026522C">
        <w:trPr>
          <w:trHeight w:val="600"/>
        </w:trPr>
        <w:tc>
          <w:tcPr>
            <w:tcW w:w="1181" w:type="pct"/>
            <w:vMerge/>
            <w:tcBorders>
              <w:top w:val="nil"/>
              <w:left w:val="single" w:sz="8" w:space="0" w:color="auto"/>
              <w:bottom w:val="single" w:sz="8" w:space="0" w:color="000000"/>
              <w:right w:val="single" w:sz="4" w:space="0" w:color="auto"/>
            </w:tcBorders>
            <w:vAlign w:val="center"/>
            <w:hideMark/>
          </w:tcPr>
          <w:p w14:paraId="6D52BC7F"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tcBorders>
              <w:top w:val="nil"/>
              <w:left w:val="nil"/>
              <w:bottom w:val="single" w:sz="4" w:space="0" w:color="auto"/>
              <w:right w:val="single" w:sz="4" w:space="0" w:color="auto"/>
            </w:tcBorders>
            <w:shd w:val="clear" w:color="FFFFFF" w:fill="auto"/>
            <w:vAlign w:val="center"/>
            <w:hideMark/>
          </w:tcPr>
          <w:p w14:paraId="1A165757"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 xml:space="preserve">MEDICIÓN CON FLEXÓMETRO </w:t>
            </w:r>
          </w:p>
        </w:tc>
        <w:tc>
          <w:tcPr>
            <w:tcW w:w="2639" w:type="pct"/>
            <w:tcBorders>
              <w:top w:val="nil"/>
              <w:left w:val="nil"/>
              <w:bottom w:val="single" w:sz="4" w:space="0" w:color="auto"/>
              <w:right w:val="single" w:sz="4" w:space="0" w:color="auto"/>
            </w:tcBorders>
            <w:shd w:val="clear" w:color="FFFFFF" w:fill="auto"/>
            <w:vAlign w:val="center"/>
            <w:hideMark/>
          </w:tcPr>
          <w:p w14:paraId="66215A2D"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Dimensiones del gabinete y rack interior</w:t>
            </w:r>
          </w:p>
        </w:tc>
      </w:tr>
      <w:tr w:rsidR="00422CA2" w:rsidRPr="00422CA2" w14:paraId="055F3DD5" w14:textId="77777777" w:rsidTr="0026522C">
        <w:trPr>
          <w:trHeight w:val="1200"/>
        </w:trPr>
        <w:tc>
          <w:tcPr>
            <w:tcW w:w="1181" w:type="pct"/>
            <w:vMerge/>
            <w:tcBorders>
              <w:top w:val="nil"/>
              <w:left w:val="single" w:sz="8" w:space="0" w:color="auto"/>
              <w:bottom w:val="single" w:sz="8" w:space="0" w:color="000000"/>
              <w:right w:val="single" w:sz="4" w:space="0" w:color="auto"/>
            </w:tcBorders>
            <w:vAlign w:val="center"/>
            <w:hideMark/>
          </w:tcPr>
          <w:p w14:paraId="5468CB4D"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val="restart"/>
            <w:tcBorders>
              <w:top w:val="nil"/>
              <w:left w:val="single" w:sz="4" w:space="0" w:color="auto"/>
              <w:bottom w:val="single" w:sz="4" w:space="0" w:color="000000"/>
              <w:right w:val="single" w:sz="4" w:space="0" w:color="auto"/>
            </w:tcBorders>
            <w:shd w:val="clear" w:color="FFFFFF" w:fill="auto"/>
            <w:vAlign w:val="center"/>
            <w:hideMark/>
          </w:tcPr>
          <w:p w14:paraId="534C21B0"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INSPECCIÓN VISUAL</w:t>
            </w:r>
          </w:p>
        </w:tc>
        <w:tc>
          <w:tcPr>
            <w:tcW w:w="2639" w:type="pct"/>
            <w:tcBorders>
              <w:top w:val="nil"/>
              <w:left w:val="nil"/>
              <w:bottom w:val="single" w:sz="4" w:space="0" w:color="auto"/>
              <w:right w:val="single" w:sz="4" w:space="0" w:color="auto"/>
            </w:tcBorders>
            <w:shd w:val="clear" w:color="FFFFFF" w:fill="auto"/>
            <w:vAlign w:val="center"/>
            <w:hideMark/>
          </w:tcPr>
          <w:p w14:paraId="2AB5392D"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Puertas de acceso frontal y trasera, de malla perforada, con chapa de seguridad y con eje vertical que permita el libre cierre y apertura. Paneles laterales desmontables.</w:t>
            </w:r>
          </w:p>
        </w:tc>
      </w:tr>
      <w:tr w:rsidR="00422CA2" w:rsidRPr="00422CA2" w14:paraId="4A642C3E" w14:textId="77777777" w:rsidTr="0026522C">
        <w:trPr>
          <w:trHeight w:val="1200"/>
        </w:trPr>
        <w:tc>
          <w:tcPr>
            <w:tcW w:w="1181" w:type="pct"/>
            <w:vMerge/>
            <w:tcBorders>
              <w:top w:val="nil"/>
              <w:left w:val="single" w:sz="8" w:space="0" w:color="auto"/>
              <w:bottom w:val="single" w:sz="8" w:space="0" w:color="000000"/>
              <w:right w:val="single" w:sz="4" w:space="0" w:color="auto"/>
            </w:tcBorders>
            <w:vAlign w:val="center"/>
            <w:hideMark/>
          </w:tcPr>
          <w:p w14:paraId="31D3B69F"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2211CBFA"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1FCB03F9"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Superficie frontal destinada al etiquetado e identificación. Puede ser en la parte superior del marco de la puerta o, en uno de los costados del marco de la misma.</w:t>
            </w:r>
          </w:p>
        </w:tc>
      </w:tr>
      <w:tr w:rsidR="00422CA2" w:rsidRPr="00422CA2" w14:paraId="5B66D8EB" w14:textId="77777777" w:rsidTr="0026522C">
        <w:trPr>
          <w:trHeight w:val="600"/>
        </w:trPr>
        <w:tc>
          <w:tcPr>
            <w:tcW w:w="1181" w:type="pct"/>
            <w:vMerge/>
            <w:tcBorders>
              <w:top w:val="nil"/>
              <w:left w:val="single" w:sz="8" w:space="0" w:color="auto"/>
              <w:bottom w:val="single" w:sz="8" w:space="0" w:color="000000"/>
              <w:right w:val="single" w:sz="4" w:space="0" w:color="auto"/>
            </w:tcBorders>
            <w:vAlign w:val="center"/>
            <w:hideMark/>
          </w:tcPr>
          <w:p w14:paraId="000216A0"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6B2AB244"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6005D91B"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Con rieles y/o guías para recorrer hacia el frente o hacia atrás los postes del rack.</w:t>
            </w:r>
          </w:p>
        </w:tc>
      </w:tr>
      <w:tr w:rsidR="00422CA2" w:rsidRPr="00422CA2" w14:paraId="41DF5B4C"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139C8FBB"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7842C309"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344122C3"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Acceso  superior, inferior y trasero para cableado</w:t>
            </w:r>
          </w:p>
        </w:tc>
      </w:tr>
      <w:tr w:rsidR="00422CA2" w:rsidRPr="00422CA2" w14:paraId="0772DD26"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30BE3EE3"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0D7F60DC"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6AB39BF4"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Sistema de ventilación alimentado por el PDU</w:t>
            </w:r>
          </w:p>
        </w:tc>
      </w:tr>
      <w:tr w:rsidR="00422CA2" w:rsidRPr="00422CA2" w14:paraId="258EACC2" w14:textId="77777777" w:rsidTr="0026522C">
        <w:trPr>
          <w:trHeight w:val="300"/>
        </w:trPr>
        <w:tc>
          <w:tcPr>
            <w:tcW w:w="1181" w:type="pct"/>
            <w:vMerge/>
            <w:tcBorders>
              <w:top w:val="nil"/>
              <w:left w:val="single" w:sz="8" w:space="0" w:color="auto"/>
              <w:bottom w:val="single" w:sz="8" w:space="0" w:color="000000"/>
              <w:right w:val="single" w:sz="4" w:space="0" w:color="auto"/>
            </w:tcBorders>
            <w:vAlign w:val="center"/>
            <w:hideMark/>
          </w:tcPr>
          <w:p w14:paraId="5C9AB7CB"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3689E168"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62991384"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Rack interior de 4 postes</w:t>
            </w:r>
          </w:p>
        </w:tc>
      </w:tr>
      <w:tr w:rsidR="00422CA2" w:rsidRPr="00422CA2" w14:paraId="17325A6B" w14:textId="77777777" w:rsidTr="0026522C">
        <w:trPr>
          <w:trHeight w:val="900"/>
        </w:trPr>
        <w:tc>
          <w:tcPr>
            <w:tcW w:w="1181" w:type="pct"/>
            <w:vMerge/>
            <w:tcBorders>
              <w:top w:val="nil"/>
              <w:left w:val="single" w:sz="8" w:space="0" w:color="auto"/>
              <w:bottom w:val="single" w:sz="8" w:space="0" w:color="000000"/>
              <w:right w:val="single" w:sz="4" w:space="0" w:color="auto"/>
            </w:tcBorders>
            <w:vAlign w:val="center"/>
            <w:hideMark/>
          </w:tcPr>
          <w:p w14:paraId="6D866757"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val="restart"/>
            <w:tcBorders>
              <w:top w:val="nil"/>
              <w:left w:val="single" w:sz="4" w:space="0" w:color="auto"/>
              <w:bottom w:val="single" w:sz="4" w:space="0" w:color="000000"/>
              <w:right w:val="single" w:sz="4" w:space="0" w:color="auto"/>
            </w:tcBorders>
            <w:shd w:val="clear" w:color="FFFFFF" w:fill="auto"/>
            <w:vAlign w:val="center"/>
            <w:hideMark/>
          </w:tcPr>
          <w:p w14:paraId="58375EC7"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CONTEO E INSPECCIÓN FÍSICA</w:t>
            </w:r>
          </w:p>
        </w:tc>
        <w:tc>
          <w:tcPr>
            <w:tcW w:w="2639" w:type="pct"/>
            <w:tcBorders>
              <w:top w:val="nil"/>
              <w:left w:val="nil"/>
              <w:bottom w:val="single" w:sz="4" w:space="0" w:color="auto"/>
              <w:right w:val="single" w:sz="4" w:space="0" w:color="auto"/>
            </w:tcBorders>
            <w:shd w:val="clear" w:color="FFFFFF" w:fill="auto"/>
            <w:vAlign w:val="center"/>
            <w:hideMark/>
          </w:tcPr>
          <w:p w14:paraId="5F3BE0F7"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42 unidades de rack (UR) disponibles para instalación de equipo. (6 UR reservadas para el PDU –Unidad de Distribución de Energía- y el sistema de ventilación)</w:t>
            </w:r>
          </w:p>
        </w:tc>
      </w:tr>
      <w:tr w:rsidR="00422CA2" w:rsidRPr="00422CA2" w14:paraId="6A424CF5" w14:textId="77777777" w:rsidTr="0026522C">
        <w:trPr>
          <w:trHeight w:val="900"/>
        </w:trPr>
        <w:tc>
          <w:tcPr>
            <w:tcW w:w="1181" w:type="pct"/>
            <w:vMerge/>
            <w:tcBorders>
              <w:top w:val="nil"/>
              <w:left w:val="single" w:sz="8" w:space="0" w:color="auto"/>
              <w:bottom w:val="single" w:sz="8" w:space="0" w:color="000000"/>
              <w:right w:val="single" w:sz="4" w:space="0" w:color="auto"/>
            </w:tcBorders>
            <w:vAlign w:val="center"/>
            <w:hideMark/>
          </w:tcPr>
          <w:p w14:paraId="01C389ED"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vMerge/>
            <w:tcBorders>
              <w:top w:val="nil"/>
              <w:left w:val="single" w:sz="4" w:space="0" w:color="auto"/>
              <w:bottom w:val="single" w:sz="4" w:space="0" w:color="000000"/>
              <w:right w:val="single" w:sz="4" w:space="0" w:color="auto"/>
            </w:tcBorders>
            <w:vAlign w:val="center"/>
            <w:hideMark/>
          </w:tcPr>
          <w:p w14:paraId="458EEE69"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2639" w:type="pct"/>
            <w:tcBorders>
              <w:top w:val="nil"/>
              <w:left w:val="nil"/>
              <w:bottom w:val="single" w:sz="4" w:space="0" w:color="auto"/>
              <w:right w:val="single" w:sz="4" w:space="0" w:color="auto"/>
            </w:tcBorders>
            <w:shd w:val="clear" w:color="FFFFFF" w:fill="auto"/>
            <w:vAlign w:val="center"/>
            <w:hideMark/>
          </w:tcPr>
          <w:p w14:paraId="175D1D86"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10 conectores con interruptor electromagnético de 15 Amp (9 conectores disponibles para equipos 1 para el sistema de ventilación)</w:t>
            </w:r>
          </w:p>
        </w:tc>
      </w:tr>
      <w:tr w:rsidR="00422CA2" w:rsidRPr="00422CA2" w14:paraId="14F08BB1" w14:textId="77777777" w:rsidTr="0026522C">
        <w:trPr>
          <w:trHeight w:val="615"/>
        </w:trPr>
        <w:tc>
          <w:tcPr>
            <w:tcW w:w="1181" w:type="pct"/>
            <w:vMerge/>
            <w:tcBorders>
              <w:top w:val="nil"/>
              <w:left w:val="single" w:sz="8" w:space="0" w:color="auto"/>
              <w:bottom w:val="single" w:sz="8" w:space="0" w:color="000000"/>
              <w:right w:val="single" w:sz="4" w:space="0" w:color="auto"/>
            </w:tcBorders>
            <w:vAlign w:val="center"/>
            <w:hideMark/>
          </w:tcPr>
          <w:p w14:paraId="0C8F4473" w14:textId="77777777" w:rsidR="0026522C" w:rsidRPr="00422CA2" w:rsidRDefault="0026522C" w:rsidP="000804CF">
            <w:pPr>
              <w:spacing w:before="60" w:after="60" w:line="276" w:lineRule="auto"/>
              <w:rPr>
                <w:rFonts w:ascii="ITC Avant Garde" w:hAnsi="ITC Avant Garde"/>
                <w:b/>
                <w:bCs/>
                <w:sz w:val="20"/>
                <w:szCs w:val="20"/>
                <w:lang w:val="es-MX" w:eastAsia="es-MX"/>
              </w:rPr>
            </w:pPr>
          </w:p>
        </w:tc>
        <w:tc>
          <w:tcPr>
            <w:tcW w:w="1181" w:type="pct"/>
            <w:tcBorders>
              <w:top w:val="nil"/>
              <w:left w:val="nil"/>
              <w:bottom w:val="single" w:sz="8" w:space="0" w:color="auto"/>
              <w:right w:val="single" w:sz="4" w:space="0" w:color="auto"/>
            </w:tcBorders>
            <w:shd w:val="clear" w:color="FFFFFF" w:fill="auto"/>
            <w:vAlign w:val="center"/>
            <w:hideMark/>
          </w:tcPr>
          <w:p w14:paraId="6F41A366" w14:textId="77777777" w:rsidR="0026522C" w:rsidRPr="00422CA2" w:rsidRDefault="0026522C" w:rsidP="000804CF">
            <w:pPr>
              <w:spacing w:before="60" w:after="60" w:line="276" w:lineRule="auto"/>
              <w:jc w:val="center"/>
              <w:rPr>
                <w:rFonts w:ascii="ITC Avant Garde" w:hAnsi="ITC Avant Garde"/>
                <w:b/>
                <w:bCs/>
                <w:sz w:val="20"/>
                <w:szCs w:val="20"/>
                <w:lang w:val="es-MX" w:eastAsia="es-MX"/>
              </w:rPr>
            </w:pPr>
            <w:r w:rsidRPr="00422CA2">
              <w:rPr>
                <w:rFonts w:ascii="ITC Avant Garde" w:hAnsi="ITC Avant Garde"/>
                <w:b/>
                <w:bCs/>
                <w:sz w:val="20"/>
                <w:szCs w:val="20"/>
                <w:lang w:val="es-MX" w:eastAsia="es-MX"/>
              </w:rPr>
              <w:t>MEDICIÓN CON MULTÍMETRO</w:t>
            </w:r>
          </w:p>
        </w:tc>
        <w:tc>
          <w:tcPr>
            <w:tcW w:w="2639" w:type="pct"/>
            <w:tcBorders>
              <w:top w:val="nil"/>
              <w:left w:val="nil"/>
              <w:bottom w:val="single" w:sz="8" w:space="0" w:color="auto"/>
              <w:right w:val="single" w:sz="4" w:space="0" w:color="auto"/>
            </w:tcBorders>
            <w:shd w:val="clear" w:color="FFFFFF" w:fill="auto"/>
            <w:vAlign w:val="center"/>
            <w:hideMark/>
          </w:tcPr>
          <w:p w14:paraId="44268607" w14:textId="77777777" w:rsidR="0026522C" w:rsidRPr="00422CA2" w:rsidRDefault="0026522C" w:rsidP="000804CF">
            <w:pPr>
              <w:spacing w:before="60" w:after="60" w:line="276" w:lineRule="auto"/>
              <w:rPr>
                <w:rFonts w:ascii="ITC Avant Garde" w:hAnsi="ITC Avant Garde"/>
                <w:sz w:val="20"/>
                <w:szCs w:val="20"/>
                <w:lang w:val="es-MX" w:eastAsia="es-MX"/>
              </w:rPr>
            </w:pPr>
            <w:r w:rsidRPr="00422CA2">
              <w:rPr>
                <w:rFonts w:ascii="ITC Avant Garde" w:hAnsi="ITC Avant Garde"/>
                <w:sz w:val="20"/>
                <w:szCs w:val="20"/>
                <w:lang w:val="es-MX" w:eastAsia="es-MX"/>
              </w:rPr>
              <w:t>Capacidad de salida del PDU en gabinete por conector de  -48 VCD.</w:t>
            </w:r>
          </w:p>
        </w:tc>
      </w:tr>
    </w:tbl>
    <w:p w14:paraId="5CA63BF5" w14:textId="4887E60D" w:rsidR="00DE1A7E" w:rsidRPr="00422CA2" w:rsidRDefault="00CA5536" w:rsidP="000804CF">
      <w:pPr>
        <w:spacing w:before="120" w:after="200" w:line="276" w:lineRule="auto"/>
        <w:jc w:val="center"/>
        <w:rPr>
          <w:rFonts w:ascii="ITC Avant Garde" w:hAnsi="ITC Avant Garde"/>
          <w:sz w:val="18"/>
          <w:szCs w:val="18"/>
          <w:lang w:val="es-MX"/>
        </w:rPr>
      </w:pPr>
      <w:r w:rsidRPr="00422CA2">
        <w:rPr>
          <w:rFonts w:ascii="ITC Avant Garde" w:hAnsi="ITC Avant Garde"/>
          <w:sz w:val="18"/>
          <w:szCs w:val="18"/>
          <w:lang w:val="es-MX"/>
        </w:rPr>
        <w:t xml:space="preserve">Tabla </w:t>
      </w:r>
      <w:r w:rsidR="00642D0C" w:rsidRPr="00422CA2">
        <w:rPr>
          <w:rFonts w:ascii="ITC Avant Garde" w:hAnsi="ITC Avant Garde"/>
          <w:sz w:val="18"/>
          <w:szCs w:val="18"/>
          <w:lang w:val="es-MX"/>
        </w:rPr>
        <w:t xml:space="preserve">22 </w:t>
      </w:r>
      <w:r w:rsidRPr="00422CA2">
        <w:rPr>
          <w:rFonts w:ascii="ITC Avant Garde" w:hAnsi="ITC Avant Garde"/>
          <w:sz w:val="18"/>
          <w:szCs w:val="18"/>
          <w:lang w:val="es-MX"/>
        </w:rPr>
        <w:t>Parámetros para pruebas de entrega</w:t>
      </w:r>
    </w:p>
    <w:p w14:paraId="0105F8E3" w14:textId="51773B4F" w:rsidR="0026522C" w:rsidRPr="00422CA2" w:rsidRDefault="006A522B" w:rsidP="00586B55">
      <w:pPr>
        <w:pStyle w:val="Ttulo1"/>
        <w:rPr>
          <w:lang w:val="es-MX"/>
        </w:rPr>
      </w:pPr>
      <w:bookmarkStart w:id="639" w:name="_Toc436840929"/>
      <w:bookmarkStart w:id="640" w:name="_Toc436846366"/>
      <w:bookmarkStart w:id="641" w:name="_Toc436848316"/>
      <w:bookmarkStart w:id="642" w:name="_Toc436856564"/>
      <w:bookmarkStart w:id="643" w:name="_Toc436862710"/>
      <w:bookmarkStart w:id="644" w:name="_Toc436866360"/>
      <w:bookmarkStart w:id="645" w:name="_Toc436870939"/>
      <w:bookmarkStart w:id="646" w:name="_Toc436875931"/>
      <w:bookmarkStart w:id="647" w:name="_Toc437602118"/>
      <w:r w:rsidRPr="00422CA2">
        <w:rPr>
          <w:lang w:val="es-MX"/>
        </w:rPr>
        <w:t>7.9.1</w:t>
      </w:r>
      <w:r w:rsidRPr="00422CA2">
        <w:rPr>
          <w:lang w:val="es-MX"/>
        </w:rPr>
        <w:tab/>
        <w:t>Propuesta de mejora de parámetros de calidad</w:t>
      </w:r>
      <w:bookmarkEnd w:id="639"/>
      <w:bookmarkEnd w:id="640"/>
      <w:bookmarkEnd w:id="641"/>
      <w:bookmarkEnd w:id="642"/>
      <w:bookmarkEnd w:id="643"/>
      <w:bookmarkEnd w:id="644"/>
      <w:bookmarkEnd w:id="645"/>
      <w:bookmarkEnd w:id="646"/>
      <w:bookmarkEnd w:id="647"/>
    </w:p>
    <w:p w14:paraId="51114682" w14:textId="20916222" w:rsidR="0026522C" w:rsidRPr="00422CA2" w:rsidRDefault="00F32559" w:rsidP="00C831EF">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A partir de las mediciones y estadísticas que se obtengan durante </w:t>
      </w:r>
      <w:r w:rsidR="008823E6" w:rsidRPr="00422CA2">
        <w:rPr>
          <w:rFonts w:ascii="ITC Avant Garde" w:hAnsi="ITC Avant Garde"/>
          <w:sz w:val="22"/>
          <w:szCs w:val="22"/>
          <w:lang w:val="es-MX"/>
        </w:rPr>
        <w:t>medio año</w:t>
      </w:r>
      <w:r w:rsidRPr="00422CA2">
        <w:rPr>
          <w:rFonts w:ascii="ITC Avant Garde" w:hAnsi="ITC Avant Garde"/>
          <w:sz w:val="22"/>
          <w:szCs w:val="22"/>
          <w:lang w:val="es-MX"/>
        </w:rPr>
        <w:t xml:space="preserve"> de operación de los parámetros e indicadores de calidad que se proponen en el presente documento, </w:t>
      </w:r>
      <w:r w:rsidR="004445C0" w:rsidRPr="00422CA2">
        <w:rPr>
          <w:rFonts w:ascii="ITC Avant Garde" w:hAnsi="ITC Avant Garde"/>
          <w:sz w:val="22"/>
          <w:szCs w:val="22"/>
          <w:lang w:val="es-MX"/>
        </w:rPr>
        <w:t>mismas que deberán estar disponibles para los CS y para el Instituto,</w:t>
      </w:r>
      <w:r w:rsidRPr="00422CA2">
        <w:rPr>
          <w:rFonts w:ascii="ITC Avant Garde" w:hAnsi="ITC Avant Garde"/>
          <w:sz w:val="22"/>
          <w:szCs w:val="22"/>
          <w:lang w:val="es-MX"/>
        </w:rPr>
        <w:t xml:space="preserve"> se elaborará una estrategia que permita mejorar el desempeño de los mismos, lo anterior implica un ejercicio de identificación de áreas de oportunidad, así como de establecer las acciones a desarrollar en el futuro para introducir mejoras. Por lo anterior, la implementación del Plan de Mejora requerirá de tiempo hasta conseguir un nivel de maduración adecuado.</w:t>
      </w:r>
    </w:p>
    <w:p w14:paraId="05700606" w14:textId="05C65ABC" w:rsidR="00F32559" w:rsidRPr="00422CA2" w:rsidRDefault="00F32559" w:rsidP="00F32559">
      <w:pPr>
        <w:spacing w:after="200" w:line="276" w:lineRule="auto"/>
        <w:jc w:val="center"/>
        <w:rPr>
          <w:rFonts w:ascii="ITC Avant Garde" w:hAnsi="ITC Avant Garde"/>
          <w:b/>
          <w:sz w:val="22"/>
          <w:szCs w:val="22"/>
          <w:lang w:val="es-MX"/>
        </w:rPr>
      </w:pPr>
      <w:r w:rsidRPr="00422CA2">
        <w:rPr>
          <w:rFonts w:ascii="ITC Avant Garde" w:hAnsi="ITC Avant Garde"/>
          <w:b/>
          <w:sz w:val="22"/>
          <w:szCs w:val="22"/>
          <w:lang w:val="es-MX"/>
        </w:rPr>
        <w:t>Componentes del Plan de Mejora de Indicadores de Calidad</w:t>
      </w:r>
    </w:p>
    <w:p w14:paraId="6DBC982F" w14:textId="7E55A476" w:rsidR="00F32559" w:rsidRPr="00422CA2" w:rsidRDefault="00F32559" w:rsidP="00C831EF">
      <w:pPr>
        <w:spacing w:after="200" w:line="276" w:lineRule="auto"/>
        <w:jc w:val="both"/>
        <w:rPr>
          <w:rFonts w:ascii="ITC Avant Garde" w:hAnsi="ITC Avant Garde"/>
          <w:sz w:val="22"/>
          <w:szCs w:val="22"/>
          <w:lang w:val="es-MX"/>
        </w:rPr>
      </w:pPr>
      <w:r w:rsidRPr="00422CA2">
        <w:rPr>
          <w:rFonts w:ascii="ITC Avant Garde" w:hAnsi="ITC Avant Garde"/>
          <w:noProof/>
          <w:lang w:val="es-MX" w:eastAsia="es-MX"/>
        </w:rPr>
        <w:drawing>
          <wp:inline distT="0" distB="0" distL="0" distR="0" wp14:anchorId="36933043" wp14:editId="22BB3AB3">
            <wp:extent cx="5483225" cy="944245"/>
            <wp:effectExtent l="0" t="0" r="41275" b="0"/>
            <wp:docPr id="71"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14:paraId="773BE51D" w14:textId="30410F0F" w:rsidR="00F32559" w:rsidRPr="00422CA2" w:rsidRDefault="00F32559" w:rsidP="00C831EF">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Si al término de medio año existen evidencias suficientes para determinar mejoras en los parámetros, se llevará a cabo entonces la identificación de áreas de oportunidad, mientras que si no existen tales evidencias, el ejercicio se podrá realizar al cabo de un año.</w:t>
      </w:r>
    </w:p>
    <w:p w14:paraId="234EC35C" w14:textId="0C381A5F" w:rsidR="00251D03" w:rsidRPr="00422CA2" w:rsidRDefault="00251D03" w:rsidP="00586B55">
      <w:pPr>
        <w:pStyle w:val="Ttulo1"/>
      </w:pPr>
      <w:bookmarkStart w:id="648" w:name="_Toc436840930"/>
      <w:bookmarkStart w:id="649" w:name="_Toc436846367"/>
      <w:bookmarkStart w:id="650" w:name="_Toc436848317"/>
      <w:bookmarkStart w:id="651" w:name="_Toc436856565"/>
      <w:bookmarkStart w:id="652" w:name="_Toc436862711"/>
      <w:bookmarkStart w:id="653" w:name="_Toc436866361"/>
      <w:bookmarkStart w:id="654" w:name="_Toc436870940"/>
      <w:bookmarkStart w:id="655" w:name="_Toc436875932"/>
      <w:bookmarkStart w:id="656" w:name="_Toc437602119"/>
      <w:r w:rsidRPr="00422CA2">
        <w:lastRenderedPageBreak/>
        <w:t>7.10</w:t>
      </w:r>
      <w:r w:rsidRPr="00422CA2">
        <w:tab/>
        <w:t>Procedimiento para la realización de pruebas de entrega del Servicio de Coubicación para Desagregación</w:t>
      </w:r>
      <w:bookmarkEnd w:id="648"/>
      <w:bookmarkEnd w:id="649"/>
      <w:bookmarkEnd w:id="650"/>
      <w:bookmarkEnd w:id="651"/>
      <w:bookmarkEnd w:id="652"/>
      <w:bookmarkEnd w:id="653"/>
      <w:bookmarkEnd w:id="654"/>
      <w:bookmarkEnd w:id="655"/>
      <w:bookmarkEnd w:id="656"/>
    </w:p>
    <w:p w14:paraId="0BF06794" w14:textId="44F4346D" w:rsidR="00251D03" w:rsidRPr="00422CA2" w:rsidRDefault="00251D03" w:rsidP="002B09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Objetivo de este procedimiento es describir las actividades que se desarrollarán por parte de Telmex y los CS para la realización de pruebas </w:t>
      </w:r>
      <w:r w:rsidR="00F524F0" w:rsidRPr="00422CA2">
        <w:rPr>
          <w:rFonts w:ascii="ITC Avant Garde" w:hAnsi="ITC Avant Garde"/>
          <w:sz w:val="22"/>
          <w:szCs w:val="22"/>
          <w:lang w:val="es-MX"/>
        </w:rPr>
        <w:t xml:space="preserve">de conformidad </w:t>
      </w:r>
      <w:r w:rsidRPr="00422CA2">
        <w:rPr>
          <w:rFonts w:ascii="ITC Avant Garde" w:hAnsi="ITC Avant Garde"/>
          <w:sz w:val="22"/>
          <w:szCs w:val="22"/>
          <w:lang w:val="es-MX"/>
        </w:rPr>
        <w:t>a fin de formalizar la entrega del servicio de Coubicación e inicio de la facturación del mismo. Este procedimiento aplica para la entrega de la Coubicación Cerrada (CC), Coubicación Básica (CB) y Coubicación Equipada (CEq), en las Centrales Telefónicas y/o Instalaciones Equivalentes</w:t>
      </w:r>
      <w:r w:rsidR="002B095D" w:rsidRPr="00422CA2">
        <w:rPr>
          <w:rFonts w:ascii="ITC Avant Garde" w:hAnsi="ITC Avant Garde"/>
          <w:sz w:val="22"/>
          <w:szCs w:val="22"/>
          <w:lang w:val="es-MX"/>
        </w:rPr>
        <w:t xml:space="preserve"> de Telmex.</w:t>
      </w:r>
    </w:p>
    <w:p w14:paraId="18383F34" w14:textId="01FFEA4F" w:rsidR="002B095D" w:rsidRPr="00422CA2" w:rsidRDefault="002B095D" w:rsidP="002B095D">
      <w:pPr>
        <w:pStyle w:val="Prrafodelista"/>
        <w:numPr>
          <w:ilvl w:val="0"/>
          <w:numId w:val="22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Terminados los trabajos de habilitación de los Servicios para Coubicación, se notificará al CS a través del Sistema de Captura o SEG cuando esté disponible.</w:t>
      </w:r>
    </w:p>
    <w:p w14:paraId="087FBE3A" w14:textId="528C475D" w:rsidR="002B095D" w:rsidRPr="00422CA2" w:rsidRDefault="002B095D" w:rsidP="002B095D">
      <w:pPr>
        <w:pStyle w:val="Prrafodelista"/>
        <w:numPr>
          <w:ilvl w:val="0"/>
          <w:numId w:val="22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Telmex acordará con el CS la fecha de entrega del servicio con una anticipación mínima de 48 </w:t>
      </w:r>
      <w:r w:rsidR="00C62DE4" w:rsidRPr="00422CA2">
        <w:rPr>
          <w:rFonts w:ascii="ITC Avant Garde" w:hAnsi="ITC Avant Garde"/>
          <w:sz w:val="22"/>
          <w:szCs w:val="22"/>
          <w:lang w:val="es-MX"/>
        </w:rPr>
        <w:t>h</w:t>
      </w:r>
      <w:r w:rsidRPr="00422CA2">
        <w:rPr>
          <w:rFonts w:ascii="ITC Avant Garde" w:hAnsi="ITC Avant Garde"/>
          <w:sz w:val="22"/>
          <w:szCs w:val="22"/>
          <w:lang w:val="es-MX"/>
        </w:rPr>
        <w:t>oras</w:t>
      </w:r>
      <w:r w:rsidR="00C62DE4" w:rsidRPr="00422CA2">
        <w:rPr>
          <w:rFonts w:ascii="ITC Avant Garde" w:hAnsi="ITC Avant Garde"/>
          <w:sz w:val="22"/>
          <w:szCs w:val="22"/>
          <w:lang w:val="es-MX"/>
        </w:rPr>
        <w:t xml:space="preserve"> hábiles</w:t>
      </w:r>
      <w:r w:rsidRPr="00422CA2">
        <w:rPr>
          <w:rFonts w:ascii="ITC Avant Garde" w:hAnsi="ITC Avant Garde"/>
          <w:sz w:val="22"/>
          <w:szCs w:val="22"/>
          <w:lang w:val="es-MX"/>
        </w:rPr>
        <w:t>.</w:t>
      </w:r>
    </w:p>
    <w:p w14:paraId="6386324D" w14:textId="28012996" w:rsidR="002B095D" w:rsidRPr="00422CA2" w:rsidRDefault="002B095D" w:rsidP="002B095D">
      <w:pPr>
        <w:pStyle w:val="Prrafodelista"/>
        <w:numPr>
          <w:ilvl w:val="0"/>
          <w:numId w:val="22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día de la entrega el área de Operación y Mantenimiento de Telmex, así como el CS utilizando el Formato de Recepción para Cubicaciones de Concesionarios Solicitantes (incluido dentro del punto 7.11) revisarán que las facilidades técnicas y servicios auxiliares estén en conformidad </w:t>
      </w:r>
      <w:r w:rsidR="008E0EEC" w:rsidRPr="00422CA2">
        <w:rPr>
          <w:rFonts w:ascii="ITC Avant Garde" w:hAnsi="ITC Avant Garde"/>
          <w:sz w:val="22"/>
          <w:szCs w:val="22"/>
          <w:lang w:val="es-MX"/>
        </w:rPr>
        <w:t>con el</w:t>
      </w:r>
      <w:r w:rsidRPr="00422CA2">
        <w:rPr>
          <w:rFonts w:ascii="ITC Avant Garde" w:hAnsi="ITC Avant Garde"/>
          <w:sz w:val="22"/>
          <w:szCs w:val="22"/>
          <w:lang w:val="es-MX"/>
        </w:rPr>
        <w:t xml:space="preserve"> servicio contratado. En caso de no identificar alguna desviación, ambas partes firmarán como aceptación el</w:t>
      </w:r>
      <w:r w:rsidR="008E0EEC" w:rsidRPr="00422CA2">
        <w:rPr>
          <w:rFonts w:ascii="ITC Avant Garde" w:hAnsi="ITC Avant Garde"/>
          <w:sz w:val="22"/>
          <w:szCs w:val="22"/>
          <w:lang w:val="es-MX"/>
        </w:rPr>
        <w:t xml:space="preserve"> </w:t>
      </w:r>
      <w:r w:rsidRPr="00422CA2">
        <w:rPr>
          <w:rFonts w:ascii="ITC Avant Garde" w:hAnsi="ITC Avant Garde"/>
          <w:sz w:val="22"/>
          <w:szCs w:val="22"/>
          <w:lang w:val="es-MX"/>
        </w:rPr>
        <w:t>formato antes mencionado.</w:t>
      </w:r>
    </w:p>
    <w:p w14:paraId="612032EC" w14:textId="5FCD94B9" w:rsidR="002B095D" w:rsidRPr="00422CA2" w:rsidRDefault="002B095D" w:rsidP="002B095D">
      <w:pPr>
        <w:pStyle w:val="Prrafodelista"/>
        <w:numPr>
          <w:ilvl w:val="0"/>
          <w:numId w:val="22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caso de identificar alguna desviación al servicio se programará </w:t>
      </w:r>
      <w:r w:rsidR="008E0EEC" w:rsidRPr="00422CA2">
        <w:rPr>
          <w:rFonts w:ascii="ITC Avant Garde" w:hAnsi="ITC Avant Garde"/>
          <w:sz w:val="22"/>
          <w:szCs w:val="22"/>
          <w:lang w:val="es-MX"/>
        </w:rPr>
        <w:t xml:space="preserve">una </w:t>
      </w:r>
      <w:r w:rsidRPr="00422CA2">
        <w:rPr>
          <w:rFonts w:ascii="ITC Avant Garde" w:hAnsi="ITC Avant Garde"/>
          <w:sz w:val="22"/>
          <w:szCs w:val="22"/>
          <w:lang w:val="es-MX"/>
        </w:rPr>
        <w:t xml:space="preserve">nueva fecha de entrega de acuerdo al tipo de modificación o adecuación que se requiera </w:t>
      </w:r>
    </w:p>
    <w:p w14:paraId="61346470" w14:textId="69F2179D" w:rsidR="00251D03" w:rsidRPr="00422CA2" w:rsidRDefault="002B095D" w:rsidP="008E0EEC">
      <w:pPr>
        <w:pStyle w:val="Prrafodelista"/>
        <w:numPr>
          <w:ilvl w:val="0"/>
          <w:numId w:val="22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Una vez firmado el Formato </w:t>
      </w:r>
      <w:r w:rsidR="008E0EEC" w:rsidRPr="00422CA2">
        <w:rPr>
          <w:rFonts w:ascii="ITC Avant Garde" w:hAnsi="ITC Avant Garde"/>
          <w:sz w:val="22"/>
          <w:szCs w:val="22"/>
          <w:lang w:val="es-MX"/>
        </w:rPr>
        <w:t xml:space="preserve">de Recepción para Cubicaciones iniciará </w:t>
      </w:r>
      <w:r w:rsidRPr="00422CA2">
        <w:rPr>
          <w:rFonts w:ascii="ITC Avant Garde" w:hAnsi="ITC Avant Garde"/>
          <w:sz w:val="22"/>
          <w:szCs w:val="22"/>
          <w:lang w:val="es-MX"/>
        </w:rPr>
        <w:t>la facturación del servicio.</w:t>
      </w:r>
    </w:p>
    <w:p w14:paraId="57C0C55C" w14:textId="480C85A3" w:rsidR="001B10B5" w:rsidRPr="00422CA2" w:rsidRDefault="001B10B5" w:rsidP="001B10B5">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 para la realización de Pruebas de aceptación para las Cubicaciones</w:t>
      </w:r>
    </w:p>
    <w:p w14:paraId="1252A717" w14:textId="716EB14D" w:rsidR="001B10B5" w:rsidRPr="00422CA2" w:rsidRDefault="001B10B5" w:rsidP="002B095D">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Las pruebas se llevarán a cabo mediante inspecciones físicas y/o mediciones de los aspectos indicados en el </w:t>
      </w:r>
      <w:r w:rsidR="00C62DE4" w:rsidRPr="00422CA2">
        <w:rPr>
          <w:rFonts w:ascii="ITC Avant Garde" w:hAnsi="ITC Avant Garde"/>
          <w:sz w:val="22"/>
          <w:szCs w:val="22"/>
          <w:lang w:val="es-MX"/>
        </w:rPr>
        <w:t>LISTADO DE VERIFICACIÓN PARA EL SERVICIO DE COUBICACIÓN PARA DESAGREGACIÓN</w:t>
      </w:r>
      <w:r w:rsidRPr="00422CA2">
        <w:rPr>
          <w:rFonts w:ascii="ITC Avant Garde" w:hAnsi="ITC Avant Garde"/>
          <w:sz w:val="22"/>
          <w:szCs w:val="22"/>
          <w:lang w:val="es-MX"/>
        </w:rPr>
        <w:t xml:space="preserve"> según se requiera, los resultados obtenidos deberán registrarse en el campo correspondiente de dicho formato.</w:t>
      </w:r>
    </w:p>
    <w:p w14:paraId="0D305BF4" w14:textId="550838B6" w:rsidR="001B10B5" w:rsidRPr="00422CA2" w:rsidRDefault="001B10B5" w:rsidP="00586B55">
      <w:pPr>
        <w:pStyle w:val="Ttulo1"/>
      </w:pPr>
      <w:bookmarkStart w:id="657" w:name="_Toc436840931"/>
      <w:bookmarkStart w:id="658" w:name="_Toc436846368"/>
      <w:bookmarkStart w:id="659" w:name="_Toc436848318"/>
      <w:bookmarkStart w:id="660" w:name="_Toc436856566"/>
      <w:bookmarkStart w:id="661" w:name="_Toc436862712"/>
      <w:bookmarkStart w:id="662" w:name="_Toc436866362"/>
      <w:bookmarkStart w:id="663" w:name="_Toc436870941"/>
      <w:bookmarkStart w:id="664" w:name="_Toc436875933"/>
      <w:bookmarkStart w:id="665" w:name="_Toc437602120"/>
      <w:r w:rsidRPr="00422CA2">
        <w:lastRenderedPageBreak/>
        <w:t>7.11</w:t>
      </w:r>
      <w:r w:rsidRPr="00422CA2">
        <w:tab/>
        <w:t>Formatos aplicables al Servicio de Coubicación para Desagregación</w:t>
      </w:r>
      <w:bookmarkEnd w:id="657"/>
      <w:bookmarkEnd w:id="658"/>
      <w:bookmarkEnd w:id="659"/>
      <w:bookmarkEnd w:id="660"/>
      <w:bookmarkEnd w:id="661"/>
      <w:bookmarkEnd w:id="662"/>
      <w:bookmarkEnd w:id="663"/>
      <w:bookmarkEnd w:id="664"/>
      <w:bookmarkEnd w:id="665"/>
    </w:p>
    <w:p w14:paraId="6798E372" w14:textId="2CA01EF3" w:rsidR="001B10B5" w:rsidRPr="00422CA2" w:rsidRDefault="00C61BD6" w:rsidP="00161A23">
      <w:pPr>
        <w:spacing w:after="200" w:line="276" w:lineRule="auto"/>
        <w:jc w:val="center"/>
        <w:rPr>
          <w:rFonts w:ascii="ITC Avant Garde" w:hAnsi="ITC Avant Garde"/>
          <w:sz w:val="22"/>
          <w:szCs w:val="22"/>
          <w:lang w:val="es-MX"/>
        </w:rPr>
      </w:pPr>
      <w:r w:rsidRPr="00422CA2">
        <w:rPr>
          <w:rFonts w:ascii="ITC Avant Garde" w:hAnsi="ITC Avant Garde"/>
          <w:noProof/>
          <w:lang w:val="es-MX" w:eastAsia="es-MX"/>
        </w:rPr>
        <w:drawing>
          <wp:inline distT="0" distB="0" distL="0" distR="0" wp14:anchorId="29ADE8FA" wp14:editId="3DB34F33">
            <wp:extent cx="5267325" cy="7583437"/>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83087" cy="7606130"/>
                    </a:xfrm>
                    <a:prstGeom prst="rect">
                      <a:avLst/>
                    </a:prstGeom>
                    <a:noFill/>
                    <a:ln>
                      <a:noFill/>
                    </a:ln>
                  </pic:spPr>
                </pic:pic>
              </a:graphicData>
            </a:graphic>
          </wp:inline>
        </w:drawing>
      </w:r>
    </w:p>
    <w:p w14:paraId="377476FC" w14:textId="15D01B49" w:rsidR="001B10B5" w:rsidRPr="00422CA2" w:rsidRDefault="00C61BD6" w:rsidP="00BC6E66">
      <w:pPr>
        <w:spacing w:after="200" w:line="276" w:lineRule="auto"/>
        <w:jc w:val="center"/>
        <w:rPr>
          <w:rFonts w:ascii="ITC Avant Garde" w:hAnsi="ITC Avant Garde"/>
          <w:sz w:val="22"/>
          <w:szCs w:val="22"/>
          <w:lang w:val="es-MX"/>
        </w:rPr>
      </w:pPr>
      <w:r w:rsidRPr="00422CA2">
        <w:rPr>
          <w:rFonts w:ascii="ITC Avant Garde" w:hAnsi="ITC Avant Garde"/>
          <w:noProof/>
          <w:lang w:val="es-MX" w:eastAsia="es-MX"/>
        </w:rPr>
        <w:lastRenderedPageBreak/>
        <w:drawing>
          <wp:inline distT="0" distB="0" distL="0" distR="0" wp14:anchorId="4DC8AEF8" wp14:editId="3EFF4402">
            <wp:extent cx="5334000" cy="787622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37509" cy="7881406"/>
                    </a:xfrm>
                    <a:prstGeom prst="rect">
                      <a:avLst/>
                    </a:prstGeom>
                    <a:noFill/>
                    <a:ln>
                      <a:noFill/>
                    </a:ln>
                  </pic:spPr>
                </pic:pic>
              </a:graphicData>
            </a:graphic>
          </wp:inline>
        </w:drawing>
      </w:r>
    </w:p>
    <w:p w14:paraId="4E974B2D" w14:textId="6BB36C2D" w:rsidR="001B10B5" w:rsidRPr="00422CA2" w:rsidRDefault="00C61BD6" w:rsidP="00234A5F">
      <w:pPr>
        <w:spacing w:after="200" w:line="276" w:lineRule="auto"/>
        <w:jc w:val="center"/>
        <w:rPr>
          <w:rFonts w:ascii="ITC Avant Garde" w:hAnsi="ITC Avant Garde"/>
          <w:sz w:val="22"/>
          <w:szCs w:val="22"/>
          <w:lang w:val="es-MX"/>
        </w:rPr>
      </w:pPr>
      <w:r w:rsidRPr="00422CA2">
        <w:rPr>
          <w:rFonts w:ascii="ITC Avant Garde" w:hAnsi="ITC Avant Garde"/>
          <w:noProof/>
          <w:lang w:val="es-MX" w:eastAsia="es-MX"/>
        </w:rPr>
        <w:lastRenderedPageBreak/>
        <w:drawing>
          <wp:inline distT="0" distB="0" distL="0" distR="0" wp14:anchorId="63FDC701" wp14:editId="54596144">
            <wp:extent cx="5295900" cy="8124496"/>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02882" cy="8135206"/>
                    </a:xfrm>
                    <a:prstGeom prst="rect">
                      <a:avLst/>
                    </a:prstGeom>
                    <a:noFill/>
                    <a:ln>
                      <a:noFill/>
                    </a:ln>
                  </pic:spPr>
                </pic:pic>
              </a:graphicData>
            </a:graphic>
          </wp:inline>
        </w:drawing>
      </w:r>
    </w:p>
    <w:p w14:paraId="40A5681F" w14:textId="5D49DE13" w:rsidR="00161A23" w:rsidRPr="00422CA2" w:rsidRDefault="00C61BD6" w:rsidP="002B095D">
      <w:pPr>
        <w:spacing w:after="200" w:line="276" w:lineRule="auto"/>
        <w:jc w:val="both"/>
        <w:rPr>
          <w:rFonts w:ascii="ITC Avant Garde" w:hAnsi="ITC Avant Garde"/>
          <w:sz w:val="22"/>
          <w:szCs w:val="22"/>
          <w:lang w:val="es-MX"/>
        </w:rPr>
      </w:pPr>
      <w:r w:rsidRPr="00422CA2">
        <w:rPr>
          <w:rFonts w:ascii="ITC Avant Garde" w:hAnsi="ITC Avant Garde"/>
          <w:noProof/>
          <w:lang w:val="es-MX" w:eastAsia="es-MX"/>
        </w:rPr>
        <w:lastRenderedPageBreak/>
        <w:drawing>
          <wp:inline distT="0" distB="0" distL="0" distR="0" wp14:anchorId="71B1AF05" wp14:editId="7B1F7C11">
            <wp:extent cx="5613014" cy="6610350"/>
            <wp:effectExtent l="0" t="0" r="698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4147" cy="6611684"/>
                    </a:xfrm>
                    <a:prstGeom prst="rect">
                      <a:avLst/>
                    </a:prstGeom>
                    <a:noFill/>
                    <a:ln>
                      <a:noFill/>
                    </a:ln>
                  </pic:spPr>
                </pic:pic>
              </a:graphicData>
            </a:graphic>
          </wp:inline>
        </w:drawing>
      </w:r>
    </w:p>
    <w:p w14:paraId="76D7170D" w14:textId="68549490" w:rsidR="00580BF9" w:rsidRPr="00422CA2" w:rsidRDefault="00CF3A60" w:rsidP="00586B55">
      <w:pPr>
        <w:pStyle w:val="Ttulo1"/>
      </w:pPr>
      <w:bookmarkStart w:id="666" w:name="_Toc436840932"/>
      <w:bookmarkStart w:id="667" w:name="_Toc436846369"/>
      <w:bookmarkStart w:id="668" w:name="_Toc436848319"/>
      <w:bookmarkStart w:id="669" w:name="_Toc436856567"/>
      <w:bookmarkStart w:id="670" w:name="_Toc436862713"/>
      <w:bookmarkStart w:id="671" w:name="_Toc436866363"/>
      <w:bookmarkStart w:id="672" w:name="_Toc436870942"/>
      <w:bookmarkStart w:id="673" w:name="_Toc436875934"/>
      <w:bookmarkStart w:id="674" w:name="_Toc437602121"/>
      <w:r w:rsidRPr="00422CA2">
        <w:t>8.</w:t>
      </w:r>
      <w:r w:rsidRPr="00422CA2">
        <w:tab/>
      </w:r>
      <w:r w:rsidR="00580BF9" w:rsidRPr="00422CA2">
        <w:t>Servicio Auxiliar de Cableado Multipar</w:t>
      </w:r>
      <w:bookmarkEnd w:id="666"/>
      <w:bookmarkEnd w:id="667"/>
      <w:bookmarkEnd w:id="668"/>
      <w:bookmarkEnd w:id="669"/>
      <w:bookmarkEnd w:id="670"/>
      <w:bookmarkEnd w:id="671"/>
      <w:bookmarkEnd w:id="672"/>
      <w:bookmarkEnd w:id="673"/>
      <w:bookmarkEnd w:id="674"/>
    </w:p>
    <w:p w14:paraId="349C5186" w14:textId="77777777" w:rsidR="00580BF9" w:rsidRPr="00422CA2" w:rsidRDefault="00580BF9"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servicio de cableado multipar permite al CS la desagregación efectiva, para los Servicios de Desagregación Total del Bucle y Desagregación Compartida del Bucle, el cableado es instalado hasta la Coubicación del Concesionario, ya sea cerrada, básica o equipada. </w:t>
      </w:r>
    </w:p>
    <w:p w14:paraId="7C1F6F93" w14:textId="77777777" w:rsidR="00580BF9" w:rsidRPr="00422CA2" w:rsidRDefault="00580BF9"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En caso de que el Servicio de Tendido de Cable Multipar sea solicitado para una Ubicación Distante, se prestará en términos de la Oferta de Compartición de Infraestructura, el CS deberá enviar junto con su solicitud el NIS</w:t>
      </w:r>
      <w:r w:rsidRPr="00422CA2">
        <w:rPr>
          <w:rFonts w:ascii="ITC Avant Garde" w:hAnsi="ITC Avant Garde"/>
          <w:sz w:val="22"/>
          <w:szCs w:val="22"/>
        </w:rPr>
        <w:t>-Referencia</w:t>
      </w:r>
      <w:r w:rsidRPr="00422CA2">
        <w:rPr>
          <w:rFonts w:ascii="ITC Avant Garde" w:hAnsi="ITC Avant Garde"/>
          <w:sz w:val="22"/>
          <w:szCs w:val="22"/>
          <w:lang w:val="es-MX"/>
        </w:rPr>
        <w:t xml:space="preserve"> correspondiente al servicio de tendido de cable y el Acta de Entrega de Servicio obtenida a través de los procedimientos establecidos.</w:t>
      </w:r>
    </w:p>
    <w:p w14:paraId="24E4B9EB" w14:textId="77777777" w:rsidR="00580BF9" w:rsidRPr="00422CA2" w:rsidRDefault="00580BF9" w:rsidP="00586B55">
      <w:pPr>
        <w:pStyle w:val="Ttulo1"/>
      </w:pPr>
      <w:bookmarkStart w:id="675" w:name="_Toc436840933"/>
      <w:bookmarkStart w:id="676" w:name="_Toc436846370"/>
      <w:bookmarkStart w:id="677" w:name="_Toc436848320"/>
      <w:bookmarkStart w:id="678" w:name="_Toc436856568"/>
      <w:bookmarkStart w:id="679" w:name="_Toc436862714"/>
      <w:bookmarkStart w:id="680" w:name="_Toc436866364"/>
      <w:bookmarkStart w:id="681" w:name="_Toc436870943"/>
      <w:bookmarkStart w:id="682" w:name="_Toc436875935"/>
      <w:bookmarkStart w:id="683" w:name="_Toc437602122"/>
      <w:r w:rsidRPr="00422CA2">
        <w:t>8.1</w:t>
      </w:r>
      <w:r w:rsidRPr="00422CA2">
        <w:tab/>
        <w:t>Tendido de Cableado Multipar</w:t>
      </w:r>
      <w:bookmarkEnd w:id="675"/>
      <w:bookmarkEnd w:id="676"/>
      <w:bookmarkEnd w:id="677"/>
      <w:bookmarkEnd w:id="678"/>
      <w:bookmarkEnd w:id="679"/>
      <w:bookmarkEnd w:id="680"/>
      <w:bookmarkEnd w:id="681"/>
      <w:bookmarkEnd w:id="682"/>
      <w:bookmarkEnd w:id="683"/>
      <w:r w:rsidRPr="00422CA2">
        <w:t xml:space="preserve"> </w:t>
      </w:r>
    </w:p>
    <w:p w14:paraId="75BD3BF1" w14:textId="77777777" w:rsidR="00580BF9" w:rsidRPr="00422CA2" w:rsidRDefault="00580BF9"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Mediante este servicio se instala cable Multipar entre el Distribuidor General de Telmex y la Coubicación del CS, el cual es tendido sobre escalerillas nuevas o existentes. El cable Multipar se deja en punta en la entrada de la Coubicación del CS. </w:t>
      </w:r>
    </w:p>
    <w:p w14:paraId="70E1E053" w14:textId="77777777" w:rsidR="00580BF9" w:rsidRPr="00422CA2" w:rsidRDefault="00580BF9"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Las especificaciones técnicas del cable a suministrar estarán de acuerdo con las que se utilizan en las propias operaciones, así como de acuerdo con las mejores prácticas las cuales están señaladas en los estándares internacionales </w:t>
      </w:r>
      <w:r w:rsidRPr="00422CA2">
        <w:rPr>
          <w:rFonts w:ascii="ITC Avant Garde" w:hAnsi="ITC Avant Garde" w:cs="Arial"/>
          <w:sz w:val="22"/>
          <w:szCs w:val="22"/>
        </w:rPr>
        <w:t>ISO 11801 y TIA/EIA 568</w:t>
      </w:r>
      <w:r w:rsidRPr="00422CA2">
        <w:rPr>
          <w:rFonts w:ascii="ITC Avant Garde" w:hAnsi="ITC Avant Garde"/>
          <w:sz w:val="22"/>
          <w:szCs w:val="22"/>
          <w:lang w:val="es-MX"/>
        </w:rPr>
        <w:t>, las especificaciones mínimas son:</w:t>
      </w:r>
    </w:p>
    <w:p w14:paraId="3B106311" w14:textId="77777777"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Compatibilidad con los equipos de conexión de las partes involucradas: El cable multipar blindado y estañado de 70 pares es compatible con todos los equipos de acuerdo a la impedancia estándar para el manejo de las tecnologías xDSL.</w:t>
      </w:r>
    </w:p>
    <w:p w14:paraId="7EB568C6" w14:textId="77777777"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Los cables son del tipo CAT-3 que define a los cables para transmisión con banda ancha, con las características de transmisión establecidas en las normas ISO 11801 y TIA/EIA 568.</w:t>
      </w:r>
    </w:p>
    <w:p w14:paraId="10817FD3" w14:textId="51F44D04"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Etiquetado homologado de elementos: se realizará de acuerdo a lo que se menciona en </w:t>
      </w:r>
      <w:r w:rsidR="00615DF4" w:rsidRPr="00422CA2">
        <w:rPr>
          <w:rFonts w:ascii="ITC Avant Garde" w:hAnsi="ITC Avant Garde" w:cs="Arial"/>
          <w:sz w:val="22"/>
          <w:szCs w:val="22"/>
        </w:rPr>
        <w:t>el numeral</w:t>
      </w:r>
      <w:r w:rsidRPr="00422CA2">
        <w:rPr>
          <w:rFonts w:ascii="ITC Avant Garde" w:hAnsi="ITC Avant Garde" w:cs="Arial"/>
          <w:sz w:val="22"/>
          <w:szCs w:val="22"/>
        </w:rPr>
        <w:t xml:space="preserve">  8.7 “Guía para el etiquetado de cable multipar instalado dentro de un edificio TELMEX” con identificación: Mx-QMS-L3-51 en su versión actual. Adicional se etiquetará con el nombre del CS al que pertenece.</w:t>
      </w:r>
    </w:p>
    <w:p w14:paraId="531179EC" w14:textId="77777777"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Tipo de terminación del cable: es T568 de acuerdo al estándar TIA/EIA para la transmisión de datos arriba de 100 Mbps. </w:t>
      </w:r>
    </w:p>
    <w:p w14:paraId="607F3C62" w14:textId="77777777"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Método de instalación: Durante la instalación, el cable no debe llegar a un radio de curvatura menor a 30 cm bajo tensión o 18 cm sin tensión.</w:t>
      </w:r>
    </w:p>
    <w:p w14:paraId="0C3C59CA" w14:textId="77777777" w:rsidR="00580BF9" w:rsidRPr="00422CA2" w:rsidRDefault="00580BF9" w:rsidP="00BC6E66">
      <w:pPr>
        <w:pStyle w:val="Prrafodelista"/>
        <w:numPr>
          <w:ilvl w:val="0"/>
          <w:numId w:val="64"/>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A continuación se muestran las características de ancho de banda vs distancia a 100m permitidas para evitar la existencia de cortos circuitos o cables abiertos:</w:t>
      </w:r>
    </w:p>
    <w:p w14:paraId="6C8B0D41" w14:textId="77777777" w:rsidR="00580BF9" w:rsidRPr="00422CA2" w:rsidRDefault="00580BF9" w:rsidP="00BC6E66">
      <w:pPr>
        <w:pStyle w:val="Prrafodelista"/>
        <w:spacing w:after="200" w:line="276" w:lineRule="auto"/>
        <w:ind w:left="720"/>
        <w:jc w:val="both"/>
        <w:rPr>
          <w:rFonts w:ascii="ITC Avant Garde" w:hAnsi="ITC Avant Garde" w:cs="Arial"/>
          <w:sz w:val="22"/>
          <w:szCs w:val="22"/>
        </w:rPr>
      </w:pPr>
    </w:p>
    <w:tbl>
      <w:tblPr>
        <w:tblStyle w:val="Tablaconcuadrcula"/>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95"/>
        <w:gridCol w:w="1795"/>
        <w:gridCol w:w="1796"/>
        <w:gridCol w:w="2093"/>
      </w:tblGrid>
      <w:tr w:rsidR="00422CA2" w:rsidRPr="00422CA2" w14:paraId="6307696E" w14:textId="77777777" w:rsidTr="00CF3A60">
        <w:trPr>
          <w:jc w:val="center"/>
        </w:trPr>
        <w:tc>
          <w:tcPr>
            <w:tcW w:w="7479" w:type="dxa"/>
            <w:gridSpan w:val="4"/>
            <w:shd w:val="clear" w:color="auto" w:fill="548DD4"/>
            <w:vAlign w:val="center"/>
          </w:tcPr>
          <w:p w14:paraId="2D885A92" w14:textId="77777777" w:rsidR="00580BF9" w:rsidRPr="00422CA2" w:rsidRDefault="00580BF9" w:rsidP="000804CF">
            <w:pPr>
              <w:spacing w:before="60" w:after="60" w:line="276" w:lineRule="auto"/>
              <w:jc w:val="center"/>
              <w:rPr>
                <w:rFonts w:ascii="ITC Avant Garde" w:hAnsi="ITC Avant Garde"/>
                <w:b/>
                <w:sz w:val="20"/>
                <w:szCs w:val="20"/>
              </w:rPr>
            </w:pPr>
            <w:r w:rsidRPr="00422CA2">
              <w:rPr>
                <w:rFonts w:ascii="ITC Avant Garde" w:hAnsi="ITC Avant Garde"/>
                <w:b/>
                <w:sz w:val="20"/>
                <w:szCs w:val="20"/>
              </w:rPr>
              <w:t>Características de transmisión en 100 m a 20°C</w:t>
            </w:r>
          </w:p>
        </w:tc>
      </w:tr>
      <w:tr w:rsidR="00422CA2" w:rsidRPr="00422CA2" w14:paraId="1EBEF79D" w14:textId="77777777" w:rsidTr="00CF3A60">
        <w:trPr>
          <w:jc w:val="center"/>
        </w:trPr>
        <w:tc>
          <w:tcPr>
            <w:tcW w:w="1795" w:type="dxa"/>
            <w:shd w:val="clear" w:color="auto" w:fill="548DD4"/>
            <w:vAlign w:val="center"/>
          </w:tcPr>
          <w:p w14:paraId="2E648B5C" w14:textId="77777777" w:rsidR="00580BF9" w:rsidRPr="00422CA2" w:rsidRDefault="00580BF9" w:rsidP="000804CF">
            <w:pPr>
              <w:spacing w:before="60" w:after="60" w:line="276" w:lineRule="auto"/>
              <w:jc w:val="center"/>
              <w:rPr>
                <w:rFonts w:ascii="ITC Avant Garde" w:hAnsi="ITC Avant Garde"/>
                <w:b/>
                <w:sz w:val="20"/>
                <w:szCs w:val="20"/>
              </w:rPr>
            </w:pPr>
            <w:r w:rsidRPr="00422CA2">
              <w:rPr>
                <w:rFonts w:ascii="ITC Avant Garde" w:hAnsi="ITC Avant Garde"/>
                <w:b/>
                <w:sz w:val="20"/>
                <w:szCs w:val="20"/>
              </w:rPr>
              <w:t>Frecuencia (Mhz)</w:t>
            </w:r>
          </w:p>
        </w:tc>
        <w:tc>
          <w:tcPr>
            <w:tcW w:w="1795" w:type="dxa"/>
            <w:shd w:val="clear" w:color="auto" w:fill="548DD4"/>
            <w:vAlign w:val="center"/>
          </w:tcPr>
          <w:p w14:paraId="62431F90" w14:textId="77777777" w:rsidR="00580BF9" w:rsidRPr="00422CA2" w:rsidRDefault="00580BF9" w:rsidP="000804CF">
            <w:pPr>
              <w:spacing w:before="60" w:after="60" w:line="276" w:lineRule="auto"/>
              <w:jc w:val="center"/>
              <w:rPr>
                <w:rFonts w:ascii="ITC Avant Garde" w:hAnsi="ITC Avant Garde"/>
                <w:b/>
                <w:sz w:val="20"/>
                <w:szCs w:val="20"/>
              </w:rPr>
            </w:pPr>
            <w:r w:rsidRPr="00422CA2">
              <w:rPr>
                <w:rFonts w:ascii="ITC Avant Garde" w:hAnsi="ITC Avant Garde"/>
                <w:b/>
                <w:sz w:val="20"/>
                <w:szCs w:val="20"/>
              </w:rPr>
              <w:t>Atenuación Máx (dB)</w:t>
            </w:r>
          </w:p>
        </w:tc>
        <w:tc>
          <w:tcPr>
            <w:tcW w:w="1796" w:type="dxa"/>
            <w:shd w:val="clear" w:color="auto" w:fill="548DD4"/>
            <w:vAlign w:val="center"/>
          </w:tcPr>
          <w:p w14:paraId="441EBAAB" w14:textId="77777777" w:rsidR="00580BF9" w:rsidRPr="00422CA2" w:rsidRDefault="00580BF9" w:rsidP="000804CF">
            <w:pPr>
              <w:spacing w:before="60" w:after="60" w:line="276" w:lineRule="auto"/>
              <w:jc w:val="center"/>
              <w:rPr>
                <w:rFonts w:ascii="ITC Avant Garde" w:hAnsi="ITC Avant Garde"/>
                <w:b/>
                <w:sz w:val="20"/>
                <w:szCs w:val="20"/>
              </w:rPr>
            </w:pPr>
            <w:r w:rsidRPr="00422CA2">
              <w:rPr>
                <w:rFonts w:ascii="ITC Avant Garde" w:hAnsi="ITC Avant Garde"/>
                <w:b/>
                <w:sz w:val="20"/>
                <w:szCs w:val="20"/>
              </w:rPr>
              <w:t>Diafonía PSNEXT Mín (dB)</w:t>
            </w:r>
          </w:p>
        </w:tc>
        <w:tc>
          <w:tcPr>
            <w:tcW w:w="2093" w:type="dxa"/>
            <w:shd w:val="clear" w:color="auto" w:fill="548DD4"/>
            <w:vAlign w:val="center"/>
          </w:tcPr>
          <w:p w14:paraId="69EC066A" w14:textId="77777777" w:rsidR="00580BF9" w:rsidRPr="00422CA2" w:rsidRDefault="00580BF9" w:rsidP="000804CF">
            <w:pPr>
              <w:spacing w:before="60" w:after="60" w:line="276" w:lineRule="auto"/>
              <w:jc w:val="center"/>
              <w:rPr>
                <w:rFonts w:ascii="ITC Avant Garde" w:hAnsi="ITC Avant Garde"/>
                <w:b/>
                <w:sz w:val="20"/>
                <w:szCs w:val="20"/>
              </w:rPr>
            </w:pPr>
            <w:r w:rsidRPr="00422CA2">
              <w:rPr>
                <w:rFonts w:ascii="ITC Avant Garde" w:hAnsi="ITC Avant Garde"/>
                <w:b/>
                <w:sz w:val="20"/>
                <w:szCs w:val="20"/>
              </w:rPr>
              <w:t>Telediafonía PSELFEXT Mín (dB)</w:t>
            </w:r>
          </w:p>
        </w:tc>
      </w:tr>
      <w:tr w:rsidR="00422CA2" w:rsidRPr="00422CA2" w14:paraId="786687D6" w14:textId="77777777" w:rsidTr="00CF3A60">
        <w:trPr>
          <w:jc w:val="center"/>
        </w:trPr>
        <w:tc>
          <w:tcPr>
            <w:tcW w:w="1795" w:type="dxa"/>
          </w:tcPr>
          <w:p w14:paraId="1F2DF31E"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0.3</w:t>
            </w:r>
          </w:p>
        </w:tc>
        <w:tc>
          <w:tcPr>
            <w:tcW w:w="1795" w:type="dxa"/>
          </w:tcPr>
          <w:p w14:paraId="40D47866"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1.9</w:t>
            </w:r>
          </w:p>
        </w:tc>
        <w:tc>
          <w:tcPr>
            <w:tcW w:w="1796" w:type="dxa"/>
          </w:tcPr>
          <w:p w14:paraId="321BCB3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2093" w:type="dxa"/>
          </w:tcPr>
          <w:p w14:paraId="6F5058A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r>
      <w:tr w:rsidR="00422CA2" w:rsidRPr="00422CA2" w14:paraId="19A99600" w14:textId="77777777" w:rsidTr="00CF3A60">
        <w:trPr>
          <w:jc w:val="center"/>
        </w:trPr>
        <w:tc>
          <w:tcPr>
            <w:tcW w:w="1795" w:type="dxa"/>
          </w:tcPr>
          <w:p w14:paraId="1076165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1.00</w:t>
            </w:r>
          </w:p>
        </w:tc>
        <w:tc>
          <w:tcPr>
            <w:tcW w:w="1795" w:type="dxa"/>
          </w:tcPr>
          <w:p w14:paraId="1D444D0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3.3</w:t>
            </w:r>
          </w:p>
        </w:tc>
        <w:tc>
          <w:tcPr>
            <w:tcW w:w="1796" w:type="dxa"/>
          </w:tcPr>
          <w:p w14:paraId="604C6A5F"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58.0</w:t>
            </w:r>
          </w:p>
        </w:tc>
        <w:tc>
          <w:tcPr>
            <w:tcW w:w="2093" w:type="dxa"/>
          </w:tcPr>
          <w:p w14:paraId="6E99B45F"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58.0</w:t>
            </w:r>
          </w:p>
        </w:tc>
      </w:tr>
      <w:tr w:rsidR="00422CA2" w:rsidRPr="00422CA2" w14:paraId="73AEC2CC" w14:textId="77777777" w:rsidTr="00CF3A60">
        <w:trPr>
          <w:jc w:val="center"/>
        </w:trPr>
        <w:tc>
          <w:tcPr>
            <w:tcW w:w="1795" w:type="dxa"/>
          </w:tcPr>
          <w:p w14:paraId="19EC50A6"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4.00</w:t>
            </w:r>
          </w:p>
        </w:tc>
        <w:tc>
          <w:tcPr>
            <w:tcW w:w="1795" w:type="dxa"/>
          </w:tcPr>
          <w:p w14:paraId="19DEB132"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0F408A2F"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49.0</w:t>
            </w:r>
          </w:p>
        </w:tc>
        <w:tc>
          <w:tcPr>
            <w:tcW w:w="2093" w:type="dxa"/>
          </w:tcPr>
          <w:p w14:paraId="3A01D756"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46.0</w:t>
            </w:r>
          </w:p>
        </w:tc>
      </w:tr>
      <w:tr w:rsidR="00422CA2" w:rsidRPr="00422CA2" w14:paraId="4555D36C" w14:textId="77777777" w:rsidTr="00CF3A60">
        <w:trPr>
          <w:jc w:val="center"/>
        </w:trPr>
        <w:tc>
          <w:tcPr>
            <w:tcW w:w="1795" w:type="dxa"/>
          </w:tcPr>
          <w:p w14:paraId="1274140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8.00</w:t>
            </w:r>
          </w:p>
        </w:tc>
        <w:tc>
          <w:tcPr>
            <w:tcW w:w="1795" w:type="dxa"/>
          </w:tcPr>
          <w:p w14:paraId="0A313D91"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1E13A22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45.0</w:t>
            </w:r>
          </w:p>
        </w:tc>
        <w:tc>
          <w:tcPr>
            <w:tcW w:w="2093" w:type="dxa"/>
          </w:tcPr>
          <w:p w14:paraId="724111D3"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40.0</w:t>
            </w:r>
          </w:p>
        </w:tc>
      </w:tr>
      <w:tr w:rsidR="00422CA2" w:rsidRPr="00422CA2" w14:paraId="49B3C82C" w14:textId="77777777" w:rsidTr="00CF3A60">
        <w:trPr>
          <w:jc w:val="center"/>
        </w:trPr>
        <w:tc>
          <w:tcPr>
            <w:tcW w:w="1795" w:type="dxa"/>
          </w:tcPr>
          <w:p w14:paraId="089CB52C"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10.00</w:t>
            </w:r>
          </w:p>
        </w:tc>
        <w:tc>
          <w:tcPr>
            <w:tcW w:w="1795" w:type="dxa"/>
          </w:tcPr>
          <w:p w14:paraId="7EDF11C7"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11.0</w:t>
            </w:r>
          </w:p>
        </w:tc>
        <w:tc>
          <w:tcPr>
            <w:tcW w:w="1796" w:type="dxa"/>
          </w:tcPr>
          <w:p w14:paraId="4EB9F35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43.0</w:t>
            </w:r>
          </w:p>
        </w:tc>
        <w:tc>
          <w:tcPr>
            <w:tcW w:w="2093" w:type="dxa"/>
          </w:tcPr>
          <w:p w14:paraId="4EB9D1D5"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38.0</w:t>
            </w:r>
          </w:p>
        </w:tc>
      </w:tr>
      <w:tr w:rsidR="00422CA2" w:rsidRPr="00422CA2" w14:paraId="46B3A66F" w14:textId="77777777" w:rsidTr="00CF3A60">
        <w:trPr>
          <w:jc w:val="center"/>
        </w:trPr>
        <w:tc>
          <w:tcPr>
            <w:tcW w:w="1795" w:type="dxa"/>
          </w:tcPr>
          <w:p w14:paraId="11131A20"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16.00</w:t>
            </w:r>
          </w:p>
        </w:tc>
        <w:tc>
          <w:tcPr>
            <w:tcW w:w="1795" w:type="dxa"/>
          </w:tcPr>
          <w:p w14:paraId="24DE04CF"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746B421A"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40.0</w:t>
            </w:r>
          </w:p>
        </w:tc>
        <w:tc>
          <w:tcPr>
            <w:tcW w:w="2093" w:type="dxa"/>
          </w:tcPr>
          <w:p w14:paraId="51D3D58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34.0</w:t>
            </w:r>
          </w:p>
        </w:tc>
      </w:tr>
      <w:tr w:rsidR="00422CA2" w:rsidRPr="00422CA2" w14:paraId="4ECDD47F" w14:textId="77777777" w:rsidTr="00CF3A60">
        <w:trPr>
          <w:jc w:val="center"/>
        </w:trPr>
        <w:tc>
          <w:tcPr>
            <w:tcW w:w="1795" w:type="dxa"/>
          </w:tcPr>
          <w:p w14:paraId="7504DCF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20.00</w:t>
            </w:r>
          </w:p>
        </w:tc>
        <w:tc>
          <w:tcPr>
            <w:tcW w:w="1795" w:type="dxa"/>
          </w:tcPr>
          <w:p w14:paraId="569DFE7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06381C7C"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39.0</w:t>
            </w:r>
          </w:p>
        </w:tc>
        <w:tc>
          <w:tcPr>
            <w:tcW w:w="2093" w:type="dxa"/>
          </w:tcPr>
          <w:p w14:paraId="31A98130"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32.0</w:t>
            </w:r>
          </w:p>
        </w:tc>
      </w:tr>
      <w:tr w:rsidR="00422CA2" w:rsidRPr="00422CA2" w14:paraId="465D236F" w14:textId="77777777" w:rsidTr="00CF3A60">
        <w:trPr>
          <w:jc w:val="center"/>
        </w:trPr>
        <w:tc>
          <w:tcPr>
            <w:tcW w:w="1795" w:type="dxa"/>
          </w:tcPr>
          <w:p w14:paraId="495DDF9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25.00</w:t>
            </w:r>
          </w:p>
        </w:tc>
        <w:tc>
          <w:tcPr>
            <w:tcW w:w="1795" w:type="dxa"/>
          </w:tcPr>
          <w:p w14:paraId="3158247C"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1D7C8775"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37.0</w:t>
            </w:r>
          </w:p>
        </w:tc>
        <w:tc>
          <w:tcPr>
            <w:tcW w:w="2093" w:type="dxa"/>
          </w:tcPr>
          <w:p w14:paraId="4D65683F"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30.0</w:t>
            </w:r>
          </w:p>
        </w:tc>
      </w:tr>
      <w:tr w:rsidR="00422CA2" w:rsidRPr="00422CA2" w14:paraId="60CA0B48" w14:textId="77777777" w:rsidTr="00CF3A60">
        <w:trPr>
          <w:jc w:val="center"/>
        </w:trPr>
        <w:tc>
          <w:tcPr>
            <w:tcW w:w="1795" w:type="dxa"/>
          </w:tcPr>
          <w:p w14:paraId="7E253E66"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31.25</w:t>
            </w:r>
          </w:p>
        </w:tc>
        <w:tc>
          <w:tcPr>
            <w:tcW w:w="1795" w:type="dxa"/>
          </w:tcPr>
          <w:p w14:paraId="75D7D087"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7367C672"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36.0</w:t>
            </w:r>
          </w:p>
        </w:tc>
        <w:tc>
          <w:tcPr>
            <w:tcW w:w="2093" w:type="dxa"/>
          </w:tcPr>
          <w:p w14:paraId="6F3509E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28.0</w:t>
            </w:r>
          </w:p>
        </w:tc>
      </w:tr>
      <w:tr w:rsidR="00422CA2" w:rsidRPr="00422CA2" w14:paraId="15DCE9EE" w14:textId="77777777" w:rsidTr="00CF3A60">
        <w:trPr>
          <w:jc w:val="center"/>
        </w:trPr>
        <w:tc>
          <w:tcPr>
            <w:tcW w:w="1795" w:type="dxa"/>
          </w:tcPr>
          <w:p w14:paraId="421FA8B1"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63.00</w:t>
            </w:r>
          </w:p>
        </w:tc>
        <w:tc>
          <w:tcPr>
            <w:tcW w:w="1795" w:type="dxa"/>
          </w:tcPr>
          <w:p w14:paraId="5397587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702A39C7"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31.0</w:t>
            </w:r>
          </w:p>
        </w:tc>
        <w:tc>
          <w:tcPr>
            <w:tcW w:w="2093" w:type="dxa"/>
          </w:tcPr>
          <w:p w14:paraId="1EF771FE"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22.0</w:t>
            </w:r>
          </w:p>
        </w:tc>
      </w:tr>
      <w:tr w:rsidR="00422CA2" w:rsidRPr="00422CA2" w14:paraId="6CCE0751" w14:textId="77777777" w:rsidTr="00CF3A60">
        <w:trPr>
          <w:jc w:val="center"/>
        </w:trPr>
        <w:tc>
          <w:tcPr>
            <w:tcW w:w="1795" w:type="dxa"/>
          </w:tcPr>
          <w:p w14:paraId="5706FBF8"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100.00</w:t>
            </w:r>
          </w:p>
        </w:tc>
        <w:tc>
          <w:tcPr>
            <w:tcW w:w="1795" w:type="dxa"/>
          </w:tcPr>
          <w:p w14:paraId="41FD2EE3"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w:t>
            </w:r>
          </w:p>
        </w:tc>
        <w:tc>
          <w:tcPr>
            <w:tcW w:w="1796" w:type="dxa"/>
          </w:tcPr>
          <w:p w14:paraId="28FC937B"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28.0</w:t>
            </w:r>
          </w:p>
        </w:tc>
        <w:tc>
          <w:tcPr>
            <w:tcW w:w="2093" w:type="dxa"/>
          </w:tcPr>
          <w:p w14:paraId="7CB2A76D" w14:textId="77777777" w:rsidR="00580BF9" w:rsidRPr="00422CA2" w:rsidRDefault="00580BF9" w:rsidP="000804CF">
            <w:pPr>
              <w:spacing w:before="60" w:after="60" w:line="276" w:lineRule="auto"/>
              <w:jc w:val="center"/>
              <w:rPr>
                <w:rFonts w:ascii="ITC Avant Garde" w:hAnsi="ITC Avant Garde"/>
                <w:sz w:val="20"/>
                <w:szCs w:val="20"/>
              </w:rPr>
            </w:pPr>
            <w:r w:rsidRPr="00422CA2">
              <w:rPr>
                <w:rFonts w:ascii="ITC Avant Garde" w:hAnsi="ITC Avant Garde"/>
                <w:sz w:val="20"/>
                <w:szCs w:val="20"/>
              </w:rPr>
              <w:t>18.0</w:t>
            </w:r>
          </w:p>
        </w:tc>
      </w:tr>
    </w:tbl>
    <w:p w14:paraId="36FB9F0B" w14:textId="39E86052" w:rsidR="00580BF9" w:rsidRPr="00422CA2" w:rsidRDefault="00CA5536" w:rsidP="000804CF">
      <w:pPr>
        <w:pStyle w:val="Prrafodelista"/>
        <w:spacing w:before="120" w:after="200" w:line="276" w:lineRule="auto"/>
        <w:ind w:left="720"/>
        <w:jc w:val="center"/>
        <w:rPr>
          <w:rFonts w:ascii="ITC Avant Garde" w:hAnsi="ITC Avant Garde" w:cs="Arial"/>
          <w:sz w:val="18"/>
          <w:szCs w:val="18"/>
        </w:rPr>
      </w:pPr>
      <w:r w:rsidRPr="00422CA2">
        <w:rPr>
          <w:rFonts w:ascii="ITC Avant Garde" w:hAnsi="ITC Avant Garde" w:cs="Arial"/>
          <w:sz w:val="18"/>
          <w:szCs w:val="18"/>
        </w:rPr>
        <w:t>Tabla 2</w:t>
      </w:r>
      <w:r w:rsidR="00642D0C" w:rsidRPr="00422CA2">
        <w:rPr>
          <w:rFonts w:ascii="ITC Avant Garde" w:hAnsi="ITC Avant Garde" w:cs="Arial"/>
          <w:sz w:val="18"/>
          <w:szCs w:val="18"/>
        </w:rPr>
        <w:t>3</w:t>
      </w:r>
      <w:r w:rsidRPr="00422CA2">
        <w:rPr>
          <w:rFonts w:ascii="ITC Avant Garde" w:hAnsi="ITC Avant Garde" w:cs="Arial"/>
          <w:sz w:val="18"/>
          <w:szCs w:val="18"/>
        </w:rPr>
        <w:t xml:space="preserve"> </w:t>
      </w:r>
      <w:r w:rsidR="00580BF9" w:rsidRPr="00422CA2">
        <w:rPr>
          <w:rFonts w:ascii="ITC Avant Garde" w:hAnsi="ITC Avant Garde" w:cs="Arial"/>
          <w:sz w:val="18"/>
          <w:szCs w:val="18"/>
        </w:rPr>
        <w:t>Características de transmisión de Cableado Multipar</w:t>
      </w:r>
    </w:p>
    <w:p w14:paraId="27495CE6" w14:textId="77777777" w:rsidR="00580BF9" w:rsidRPr="00422CA2" w:rsidRDefault="00580BF9" w:rsidP="000804CF">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figura siguiente muestra el servicio de cableado Multipar cuando el CS tiene contratada una Coubicación dentro de la Central Telmex.</w:t>
      </w:r>
    </w:p>
    <w:p w14:paraId="2453BA56" w14:textId="77777777" w:rsidR="00580BF9" w:rsidRPr="00422CA2" w:rsidRDefault="00580BF9" w:rsidP="00962F18">
      <w:pPr>
        <w:spacing w:after="200" w:line="276" w:lineRule="auto"/>
        <w:contextualSpacing/>
        <w:jc w:val="center"/>
        <w:rPr>
          <w:rFonts w:ascii="ITC Avant Garde" w:hAnsi="ITC Avant Garde"/>
          <w:sz w:val="22"/>
          <w:szCs w:val="22"/>
          <w:lang w:val="es-MX"/>
        </w:rPr>
      </w:pPr>
      <w:r w:rsidRPr="00422CA2">
        <w:rPr>
          <w:rFonts w:ascii="ITC Avant Garde" w:hAnsi="ITC Avant Garde"/>
          <w:noProof/>
          <w:sz w:val="22"/>
          <w:szCs w:val="22"/>
          <w:lang w:val="es-MX" w:eastAsia="es-MX"/>
        </w:rPr>
        <w:drawing>
          <wp:inline distT="0" distB="0" distL="0" distR="0" wp14:anchorId="3BDA57E4" wp14:editId="426A97F3">
            <wp:extent cx="4384977" cy="2838735"/>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srcRect/>
                    <a:stretch>
                      <a:fillRect/>
                    </a:stretch>
                  </pic:blipFill>
                  <pic:spPr bwMode="auto">
                    <a:xfrm>
                      <a:off x="0" y="0"/>
                      <a:ext cx="4393712" cy="2844390"/>
                    </a:xfrm>
                    <a:prstGeom prst="rect">
                      <a:avLst/>
                    </a:prstGeom>
                    <a:noFill/>
                  </pic:spPr>
                </pic:pic>
              </a:graphicData>
            </a:graphic>
          </wp:inline>
        </w:drawing>
      </w:r>
    </w:p>
    <w:p w14:paraId="3B202AAB" w14:textId="77777777" w:rsidR="00580BF9" w:rsidRPr="00422CA2" w:rsidRDefault="00580BF9" w:rsidP="00962F18">
      <w:pPr>
        <w:spacing w:after="200" w:line="276" w:lineRule="auto"/>
        <w:contextualSpacing/>
        <w:jc w:val="center"/>
        <w:rPr>
          <w:rFonts w:ascii="ITC Avant Garde" w:hAnsi="ITC Avant Garde"/>
          <w:sz w:val="18"/>
          <w:szCs w:val="18"/>
          <w:lang w:val="es-MX"/>
        </w:rPr>
      </w:pPr>
      <w:r w:rsidRPr="00422CA2">
        <w:rPr>
          <w:rFonts w:ascii="ITC Avant Garde" w:hAnsi="ITC Avant Garde"/>
          <w:sz w:val="18"/>
          <w:szCs w:val="18"/>
          <w:lang w:val="es-MX"/>
        </w:rPr>
        <w:t xml:space="preserve">Servicio de Cableado Multipar </w:t>
      </w:r>
    </w:p>
    <w:p w14:paraId="777B6789" w14:textId="77777777" w:rsidR="005D49E8" w:rsidRPr="00422CA2" w:rsidRDefault="005D49E8" w:rsidP="00586B55">
      <w:pPr>
        <w:pStyle w:val="Ttulo1"/>
      </w:pPr>
      <w:bookmarkStart w:id="684" w:name="_Toc393983139"/>
      <w:bookmarkStart w:id="685" w:name="_Toc394933686"/>
      <w:bookmarkStart w:id="686" w:name="_Toc396337608"/>
      <w:bookmarkStart w:id="687" w:name="_Toc435110284"/>
      <w:bookmarkStart w:id="688" w:name="_Toc437602123"/>
      <w:r w:rsidRPr="00422CA2">
        <w:lastRenderedPageBreak/>
        <w:t>8.2</w:t>
      </w:r>
      <w:r w:rsidRPr="00422CA2">
        <w:tab/>
        <w:t xml:space="preserve">Procedimientos de </w:t>
      </w:r>
      <w:bookmarkEnd w:id="684"/>
      <w:bookmarkEnd w:id="685"/>
      <w:bookmarkEnd w:id="686"/>
      <w:r w:rsidRPr="00422CA2">
        <w:t>contratación, modificación y baja del servicio de Cableado Multipar.</w:t>
      </w:r>
      <w:bookmarkEnd w:id="687"/>
      <w:bookmarkEnd w:id="688"/>
    </w:p>
    <w:p w14:paraId="543FD7B2" w14:textId="7CACC5AB" w:rsidR="005D49E8" w:rsidRPr="00422CA2" w:rsidRDefault="005D49E8" w:rsidP="00BC6E66">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Queda establecido que mediante el envío de la solicitud, el CS consiente efectuar el pago por las actividades a realizar así como por los elementos de cobro que conforman el servicio, en el momento que se indique en el procedimiento. Asimismo, si el CS rechaza el servicio o decide no continuar con el procedimiento, deberá liquidar el monto generado por las actividades realizadas hasta el momento que decidió terminar el procedimiento.</w:t>
      </w:r>
      <w:r w:rsidR="00D341D5" w:rsidRPr="00422CA2">
        <w:rPr>
          <w:rFonts w:ascii="ITC Avant Garde" w:hAnsi="ITC Avant Garde"/>
          <w:sz w:val="22"/>
          <w:szCs w:val="22"/>
          <w:lang w:val="es-MX"/>
        </w:rPr>
        <w:t xml:space="preserve"> </w:t>
      </w:r>
    </w:p>
    <w:p w14:paraId="0B17770D" w14:textId="77777777" w:rsidR="005D49E8" w:rsidRPr="00422CA2" w:rsidRDefault="005D49E8"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y entrega para cableado interno y externo.</w:t>
      </w:r>
    </w:p>
    <w:p w14:paraId="1E3EE28D" w14:textId="77777777" w:rsidR="005D49E8" w:rsidRPr="00422CA2" w:rsidRDefault="005D49E8"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contratación y entrega del Servicio de Cableado Multipar; las fases en que se divide este procedimiento son: (i) Entrega y validación de la solicitud para que el CS manifieste su intención de contratar el servicio y la validación por parte de Telmex de que la solicitud cuenta con todos los elementos para la contratación del servicio; (ii) </w:t>
      </w:r>
      <w:r w:rsidRPr="00422CA2">
        <w:rPr>
          <w:rFonts w:ascii="ITC Avant Garde" w:hAnsi="ITC Avant Garde" w:cs="Arial"/>
          <w:sz w:val="22"/>
          <w:szCs w:val="22"/>
        </w:rPr>
        <w:t>Análisis de Factibilidad técnica a fin de que Telmex pueda verificar que cuenta con los elementos para brindar el servicio solicitado; y (iii) Habilitación y aprovisionamiento del servicio solicitado, que detonará los procesos de pruebas de entrega y facturación.</w:t>
      </w:r>
    </w:p>
    <w:p w14:paraId="467676F3" w14:textId="2810B335" w:rsidR="005D49E8" w:rsidRPr="00422CA2" w:rsidRDefault="005D49E8" w:rsidP="00BC6E66">
      <w:pPr>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w:t>
      </w:r>
    </w:p>
    <w:p w14:paraId="49BE1D52" w14:textId="77777777"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se dará seguimiento a la solicitud con un folio hasta que se asigne un NIS, si la solicitud no cumple con la información correspondiente, será devuelta al CS para que sea corregida y reenviada a Telmex a fin de que vuelva a ser validada.</w:t>
      </w:r>
    </w:p>
    <w:p w14:paraId="1D77B2D9" w14:textId="77777777"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Después de ser validada la solicitud se verificará la factibilidad técnica y se responderá al CS en un plazo no mayor a 3 días hábiles conforme a lo siguiente: </w:t>
      </w:r>
    </w:p>
    <w:p w14:paraId="1415036E" w14:textId="77777777" w:rsidR="005D49E8" w:rsidRPr="00422CA2" w:rsidRDefault="005D49E8" w:rsidP="00BC6E66">
      <w:pPr>
        <w:pStyle w:val="Prrafodelista"/>
        <w:numPr>
          <w:ilvl w:val="0"/>
          <w:numId w:val="50"/>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Si existen facilidades, se asignará número de NIS y se enviará la cotización correspondiente.</w:t>
      </w:r>
    </w:p>
    <w:p w14:paraId="05314937" w14:textId="11F3687B" w:rsidR="005D49E8" w:rsidRPr="00422CA2" w:rsidRDefault="005D49E8" w:rsidP="00BC6E66">
      <w:pPr>
        <w:pStyle w:val="Prrafodelista"/>
        <w:numPr>
          <w:ilvl w:val="0"/>
          <w:numId w:val="50"/>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Si no existen facilidades se presentará al CS, a través del SC o del SEG, la justificación de los motivos descritos en el apartado 1.4 relativo a los recursos de red asociados a los servicios, así como las evidencias correspondientes. </w:t>
      </w:r>
      <w:r w:rsidR="00DC1694" w:rsidRPr="00422CA2">
        <w:rPr>
          <w:rFonts w:ascii="ITC Avant Garde" w:hAnsi="ITC Avant Garde" w:cs="Arial"/>
          <w:sz w:val="22"/>
          <w:szCs w:val="22"/>
        </w:rPr>
        <w:t xml:space="preserve">En este caso Telmex tendrá un plazo de 10 días </w:t>
      </w:r>
      <w:r w:rsidR="00DC1694" w:rsidRPr="00422CA2">
        <w:rPr>
          <w:rFonts w:ascii="ITC Avant Garde" w:hAnsi="ITC Avant Garde" w:cs="Arial"/>
          <w:sz w:val="22"/>
          <w:szCs w:val="22"/>
        </w:rPr>
        <w:lastRenderedPageBreak/>
        <w:t>hábiles para proporcionar al CS un anteproyecto para iniciar</w:t>
      </w:r>
      <w:r w:rsidRPr="00422CA2">
        <w:rPr>
          <w:rFonts w:ascii="ITC Avant Garde" w:hAnsi="ITC Avant Garde" w:cs="Arial"/>
          <w:sz w:val="22"/>
          <w:szCs w:val="22"/>
        </w:rPr>
        <w:t xml:space="preserve"> el procedimiento de Trabajos Especiales </w:t>
      </w:r>
      <w:r w:rsidRPr="00422CA2">
        <w:rPr>
          <w:rFonts w:ascii="ITC Avant Garde" w:hAnsi="ITC Avant Garde" w:cs="Arial"/>
          <w:sz w:val="22"/>
          <w:szCs w:val="22"/>
          <w:lang w:val="es-MX"/>
        </w:rPr>
        <w:t xml:space="preserve">contenido en la sección 11 de esta </w:t>
      </w:r>
      <w:r w:rsidR="00CA026A">
        <w:rPr>
          <w:rFonts w:ascii="ITC Avant Garde" w:hAnsi="ITC Avant Garde" w:cs="Arial"/>
          <w:sz w:val="22"/>
          <w:szCs w:val="22"/>
          <w:lang w:val="es-MX"/>
        </w:rPr>
        <w:t>OREDA</w:t>
      </w:r>
      <w:r w:rsidRPr="00422CA2">
        <w:rPr>
          <w:rFonts w:ascii="ITC Avant Garde" w:hAnsi="ITC Avant Garde" w:cs="Arial"/>
          <w:sz w:val="22"/>
          <w:szCs w:val="22"/>
        </w:rPr>
        <w:t>.</w:t>
      </w:r>
    </w:p>
    <w:p w14:paraId="4ED26393" w14:textId="77777777"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El CS contará con 5 días hábiles para realizar la aceptación de la cotización, dentro de este plazo el CS podrá analizar el presupuesto y solicitar aclaraciones a Telmex</w:t>
      </w:r>
      <w:r w:rsidRPr="00422CA2">
        <w:rPr>
          <w:rFonts w:ascii="ITC Avant Garde" w:hAnsi="ITC Avant Garde" w:cs="Arial"/>
          <w:sz w:val="22"/>
          <w:szCs w:val="22"/>
        </w:rPr>
        <w:t>. Si no se acepta la cotización se entenderá que el CS rechazó el servicio.</w:t>
      </w:r>
    </w:p>
    <w:p w14:paraId="7842D8C3" w14:textId="77777777"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rPr>
        <w:t>Una vez recibida la aceptación de la cotización, se habilitará el servicio de conformidad con el tipo de Coubicación del CS</w:t>
      </w:r>
      <w:r w:rsidRPr="00422CA2">
        <w:rPr>
          <w:rFonts w:ascii="ITC Avant Garde" w:hAnsi="ITC Avant Garde" w:cs="Arial"/>
          <w:sz w:val="22"/>
          <w:szCs w:val="22"/>
          <w:lang w:val="es-ES" w:eastAsia="es-MX"/>
        </w:rPr>
        <w:t xml:space="preserve">. Si el Cableado fue solicitado junto con Coubicación se habilitará en el plazo del servicio de Cubicación. </w:t>
      </w:r>
    </w:p>
    <w:p w14:paraId="3782B34A" w14:textId="77777777"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Una vez instalado el servicio se le notificará al CS y se facturarán los gastos de habilitación.</w:t>
      </w:r>
    </w:p>
    <w:p w14:paraId="2C2500DD" w14:textId="4315D01C" w:rsidR="005D49E8" w:rsidRPr="00422CA2" w:rsidRDefault="005D49E8" w:rsidP="00BC6E66">
      <w:pPr>
        <w:pStyle w:val="Prrafodelista"/>
        <w:numPr>
          <w:ilvl w:val="0"/>
          <w:numId w:val="49"/>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rPr>
        <w:t>Al corte del mes se comenzará a facturar la renta correspondiente, contando el CS con la posibilidad de solicitar ajustes o aclaraciones respecto a la cantidad de los servicios incluidos en su factura</w:t>
      </w:r>
      <w:r w:rsidR="000A25F0" w:rsidRPr="00422CA2">
        <w:rPr>
          <w:rFonts w:ascii="ITC Avant Garde" w:hAnsi="ITC Avant Garde" w:cs="Arial"/>
          <w:sz w:val="22"/>
          <w:szCs w:val="22"/>
        </w:rPr>
        <w:t>.</w:t>
      </w:r>
    </w:p>
    <w:p w14:paraId="475418CA" w14:textId="77777777" w:rsidR="005D49E8" w:rsidRPr="00422CA2" w:rsidRDefault="005D49E8"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b/>
          <w:sz w:val="22"/>
          <w:szCs w:val="22"/>
          <w:lang w:val="es-ES" w:eastAsia="es-MX"/>
        </w:rPr>
        <w:t>Procedimiento de contratación y entrega a Ubicación Distante</w:t>
      </w:r>
    </w:p>
    <w:p w14:paraId="0047D2F5" w14:textId="77777777" w:rsidR="005D49E8" w:rsidRPr="00422CA2" w:rsidRDefault="005D49E8"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 el CS deberá enviar el NIS-Referencia del pozo arrendado.</w:t>
      </w:r>
    </w:p>
    <w:p w14:paraId="5E749EC0" w14:textId="77777777" w:rsidR="005D49E8" w:rsidRPr="00422CA2" w:rsidRDefault="005D49E8"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se dará seguimiento a la solicitud con un folio hasta que se asigne un NIS, si la solicitud no cumple con la información correspondiente, será devuelta al CS y se reiniciará el procedimiento.</w:t>
      </w:r>
    </w:p>
    <w:p w14:paraId="3AFB09DD" w14:textId="77777777" w:rsidR="005D49E8" w:rsidRPr="00422CA2" w:rsidRDefault="005D49E8"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rPr>
        <w:t>Si la solicitud cumplió con lo requerido se asignará un NIS en un plazo máximo de 3 días hábiles.</w:t>
      </w:r>
    </w:p>
    <w:p w14:paraId="5C6F81ED" w14:textId="69B31089" w:rsidR="00CC27E6" w:rsidRPr="00422CA2" w:rsidRDefault="00CC27E6"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w:t>
      </w:r>
      <w:r w:rsidR="00DE3AEB" w:rsidRPr="00422CA2">
        <w:rPr>
          <w:rFonts w:ascii="ITC Avant Garde" w:hAnsi="ITC Avant Garde" w:cs="Arial"/>
          <w:sz w:val="22"/>
          <w:szCs w:val="22"/>
        </w:rPr>
        <w:t>CS</w:t>
      </w:r>
      <w:r w:rsidRPr="00422CA2">
        <w:rPr>
          <w:rFonts w:ascii="ITC Avant Garde" w:hAnsi="ITC Avant Garde" w:cs="Arial"/>
          <w:sz w:val="22"/>
          <w:szCs w:val="22"/>
        </w:rPr>
        <w:t xml:space="preserve"> contará con 10 días hábiles para aceptar o rechazar el costo correspondiente a los gastos de habilitación. Si se rechazan, se dará por terminado el procedimiento</w:t>
      </w:r>
      <w:r w:rsidRPr="00422CA2">
        <w:rPr>
          <w:rFonts w:ascii="ITC Avant Garde" w:hAnsi="ITC Avant Garde" w:cs="Calibri"/>
        </w:rPr>
        <w:t>.</w:t>
      </w:r>
    </w:p>
    <w:p w14:paraId="4BB62A8B" w14:textId="31F51139" w:rsidR="005D49E8" w:rsidRPr="00422CA2" w:rsidRDefault="005D49E8"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rPr>
        <w:t xml:space="preserve">Asignado el NIS, el CS notificará </w:t>
      </w:r>
      <w:r w:rsidRPr="00422CA2">
        <w:rPr>
          <w:rFonts w:ascii="ITC Avant Garde" w:hAnsi="ITC Avant Garde" w:cs="Arial"/>
          <w:sz w:val="22"/>
          <w:szCs w:val="22"/>
        </w:rPr>
        <w:t>que ya ha dejado la gaza en el pozo</w:t>
      </w:r>
      <w:r w:rsidRPr="00422CA2">
        <w:rPr>
          <w:rFonts w:ascii="ITC Avant Garde" w:hAnsi="ITC Avant Garde"/>
          <w:sz w:val="22"/>
          <w:szCs w:val="22"/>
        </w:rPr>
        <w:t xml:space="preserve"> </w:t>
      </w:r>
      <w:r w:rsidRPr="00422CA2">
        <w:rPr>
          <w:rFonts w:ascii="ITC Avant Garde" w:hAnsi="ITC Avant Garde" w:cs="Arial"/>
          <w:sz w:val="22"/>
          <w:szCs w:val="22"/>
        </w:rPr>
        <w:t>más cercano (de acuerdo a factibilidad de la ruta) al pozo de acometida de la Central, y en un plazo no mayor a 45 días hábiles</w:t>
      </w:r>
      <w:r w:rsidR="005A7D71" w:rsidRPr="00422CA2">
        <w:rPr>
          <w:rFonts w:ascii="ITC Avant Garde" w:hAnsi="ITC Avant Garde" w:cs="Arial"/>
          <w:sz w:val="22"/>
          <w:szCs w:val="22"/>
        </w:rPr>
        <w:t xml:space="preserve"> desde el envío de la solicitud</w:t>
      </w:r>
      <w:r w:rsidRPr="00422CA2">
        <w:rPr>
          <w:rFonts w:ascii="ITC Avant Garde" w:hAnsi="ITC Avant Garde" w:cs="Arial"/>
          <w:sz w:val="22"/>
          <w:szCs w:val="22"/>
        </w:rPr>
        <w:t xml:space="preserve"> se realizará el tendido de cable hasta la tablilla horizontal del DG.</w:t>
      </w:r>
    </w:p>
    <w:p w14:paraId="268AE65F" w14:textId="77777777" w:rsidR="005D49E8" w:rsidRPr="00422CA2" w:rsidRDefault="005D49E8" w:rsidP="00BC6E66">
      <w:pPr>
        <w:pStyle w:val="Prrafodelista"/>
        <w:numPr>
          <w:ilvl w:val="0"/>
          <w:numId w:val="62"/>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lastRenderedPageBreak/>
        <w:t>Una vez instalado el servicio se le notificará al CS, se facturarán los gastos de habilitación y se comenzará a facturar la renta correspondiente.</w:t>
      </w:r>
    </w:p>
    <w:p w14:paraId="5FEFBAF0" w14:textId="77777777" w:rsidR="005D49E8" w:rsidRPr="00422CA2" w:rsidRDefault="005D49E8"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Ampliación del Cableado Multipar</w:t>
      </w:r>
    </w:p>
    <w:p w14:paraId="0AE37251" w14:textId="346A9605" w:rsidR="005D49E8" w:rsidRPr="00422CA2" w:rsidRDefault="005D49E8" w:rsidP="00BC6E66">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En caso de que el CS requiera ampliaciones</w:t>
      </w:r>
      <w:r w:rsidR="00CC27E6" w:rsidRPr="00422CA2">
        <w:rPr>
          <w:rFonts w:ascii="ITC Avant Garde" w:hAnsi="ITC Avant Garde" w:cs="Arial"/>
          <w:sz w:val="22"/>
          <w:szCs w:val="22"/>
          <w:lang w:val="es-MX"/>
        </w:rPr>
        <w:t xml:space="preserve"> o modificaciones</w:t>
      </w:r>
      <w:r w:rsidRPr="00422CA2">
        <w:rPr>
          <w:rFonts w:ascii="ITC Avant Garde" w:hAnsi="ITC Avant Garde" w:cs="Arial"/>
          <w:sz w:val="22"/>
          <w:szCs w:val="22"/>
          <w:lang w:val="es-MX"/>
        </w:rPr>
        <w:t>, deberá presentar el formato correspondiente. Se considerará como una nueva solicitud y estará sujeta al procedimiento previamente descrito.</w:t>
      </w:r>
    </w:p>
    <w:p w14:paraId="27CEDA11" w14:textId="77777777" w:rsidR="005D49E8" w:rsidRPr="00422CA2" w:rsidRDefault="005D49E8" w:rsidP="00BC6E66">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Baja</w:t>
      </w:r>
    </w:p>
    <w:p w14:paraId="45908C1A" w14:textId="77777777" w:rsidR="005D49E8" w:rsidRPr="00422CA2" w:rsidRDefault="005D49E8" w:rsidP="00BC6E66">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baja de los servicios de Cableado Multipar; las fases en que se divide este procedimiento son: (i) Entrega y validación de la solicitud para que el CS manifieste su intención de dar de baja los servicios, y la validación por parte de Telmex de que la solicitud cuenta con todos los elementos; </w:t>
      </w:r>
      <w:r w:rsidRPr="00422CA2">
        <w:rPr>
          <w:rFonts w:ascii="ITC Avant Garde" w:hAnsi="ITC Avant Garde" w:cs="Arial"/>
          <w:sz w:val="22"/>
          <w:szCs w:val="22"/>
        </w:rPr>
        <w:t>y (ii) Baja del (los) servicio(s) y de la facturación correspondiente.</w:t>
      </w:r>
    </w:p>
    <w:p w14:paraId="35D71766" w14:textId="77777777" w:rsidR="005D49E8" w:rsidRPr="00422CA2" w:rsidRDefault="005D49E8" w:rsidP="00BC6E66">
      <w:pPr>
        <w:pStyle w:val="Prrafodelista"/>
        <w:numPr>
          <w:ilvl w:val="0"/>
          <w:numId w:val="5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17A98371" w14:textId="77777777" w:rsidR="005D49E8" w:rsidRPr="00422CA2" w:rsidRDefault="005D49E8" w:rsidP="00BC6E66">
      <w:pPr>
        <w:pStyle w:val="Prrafodelista"/>
        <w:numPr>
          <w:ilvl w:val="0"/>
          <w:numId w:val="5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Se validará que la solicitud cumpla con la información de los formatos y en un plazo máximo de 1 día hábil se contestará conforme lo siguiente:</w:t>
      </w:r>
    </w:p>
    <w:p w14:paraId="5D24424B" w14:textId="77777777" w:rsidR="005D49E8" w:rsidRPr="00422CA2" w:rsidRDefault="005D49E8" w:rsidP="00BC6E66">
      <w:pPr>
        <w:pStyle w:val="Prrafodelista"/>
        <w:numPr>
          <w:ilvl w:val="1"/>
          <w:numId w:val="5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cumple con lo establecido se dará seguimiento con un Número de Identificación de Solicitud. </w:t>
      </w:r>
    </w:p>
    <w:p w14:paraId="53101295" w14:textId="77777777" w:rsidR="005D49E8" w:rsidRPr="00422CA2" w:rsidRDefault="005D49E8" w:rsidP="00BC6E66">
      <w:pPr>
        <w:pStyle w:val="Prrafodelista"/>
        <w:numPr>
          <w:ilvl w:val="1"/>
          <w:numId w:val="5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información no cumple con lo establecido será devuelta al CS </w:t>
      </w:r>
      <w:r w:rsidRPr="00422CA2">
        <w:rPr>
          <w:rFonts w:ascii="ITC Avant Garde" w:hAnsi="ITC Avant Garde"/>
          <w:sz w:val="22"/>
          <w:szCs w:val="22"/>
          <w:lang w:val="es-ES"/>
        </w:rPr>
        <w:t>para que sea corregida y reenviada a Telmex a fin de que vuelva a ser validada</w:t>
      </w:r>
      <w:r w:rsidRPr="00422CA2">
        <w:rPr>
          <w:rFonts w:ascii="ITC Avant Garde" w:hAnsi="ITC Avant Garde" w:cs="Arial"/>
          <w:sz w:val="22"/>
          <w:szCs w:val="22"/>
          <w:lang w:val="es-MX"/>
        </w:rPr>
        <w:t>.</w:t>
      </w:r>
    </w:p>
    <w:p w14:paraId="2AA5C814" w14:textId="77777777" w:rsidR="005D49E8" w:rsidRPr="00422CA2" w:rsidRDefault="005D49E8" w:rsidP="00BC6E66">
      <w:pPr>
        <w:pStyle w:val="Prrafodelista"/>
        <w:numPr>
          <w:ilvl w:val="0"/>
          <w:numId w:val="5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Una vez asignado el NIS se dará de baja el servicio correspondiente en un plazo máximo de 1 días hábiles. </w:t>
      </w:r>
    </w:p>
    <w:p w14:paraId="34F97AF6" w14:textId="77777777" w:rsidR="005D49E8" w:rsidRPr="00422CA2" w:rsidRDefault="005D49E8" w:rsidP="00BC6E66">
      <w:pPr>
        <w:pStyle w:val="Prrafodelista"/>
        <w:numPr>
          <w:ilvl w:val="0"/>
          <w:numId w:val="51"/>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En un plazo máximo de 2 días hábiles a partir de la solicitud de baja, Telmex dejará de generar nuevos cargos a los CS por el servicio.</w:t>
      </w:r>
    </w:p>
    <w:p w14:paraId="29A2EF0A" w14:textId="77777777" w:rsidR="005D49E8" w:rsidRPr="00422CA2" w:rsidRDefault="005D49E8" w:rsidP="00BC6E66">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Nota: </w:t>
      </w:r>
    </w:p>
    <w:p w14:paraId="6AB92880" w14:textId="77777777" w:rsidR="005D49E8" w:rsidRPr="00422CA2" w:rsidRDefault="005D49E8" w:rsidP="00BC6E66">
      <w:p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El CS deberá tomar en cuenta que no existe el esquema de rentas parciales sino sólo de rentas mensuales, por lo que no será posible realizar cobros parciales de los servicios. </w:t>
      </w:r>
    </w:p>
    <w:p w14:paraId="0DC0E0AD" w14:textId="77777777" w:rsidR="00D341D5" w:rsidRPr="00422CA2" w:rsidRDefault="005D49E8" w:rsidP="004A3C95">
      <w:pPr>
        <w:pStyle w:val="Ttulo1"/>
        <w:numPr>
          <w:ilvl w:val="1"/>
          <w:numId w:val="98"/>
        </w:numPr>
      </w:pPr>
      <w:bookmarkStart w:id="689" w:name="_Toc393983140"/>
      <w:bookmarkStart w:id="690" w:name="_Toc394933688"/>
      <w:bookmarkStart w:id="691" w:name="_Toc396337610"/>
      <w:bookmarkStart w:id="692" w:name="_Toc435110285"/>
      <w:bookmarkStart w:id="693" w:name="_Toc437602124"/>
      <w:r w:rsidRPr="00422CA2">
        <w:lastRenderedPageBreak/>
        <w:t>Plazos de Entrega</w:t>
      </w:r>
      <w:bookmarkEnd w:id="689"/>
      <w:bookmarkEnd w:id="690"/>
      <w:bookmarkEnd w:id="691"/>
      <w:r w:rsidRPr="00422CA2">
        <w:t xml:space="preserve"> de Cableado Multipar</w:t>
      </w:r>
      <w:bookmarkEnd w:id="692"/>
      <w:bookmarkEnd w:id="693"/>
    </w:p>
    <w:p w14:paraId="039E367B" w14:textId="77777777" w:rsidR="000804CF" w:rsidRPr="00422CA2" w:rsidRDefault="00D341D5" w:rsidP="000804CF">
      <w:pPr>
        <w:pStyle w:val="IFTnormal"/>
      </w:pPr>
      <w:r w:rsidRPr="00422CA2">
        <w:t>En esta sección se muestran los plazos de entrega referentes a los procedimien</w:t>
      </w:r>
      <w:r w:rsidR="00231EDA" w:rsidRPr="00422CA2">
        <w:t>t</w:t>
      </w:r>
      <w:r w:rsidRPr="00422CA2">
        <w:t>os de fallas del Servicio de Cableado Multipar. Estos parámetros e indicadores corresponden a los utilizados en la propia operación de Telmex</w:t>
      </w:r>
      <w:r w:rsidR="000804CF" w:rsidRPr="00422CA2">
        <w:t xml:space="preserve">. </w:t>
      </w:r>
    </w:p>
    <w:p w14:paraId="06B9B5EE" w14:textId="679CB3CB" w:rsidR="005D49E8" w:rsidRPr="00422CA2" w:rsidRDefault="005D49E8" w:rsidP="00BC6E6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Validación de la Solicitud</w:t>
      </w:r>
      <w:r w:rsidR="00345D06" w:rsidRPr="00422CA2">
        <w:rPr>
          <w:rFonts w:ascii="ITC Avant Garde" w:hAnsi="ITC Avant Garde"/>
          <w:sz w:val="22"/>
          <w:szCs w:val="22"/>
          <w:lang w:val="es-MX"/>
        </w:rPr>
        <w:t xml:space="preserve"> junto con verificación de factibilidad</w:t>
      </w:r>
      <w:r w:rsidRPr="00422CA2">
        <w:rPr>
          <w:rFonts w:ascii="ITC Avant Garde" w:hAnsi="ITC Avant Garde"/>
          <w:sz w:val="22"/>
          <w:szCs w:val="22"/>
          <w:lang w:val="es-MX"/>
        </w:rPr>
        <w:t xml:space="preserve">: </w:t>
      </w:r>
      <w:r w:rsidR="00345D06" w:rsidRPr="00422CA2">
        <w:rPr>
          <w:rFonts w:ascii="ITC Avant Garde" w:hAnsi="ITC Avant Garde"/>
          <w:sz w:val="22"/>
          <w:szCs w:val="22"/>
          <w:lang w:val="es-MX"/>
        </w:rPr>
        <w:t>máximo 4</w:t>
      </w:r>
      <w:r w:rsidRPr="00422CA2">
        <w:rPr>
          <w:rFonts w:ascii="ITC Avant Garde" w:hAnsi="ITC Avant Garde"/>
          <w:sz w:val="22"/>
          <w:szCs w:val="22"/>
          <w:lang w:val="es-MX"/>
        </w:rPr>
        <w:t xml:space="preserve"> día</w:t>
      </w:r>
      <w:r w:rsidR="00345D06" w:rsidRPr="00422CA2">
        <w:rPr>
          <w:rFonts w:ascii="ITC Avant Garde" w:hAnsi="ITC Avant Garde"/>
          <w:sz w:val="22"/>
          <w:szCs w:val="22"/>
          <w:lang w:val="es-MX"/>
        </w:rPr>
        <w:t>s</w:t>
      </w:r>
      <w:r w:rsidRPr="00422CA2">
        <w:rPr>
          <w:rFonts w:ascii="ITC Avant Garde" w:hAnsi="ITC Avant Garde"/>
          <w:sz w:val="22"/>
          <w:szCs w:val="22"/>
          <w:lang w:val="es-MX"/>
        </w:rPr>
        <w:t xml:space="preserve"> hábil</w:t>
      </w:r>
      <w:r w:rsidR="00345D06" w:rsidRPr="00422CA2">
        <w:rPr>
          <w:rFonts w:ascii="ITC Avant Garde" w:hAnsi="ITC Avant Garde"/>
          <w:sz w:val="22"/>
          <w:szCs w:val="22"/>
          <w:lang w:val="es-MX"/>
        </w:rPr>
        <w:t>es</w:t>
      </w:r>
      <w:r w:rsidRPr="00422CA2">
        <w:rPr>
          <w:rFonts w:ascii="ITC Avant Garde" w:hAnsi="ITC Avant Garde"/>
          <w:sz w:val="22"/>
          <w:szCs w:val="22"/>
          <w:lang w:val="es-MX"/>
        </w:rPr>
        <w:t>.</w:t>
      </w:r>
    </w:p>
    <w:p w14:paraId="179BE7E1" w14:textId="77777777" w:rsidR="005D49E8" w:rsidRPr="00422CA2" w:rsidRDefault="005D49E8" w:rsidP="00BC6E6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del servicio del cableado Multipar en Coubicación interna en un plazo máximo de 15 días hábiles que se contabilizarán a partir de la solicitud.</w:t>
      </w:r>
    </w:p>
    <w:p w14:paraId="531B5D68" w14:textId="77777777" w:rsidR="005D49E8" w:rsidRPr="00422CA2" w:rsidRDefault="005D49E8" w:rsidP="00BC6E6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del servicio de cableado Multipar en Coubicación externa en un plazo máximo de 25 días hábiles que se contabilizarán a partir de la solicitud.</w:t>
      </w:r>
    </w:p>
    <w:p w14:paraId="5BDB413C" w14:textId="77777777" w:rsidR="005D49E8" w:rsidRPr="00422CA2" w:rsidRDefault="005D49E8" w:rsidP="00BC6E6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del servicio de cableado Multipar de Ubicación Distante en un plazo máximo de 45 días hábiles que se contabilizarán a partir de la solicitud.</w:t>
      </w:r>
    </w:p>
    <w:p w14:paraId="05628E91" w14:textId="77777777" w:rsidR="005D49E8" w:rsidRPr="00422CA2" w:rsidRDefault="005D49E8" w:rsidP="00BC6E66">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Si la habilitación del cableado se solicita junto con la Coubicación, se respetan los plazos de la Coubicación.</w:t>
      </w:r>
    </w:p>
    <w:p w14:paraId="00069607" w14:textId="77777777" w:rsidR="005D49E8" w:rsidRPr="00422CA2" w:rsidRDefault="005D49E8" w:rsidP="00586B55">
      <w:pPr>
        <w:pStyle w:val="Ttulo1"/>
      </w:pPr>
      <w:bookmarkStart w:id="694" w:name="_Toc394933687"/>
      <w:bookmarkStart w:id="695" w:name="_Toc396337609"/>
      <w:bookmarkStart w:id="696" w:name="_Toc435110286"/>
      <w:bookmarkStart w:id="697" w:name="_Toc437602125"/>
      <w:r w:rsidRPr="00422CA2">
        <w:t>8.4</w:t>
      </w:r>
      <w:r w:rsidRPr="00422CA2">
        <w:tab/>
        <w:t>Parámetros e indicadores de Calidad</w:t>
      </w:r>
      <w:bookmarkEnd w:id="694"/>
      <w:bookmarkEnd w:id="695"/>
      <w:r w:rsidRPr="00422CA2">
        <w:t xml:space="preserve"> de Cableado Multipar</w:t>
      </w:r>
      <w:bookmarkEnd w:id="696"/>
      <w:bookmarkEnd w:id="697"/>
    </w:p>
    <w:p w14:paraId="4738B7EE" w14:textId="77777777" w:rsidR="005D49E8" w:rsidRPr="00422CA2" w:rsidRDefault="005D49E8" w:rsidP="00BC6E66">
      <w:pPr>
        <w:pStyle w:val="IFTnormal"/>
      </w:pPr>
      <w:r w:rsidRPr="00422CA2">
        <w:t>En esta sección se muestran los parámetros e indicadores de calidad referentes a la provisión, continuidad y atención de fallas del Servicio de Cableado Multipar. Estos parámetros e indicadores corresponden a los utilizados en la propia operación de Telmex, y se medirán con una periodicidad trimestral por cada uno de los CS.</w:t>
      </w:r>
    </w:p>
    <w:p w14:paraId="65F4EF7D" w14:textId="77777777" w:rsidR="005D49E8" w:rsidRPr="00422CA2" w:rsidRDefault="005D49E8" w:rsidP="00BC6E66">
      <w:pPr>
        <w:pStyle w:val="IFTnormal"/>
        <w:rPr>
          <w:b/>
        </w:rPr>
      </w:pPr>
      <w:r w:rsidRPr="00422CA2">
        <w:rPr>
          <w:b/>
        </w:rPr>
        <w:t>Parámetros e Indicadores para Provisión del Servicio</w:t>
      </w:r>
    </w:p>
    <w:p w14:paraId="009479F0" w14:textId="77777777" w:rsidR="005D49E8" w:rsidRPr="00422CA2" w:rsidRDefault="005D49E8" w:rsidP="002B6509">
      <w:pPr>
        <w:pStyle w:val="IFTnormal"/>
      </w:pPr>
      <w:r w:rsidRPr="00422CA2">
        <w:t>En lo referente a la provisión de los servicios (validación de la solicitud, verificación de factibilidad y habilitación), se tienen los siguientes indicadores:</w:t>
      </w:r>
    </w:p>
    <w:p w14:paraId="5B169266" w14:textId="7CE03729" w:rsidR="00461645" w:rsidRPr="00422CA2" w:rsidRDefault="00461645" w:rsidP="000804CF">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Validación de la solicitud junto con validación de la factibilidad: 90% de las solicitudes en máximo de 4 días hábiles. El 10% restante en un máximo de 6 días hábiles.</w:t>
      </w:r>
    </w:p>
    <w:p w14:paraId="0BFB4553" w14:textId="6599774B" w:rsidR="00461645" w:rsidRPr="00422CA2" w:rsidRDefault="00461645" w:rsidP="000804CF">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de Cableado Multipar Interno: 90% en un máximo de 15 días hábiles. El 10% restante en un máximo de 23 días hábiles.</w:t>
      </w:r>
    </w:p>
    <w:p w14:paraId="419F402B" w14:textId="64B023D7" w:rsidR="00461645" w:rsidRPr="00422CA2" w:rsidRDefault="00461645" w:rsidP="000804CF">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Habilitación de Cableado Multipar Externo: 90% en un máximo de 25 días hábiles. El 10% restante en un máximo de 38 días hábiles.</w:t>
      </w:r>
    </w:p>
    <w:p w14:paraId="156D823F" w14:textId="618ECE32" w:rsidR="00461645" w:rsidRPr="00422CA2" w:rsidRDefault="00461645" w:rsidP="000804CF">
      <w:pPr>
        <w:pStyle w:val="Prrafodelista"/>
        <w:numPr>
          <w:ilvl w:val="0"/>
          <w:numId w:val="32"/>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lastRenderedPageBreak/>
        <w:t>Habilitación de Cableado Multipar Ubicación Distante: 90% en un máximo de 45 días hábiles. El 10% restante en un máximo de 68 días hábiles.</w:t>
      </w:r>
    </w:p>
    <w:p w14:paraId="252A6F73" w14:textId="77777777" w:rsidR="005D49E8" w:rsidRPr="00422CA2" w:rsidRDefault="005D49E8" w:rsidP="002B6509">
      <w:pPr>
        <w:pStyle w:val="IFTnormal"/>
        <w:rPr>
          <w:b/>
        </w:rPr>
      </w:pPr>
      <w:r w:rsidRPr="00422CA2">
        <w:rPr>
          <w:b/>
        </w:rPr>
        <w:t>Metodología</w:t>
      </w:r>
    </w:p>
    <w:p w14:paraId="680249F8" w14:textId="77777777" w:rsidR="005D49E8" w:rsidRPr="00422CA2" w:rsidRDefault="005D49E8" w:rsidP="002B6509">
      <w:pPr>
        <w:pStyle w:val="IFTnormal"/>
      </w:pPr>
      <w:r w:rsidRPr="00422CA2">
        <w:t xml:space="preserve">Para realizar la medición de los indicadores presentados, se descontarán los plazos de entrega señalados en la sección 8.3 de este documento de los días totales utilizados para la realización de dicha actividad, considerando como inicio del proceso el día en que se solicitó el servicio por parte del CS. </w:t>
      </w:r>
    </w:p>
    <w:p w14:paraId="3ADC9BF7" w14:textId="77777777" w:rsidR="005D49E8" w:rsidRPr="00422CA2" w:rsidRDefault="005D49E8" w:rsidP="002B6509">
      <w:pPr>
        <w:pStyle w:val="IFTnormal"/>
        <w:rPr>
          <w:b/>
        </w:rPr>
      </w:pPr>
      <w:r w:rsidRPr="00422CA2">
        <w:rPr>
          <w:b/>
        </w:rPr>
        <w:t>Parámetros e Indicadores para Reparación de Fallas</w:t>
      </w:r>
    </w:p>
    <w:p w14:paraId="3C5829A6" w14:textId="77777777" w:rsidR="00461645" w:rsidRPr="00422CA2" w:rsidRDefault="00461645" w:rsidP="002B6509">
      <w:pPr>
        <w:pStyle w:val="IFTnormal"/>
      </w:pPr>
      <w:r w:rsidRPr="00422CA2">
        <w:t>•</w:t>
      </w:r>
      <w:r w:rsidRPr="00422CA2">
        <w:tab/>
        <w:t>85% de reparación en el mismo día hábil.</w:t>
      </w:r>
    </w:p>
    <w:p w14:paraId="1D4293C2" w14:textId="77777777" w:rsidR="00461645" w:rsidRPr="00422CA2" w:rsidRDefault="00461645" w:rsidP="002B6509">
      <w:pPr>
        <w:pStyle w:val="IFTnormal"/>
      </w:pPr>
      <w:r w:rsidRPr="00422CA2">
        <w:t>•</w:t>
      </w:r>
      <w:r w:rsidRPr="00422CA2">
        <w:tab/>
        <w:t>95% de reparaciones en un plazo máximo de tres días hábiles.</w:t>
      </w:r>
    </w:p>
    <w:p w14:paraId="78EA7FCA" w14:textId="1E2B33C6" w:rsidR="005D49E8" w:rsidRPr="00422CA2" w:rsidRDefault="00461645" w:rsidP="002B6509">
      <w:pPr>
        <w:pStyle w:val="IFTnormal"/>
        <w:rPr>
          <w:rFonts w:cs="Arial"/>
        </w:rPr>
      </w:pPr>
      <w:r w:rsidRPr="00422CA2">
        <w:t>•</w:t>
      </w:r>
      <w:r w:rsidRPr="00422CA2">
        <w:tab/>
      </w:r>
      <w:r w:rsidR="005D49E8" w:rsidRPr="00422CA2">
        <w:t>5% restante no excederá 10 días hábiles.</w:t>
      </w:r>
    </w:p>
    <w:p w14:paraId="356A8624" w14:textId="77777777" w:rsidR="005D49E8" w:rsidRPr="00422CA2" w:rsidRDefault="005D49E8" w:rsidP="00586B55">
      <w:pPr>
        <w:pStyle w:val="Ttulo1"/>
      </w:pPr>
      <w:bookmarkStart w:id="698" w:name="_Toc435110287"/>
      <w:bookmarkStart w:id="699" w:name="_Toc437602126"/>
      <w:r w:rsidRPr="00422CA2">
        <w:t>8.5</w:t>
      </w:r>
      <w:r w:rsidRPr="00422CA2">
        <w:tab/>
        <w:t>Procedimiento para la realización de pruebas de entrega para el servicio auxiliar de cableado multipar</w:t>
      </w:r>
      <w:bookmarkEnd w:id="698"/>
      <w:bookmarkEnd w:id="699"/>
    </w:p>
    <w:p w14:paraId="52A8E9D8" w14:textId="77777777" w:rsidR="005D49E8" w:rsidRPr="00422CA2" w:rsidRDefault="005D49E8" w:rsidP="002B6509">
      <w:pPr>
        <w:spacing w:after="200" w:line="276" w:lineRule="auto"/>
        <w:jc w:val="both"/>
        <w:rPr>
          <w:rFonts w:ascii="ITC Avant Garde" w:hAnsi="ITC Avant Garde"/>
          <w:sz w:val="22"/>
          <w:szCs w:val="22"/>
        </w:rPr>
      </w:pPr>
      <w:r w:rsidRPr="00422CA2">
        <w:rPr>
          <w:rFonts w:ascii="ITC Avant Garde" w:hAnsi="ITC Avant Garde"/>
          <w:sz w:val="22"/>
          <w:szCs w:val="22"/>
        </w:rPr>
        <w:t>Para generar las pruebas de habilitación del servicio de cableado multipar, se seguirá el siguiente procedimiento:</w:t>
      </w:r>
    </w:p>
    <w:p w14:paraId="246E1ADF" w14:textId="77777777" w:rsidR="005D49E8" w:rsidRPr="00422CA2" w:rsidRDefault="005D49E8" w:rsidP="002B6509">
      <w:pPr>
        <w:numPr>
          <w:ilvl w:val="0"/>
          <w:numId w:val="87"/>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realizará el cableado desde la tablilla horizontal asignada al CS para la desagregación total o compartida del bucle local en el DG de Telmex, hasta la coubicación para la desagregación del CS, dejando en punto el cable multipar antes mencionado.</w:t>
      </w:r>
    </w:p>
    <w:p w14:paraId="2F099BE1" w14:textId="77777777" w:rsidR="005D49E8" w:rsidRPr="00422CA2" w:rsidRDefault="005D49E8" w:rsidP="002B6509">
      <w:pPr>
        <w:numPr>
          <w:ilvl w:val="0"/>
          <w:numId w:val="87"/>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Las pruebas que realizará Telmex son:</w:t>
      </w:r>
    </w:p>
    <w:p w14:paraId="1EADC96D" w14:textId="77777777" w:rsidR="005D49E8" w:rsidRPr="00422CA2" w:rsidRDefault="005D49E8" w:rsidP="002B6509">
      <w:pPr>
        <w:numPr>
          <w:ilvl w:val="1"/>
          <w:numId w:val="87"/>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Continuidad. Consiste en emplear un generador de tono (zumbador) y lápiz inductor en cada uno de los pares conectados para asegurar su continuidad.</w:t>
      </w:r>
    </w:p>
    <w:p w14:paraId="0C152767" w14:textId="77777777" w:rsidR="005D49E8" w:rsidRPr="00422CA2" w:rsidRDefault="005D49E8" w:rsidP="002B6509">
      <w:pPr>
        <w:numPr>
          <w:ilvl w:val="1"/>
          <w:numId w:val="87"/>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Correspondencia. Consiste en validar que de acuerdo al código de colores exista correspondencia en el orden de los pares conectados en cada posición de su Tablilla.</w:t>
      </w:r>
    </w:p>
    <w:p w14:paraId="229554DD" w14:textId="77777777" w:rsidR="005D49E8" w:rsidRPr="00422CA2" w:rsidRDefault="005D49E8" w:rsidP="002B6509">
      <w:pPr>
        <w:numPr>
          <w:ilvl w:val="0"/>
          <w:numId w:val="87"/>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Se entregará al CS un reporte con los resultados de la prueba del servicio.</w:t>
      </w:r>
    </w:p>
    <w:p w14:paraId="16EBCBE5" w14:textId="77777777" w:rsidR="002D0751" w:rsidRPr="00422CA2" w:rsidRDefault="002D0751"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354D7483" w14:textId="542C7091" w:rsidR="00580BF9" w:rsidRPr="00422CA2" w:rsidRDefault="00580BF9" w:rsidP="000804CF">
      <w:pPr>
        <w:pStyle w:val="Ttulo1"/>
      </w:pPr>
      <w:bookmarkStart w:id="700" w:name="_Toc436840934"/>
      <w:bookmarkStart w:id="701" w:name="_Toc436846371"/>
      <w:bookmarkStart w:id="702" w:name="_Toc436848321"/>
      <w:bookmarkStart w:id="703" w:name="_Toc436856569"/>
      <w:bookmarkStart w:id="704" w:name="_Toc436862715"/>
      <w:bookmarkStart w:id="705" w:name="_Toc436866365"/>
      <w:bookmarkStart w:id="706" w:name="_Toc436870944"/>
      <w:bookmarkStart w:id="707" w:name="_Toc436875936"/>
      <w:bookmarkStart w:id="708" w:name="_Toc437602127"/>
      <w:r w:rsidRPr="00422CA2">
        <w:lastRenderedPageBreak/>
        <w:t>8.</w:t>
      </w:r>
      <w:r w:rsidR="00A266BA" w:rsidRPr="00422CA2">
        <w:t>6</w:t>
      </w:r>
      <w:r w:rsidR="00266B26" w:rsidRPr="00422CA2">
        <w:tab/>
      </w:r>
      <w:r w:rsidRPr="00422CA2">
        <w:t>Guía para Etiquetado de Cable Multipar Instalado dentro de un Edificio Telmex</w:t>
      </w:r>
      <w:bookmarkEnd w:id="700"/>
      <w:bookmarkEnd w:id="701"/>
      <w:bookmarkEnd w:id="702"/>
      <w:bookmarkEnd w:id="703"/>
      <w:bookmarkEnd w:id="704"/>
      <w:bookmarkEnd w:id="705"/>
      <w:bookmarkEnd w:id="706"/>
      <w:bookmarkEnd w:id="707"/>
      <w:bookmarkEnd w:id="708"/>
    </w:p>
    <w:p w14:paraId="3E8935DF" w14:textId="77777777" w:rsidR="000804CF" w:rsidRPr="00422CA2" w:rsidRDefault="00580BF9" w:rsidP="000804CF">
      <w:pPr>
        <w:spacing w:after="200" w:line="276" w:lineRule="auto"/>
        <w:jc w:val="both"/>
        <w:rPr>
          <w:rFonts w:ascii="ITC Avant Garde" w:hAnsi="ITC Avant Garde"/>
          <w:b/>
          <w:sz w:val="22"/>
          <w:szCs w:val="22"/>
        </w:rPr>
      </w:pPr>
      <w:r w:rsidRPr="00422CA2">
        <w:rPr>
          <w:rFonts w:ascii="ITC Avant Garde" w:hAnsi="ITC Avant Garde"/>
          <w:b/>
          <w:sz w:val="22"/>
          <w:szCs w:val="22"/>
        </w:rPr>
        <w:t>Objetivo</w:t>
      </w:r>
    </w:p>
    <w:p w14:paraId="4920D72E" w14:textId="77777777" w:rsidR="000804CF" w:rsidRPr="00422CA2" w:rsidRDefault="00580BF9" w:rsidP="000804CF">
      <w:pPr>
        <w:spacing w:after="200" w:line="276" w:lineRule="auto"/>
        <w:jc w:val="both"/>
        <w:rPr>
          <w:rFonts w:ascii="ITC Avant Garde" w:hAnsi="ITC Avant Garde"/>
          <w:sz w:val="22"/>
          <w:szCs w:val="22"/>
        </w:rPr>
      </w:pPr>
      <w:r w:rsidRPr="00422CA2">
        <w:rPr>
          <w:rFonts w:ascii="ITC Avant Garde" w:hAnsi="ITC Avant Garde"/>
          <w:sz w:val="22"/>
          <w:szCs w:val="22"/>
        </w:rPr>
        <w:t>En esta sección se establece el método de etiquetado de cable multipar que se instala como parte de la red de Telecomunicaciones de Telmex, mediante el uso de la nomenclatura de acuerdo a lo establecido en el sistema de codificación de Lenguaje Común y las normas de ubicación física de Telmex, para mantener de forma homologada la manera de identificar a cada uno de los cableados.</w:t>
      </w:r>
    </w:p>
    <w:p w14:paraId="706D9A42" w14:textId="77777777" w:rsidR="000804CF" w:rsidRPr="00422CA2" w:rsidRDefault="00580BF9" w:rsidP="000804CF">
      <w:pPr>
        <w:spacing w:after="200" w:line="276" w:lineRule="auto"/>
        <w:jc w:val="both"/>
        <w:rPr>
          <w:rFonts w:ascii="ITC Avant Garde" w:hAnsi="ITC Avant Garde"/>
          <w:b/>
          <w:sz w:val="22"/>
          <w:szCs w:val="22"/>
        </w:rPr>
      </w:pPr>
      <w:r w:rsidRPr="00422CA2">
        <w:rPr>
          <w:rFonts w:ascii="ITC Avant Garde" w:hAnsi="ITC Avant Garde"/>
          <w:b/>
          <w:sz w:val="22"/>
          <w:szCs w:val="22"/>
        </w:rPr>
        <w:t>Codificación de cableado multipar</w:t>
      </w:r>
    </w:p>
    <w:p w14:paraId="2425E13E" w14:textId="43540F49" w:rsidR="00580BF9" w:rsidRPr="00422CA2" w:rsidRDefault="00580BF9" w:rsidP="000804CF">
      <w:pPr>
        <w:spacing w:after="200" w:line="276" w:lineRule="auto"/>
        <w:jc w:val="both"/>
        <w:rPr>
          <w:rFonts w:ascii="ITC Avant Garde" w:hAnsi="ITC Avant Garde"/>
          <w:sz w:val="22"/>
          <w:szCs w:val="22"/>
        </w:rPr>
      </w:pPr>
      <w:r w:rsidRPr="00422CA2">
        <w:rPr>
          <w:rFonts w:ascii="ITC Avant Garde" w:hAnsi="ITC Avant Garde"/>
          <w:sz w:val="22"/>
          <w:szCs w:val="22"/>
        </w:rPr>
        <w:t xml:space="preserve">Las etiquetas deben de contener </w:t>
      </w:r>
      <w:r w:rsidR="00F26B64" w:rsidRPr="00422CA2">
        <w:rPr>
          <w:rFonts w:ascii="ITC Avant Garde" w:hAnsi="ITC Avant Garde"/>
          <w:sz w:val="22"/>
          <w:szCs w:val="22"/>
        </w:rPr>
        <w:t>sólo</w:t>
      </w:r>
      <w:r w:rsidRPr="00422CA2">
        <w:rPr>
          <w:rFonts w:ascii="ITC Avant Garde" w:hAnsi="ITC Avant Garde"/>
          <w:sz w:val="22"/>
          <w:szCs w:val="22"/>
        </w:rPr>
        <w:t xml:space="preserve"> la información que se solicita y no debe utilizarse para agregar datos que no estén contenidos en el presente documento. La información contenida en las etiquetas debe capturarse con los elementos mínimos completos, con mayúsculas, y de acuerdo a la descripción de los elementos que la componen. El cable multipar que se debe identificar y etiquetar corresponde al que se encuentra rematado en la tablilla horizontal para desagregación y va hacia la coubicación asignada al CS.</w:t>
      </w:r>
      <w:r w:rsidR="000804CF" w:rsidRPr="00422CA2">
        <w:rPr>
          <w:rFonts w:ascii="ITC Avant Garde" w:hAnsi="ITC Avant Garde"/>
          <w:sz w:val="22"/>
          <w:szCs w:val="22"/>
        </w:rPr>
        <w:t xml:space="preserve"> </w:t>
      </w:r>
      <w:r w:rsidRPr="00422CA2">
        <w:rPr>
          <w:rFonts w:ascii="ITC Avant Garde" w:hAnsi="ITC Avant Garde"/>
          <w:sz w:val="22"/>
          <w:szCs w:val="22"/>
        </w:rPr>
        <w:t xml:space="preserve">Cada una de las etiquetas que se utilizan para identificar a los cables multipar está dividida en forma vertical por la mitad. A la mitad izquierda se le denomina lado A y a la mitad de la derecha se le denomina lado B. </w:t>
      </w:r>
    </w:p>
    <w:p w14:paraId="70E8BA85" w14:textId="77777777" w:rsidR="00580BF9" w:rsidRPr="00422CA2" w:rsidRDefault="00580BF9" w:rsidP="000804CF">
      <w:pPr>
        <w:spacing w:after="200" w:line="276" w:lineRule="auto"/>
        <w:jc w:val="both"/>
        <w:rPr>
          <w:rFonts w:ascii="ITC Avant Garde" w:hAnsi="ITC Avant Garde"/>
          <w:sz w:val="22"/>
          <w:szCs w:val="22"/>
        </w:rPr>
      </w:pPr>
      <w:r w:rsidRPr="00422CA2">
        <w:rPr>
          <w:rFonts w:ascii="ITC Avant Garde" w:hAnsi="ITC Avant Garde"/>
          <w:sz w:val="22"/>
          <w:szCs w:val="22"/>
        </w:rPr>
        <w:t>En cada una de las etiquetas están contenidos los cuatro campos, distribuidos en los lados A y B. Esto se muestra en la siguiente figura:</w:t>
      </w:r>
    </w:p>
    <w:p w14:paraId="136F4E6B" w14:textId="77777777" w:rsidR="00580BF9" w:rsidRPr="00422CA2" w:rsidRDefault="00580BF9" w:rsidP="000804CF">
      <w:pPr>
        <w:spacing w:after="200" w:line="276" w:lineRule="auto"/>
        <w:jc w:val="center"/>
        <w:rPr>
          <w:rFonts w:ascii="ITC Avant Garde" w:hAnsi="ITC Avant Garde"/>
          <w:sz w:val="22"/>
        </w:rPr>
      </w:pPr>
      <w:r w:rsidRPr="00422CA2">
        <w:rPr>
          <w:rFonts w:ascii="ITC Avant Garde" w:hAnsi="ITC Avant Garde"/>
          <w:noProof/>
          <w:sz w:val="22"/>
          <w:lang w:val="es-MX" w:eastAsia="es-MX"/>
        </w:rPr>
        <w:drawing>
          <wp:inline distT="0" distB="0" distL="0" distR="0" wp14:anchorId="0E54221E" wp14:editId="4CAD8E66">
            <wp:extent cx="4704080" cy="683895"/>
            <wp:effectExtent l="0" t="0" r="1270" b="190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04080" cy="683895"/>
                    </a:xfrm>
                    <a:prstGeom prst="rect">
                      <a:avLst/>
                    </a:prstGeom>
                    <a:noFill/>
                    <a:ln>
                      <a:noFill/>
                    </a:ln>
                  </pic:spPr>
                </pic:pic>
              </a:graphicData>
            </a:graphic>
          </wp:inline>
        </w:drawing>
      </w:r>
    </w:p>
    <w:p w14:paraId="3020278E" w14:textId="77777777" w:rsidR="00580BF9" w:rsidRPr="00422CA2" w:rsidRDefault="00580BF9" w:rsidP="000804CF">
      <w:pPr>
        <w:spacing w:after="200" w:line="276" w:lineRule="auto"/>
        <w:jc w:val="center"/>
        <w:rPr>
          <w:rFonts w:ascii="ITC Avant Garde" w:hAnsi="ITC Avant Garde"/>
          <w:sz w:val="18"/>
          <w:szCs w:val="18"/>
        </w:rPr>
      </w:pPr>
      <w:r w:rsidRPr="00422CA2">
        <w:rPr>
          <w:rFonts w:ascii="ITC Avant Garde" w:hAnsi="ITC Avant Garde"/>
          <w:sz w:val="18"/>
          <w:szCs w:val="18"/>
        </w:rPr>
        <w:t>Figura 1.- Campos empleados en la etiqueta para cables multipar.</w:t>
      </w:r>
    </w:p>
    <w:p w14:paraId="75532DC8" w14:textId="6AA126A2" w:rsidR="00580BF9" w:rsidRDefault="00580BF9" w:rsidP="000804CF">
      <w:pPr>
        <w:spacing w:after="200" w:line="276" w:lineRule="auto"/>
        <w:jc w:val="both"/>
        <w:rPr>
          <w:rFonts w:ascii="ITC Avant Garde" w:hAnsi="ITC Avant Garde"/>
          <w:sz w:val="22"/>
        </w:rPr>
      </w:pPr>
      <w:r w:rsidRPr="00422CA2">
        <w:rPr>
          <w:rFonts w:ascii="ITC Avant Garde" w:hAnsi="ITC Avant Garde"/>
          <w:sz w:val="22"/>
        </w:rPr>
        <w:t>Los campos deben contar con un margen de un milímetro con respecto a la etiqueta y los que están en el lado A deben tener alineación izquierda y los del lado B deben tener alineación derecha.</w:t>
      </w:r>
      <w:r w:rsidR="000804CF" w:rsidRPr="00422CA2">
        <w:rPr>
          <w:rFonts w:ascii="ITC Avant Garde" w:hAnsi="ITC Avant Garde"/>
          <w:sz w:val="22"/>
        </w:rPr>
        <w:t xml:space="preserve"> </w:t>
      </w:r>
      <w:r w:rsidRPr="00422CA2">
        <w:rPr>
          <w:rFonts w:ascii="ITC Avant Garde" w:hAnsi="ITC Avant Garde"/>
          <w:sz w:val="22"/>
        </w:rPr>
        <w:t>Los cables multipar deben ser etiquetados con todos los campos correspondientes. A continuación se describen cada uno de los campos:</w:t>
      </w:r>
    </w:p>
    <w:p w14:paraId="01E79C34" w14:textId="77777777" w:rsidR="00C82861" w:rsidRDefault="00C82861" w:rsidP="000804CF">
      <w:pPr>
        <w:spacing w:after="200" w:line="276" w:lineRule="auto"/>
        <w:jc w:val="both"/>
        <w:rPr>
          <w:rFonts w:ascii="ITC Avant Garde" w:hAnsi="ITC Avant Garde"/>
          <w:sz w:val="22"/>
        </w:rPr>
      </w:pPr>
    </w:p>
    <w:p w14:paraId="7772E29E" w14:textId="77777777" w:rsidR="00C82861" w:rsidRDefault="00C82861" w:rsidP="000804CF">
      <w:pPr>
        <w:spacing w:after="200" w:line="276" w:lineRule="auto"/>
        <w:jc w:val="both"/>
        <w:rPr>
          <w:rFonts w:ascii="ITC Avant Garde" w:hAnsi="ITC Avant Garde"/>
          <w:sz w:val="22"/>
        </w:rPr>
      </w:pPr>
    </w:p>
    <w:p w14:paraId="720A8EB8" w14:textId="77777777" w:rsidR="00580BF9" w:rsidRPr="00422CA2" w:rsidRDefault="00580BF9" w:rsidP="000804CF">
      <w:pPr>
        <w:spacing w:after="200" w:line="276" w:lineRule="auto"/>
        <w:rPr>
          <w:rFonts w:ascii="ITC Avant Garde" w:hAnsi="ITC Avant Garde"/>
          <w:b/>
          <w:sz w:val="22"/>
        </w:rPr>
      </w:pPr>
      <w:r w:rsidRPr="00422CA2">
        <w:rPr>
          <w:rFonts w:ascii="ITC Avant Garde" w:hAnsi="ITC Avant Garde"/>
          <w:b/>
          <w:sz w:val="22"/>
        </w:rPr>
        <w:lastRenderedPageBreak/>
        <w:t>CABLE</w:t>
      </w:r>
    </w:p>
    <w:p w14:paraId="1A122ED1" w14:textId="77777777" w:rsidR="00580BF9" w:rsidRPr="00422CA2" w:rsidRDefault="00580BF9" w:rsidP="000804CF">
      <w:pPr>
        <w:spacing w:after="200" w:line="276" w:lineRule="auto"/>
        <w:rPr>
          <w:rFonts w:ascii="ITC Avant Garde" w:hAnsi="ITC Avant Garde"/>
          <w:sz w:val="22"/>
        </w:rPr>
      </w:pPr>
      <w:r w:rsidRPr="00422CA2">
        <w:rPr>
          <w:rFonts w:ascii="ITC Avant Garde" w:hAnsi="ITC Avant Garde"/>
          <w:sz w:val="22"/>
        </w:rPr>
        <w:t xml:space="preserve">Es el código de la facilidad de cable asignado en la red y se indica el tipo de cable, el número consecutivo que lo identifica en el edificio, así como los puntos que delimitan al cable. </w:t>
      </w:r>
    </w:p>
    <w:p w14:paraId="469AD913" w14:textId="77777777" w:rsidR="00580BF9" w:rsidRPr="00422CA2" w:rsidRDefault="00580BF9" w:rsidP="000804CF">
      <w:pPr>
        <w:spacing w:after="200" w:line="276" w:lineRule="auto"/>
        <w:jc w:val="center"/>
        <w:rPr>
          <w:rFonts w:ascii="ITC Avant Garde" w:hAnsi="ITC Avant Garde"/>
          <w:sz w:val="22"/>
        </w:rPr>
      </w:pPr>
      <w:r w:rsidRPr="00422CA2">
        <w:rPr>
          <w:rFonts w:ascii="ITC Avant Garde" w:hAnsi="ITC Avant Garde"/>
          <w:noProof/>
          <w:sz w:val="22"/>
          <w:lang w:val="es-MX" w:eastAsia="es-MX"/>
        </w:rPr>
        <w:drawing>
          <wp:inline distT="0" distB="0" distL="0" distR="0" wp14:anchorId="393CAD0E" wp14:editId="67C7CF4B">
            <wp:extent cx="4114800" cy="44534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14598" cy="445325"/>
                    </a:xfrm>
                    <a:prstGeom prst="rect">
                      <a:avLst/>
                    </a:prstGeom>
                    <a:noFill/>
                    <a:ln>
                      <a:noFill/>
                    </a:ln>
                  </pic:spPr>
                </pic:pic>
              </a:graphicData>
            </a:graphic>
          </wp:inline>
        </w:drawing>
      </w:r>
    </w:p>
    <w:p w14:paraId="3D867CE1" w14:textId="77777777" w:rsidR="00580BF9" w:rsidRPr="00422CA2" w:rsidRDefault="00580BF9" w:rsidP="000804CF">
      <w:pPr>
        <w:spacing w:after="200" w:line="276" w:lineRule="auto"/>
        <w:jc w:val="center"/>
        <w:rPr>
          <w:rFonts w:ascii="ITC Avant Garde" w:hAnsi="ITC Avant Garde"/>
          <w:sz w:val="18"/>
          <w:szCs w:val="18"/>
        </w:rPr>
      </w:pPr>
      <w:r w:rsidRPr="00422CA2">
        <w:rPr>
          <w:rFonts w:ascii="ITC Avant Garde" w:hAnsi="ITC Avant Garde"/>
          <w:sz w:val="18"/>
          <w:szCs w:val="18"/>
        </w:rPr>
        <w:t>Figura 2.- Formato de identificación para cable multipar.</w:t>
      </w:r>
    </w:p>
    <w:p w14:paraId="7D8C6CE7" w14:textId="77777777" w:rsidR="00580BF9" w:rsidRPr="00422CA2" w:rsidRDefault="00580BF9" w:rsidP="000804CF">
      <w:pPr>
        <w:pStyle w:val="Prrafodelista"/>
        <w:numPr>
          <w:ilvl w:val="0"/>
          <w:numId w:val="179"/>
        </w:numPr>
        <w:spacing w:after="200" w:line="276" w:lineRule="auto"/>
        <w:rPr>
          <w:rFonts w:ascii="ITC Avant Garde" w:hAnsi="ITC Avant Garde"/>
          <w:sz w:val="22"/>
        </w:rPr>
      </w:pPr>
      <w:r w:rsidRPr="00422CA2">
        <w:rPr>
          <w:rFonts w:ascii="ITC Avant Garde" w:hAnsi="ITC Avant Garde"/>
          <w:sz w:val="22"/>
        </w:rPr>
        <w:t>Los campos que se utilicen siempre deben de ir separados por una diagonal “/”.</w:t>
      </w:r>
    </w:p>
    <w:p w14:paraId="0F3AE4EA" w14:textId="77777777" w:rsidR="00580BF9" w:rsidRPr="00422CA2" w:rsidRDefault="00580BF9" w:rsidP="000804CF">
      <w:pPr>
        <w:pStyle w:val="Prrafodelista"/>
        <w:numPr>
          <w:ilvl w:val="0"/>
          <w:numId w:val="179"/>
        </w:numPr>
        <w:spacing w:after="200" w:line="276" w:lineRule="auto"/>
        <w:rPr>
          <w:rFonts w:ascii="ITC Avant Garde" w:hAnsi="ITC Avant Garde"/>
          <w:sz w:val="22"/>
        </w:rPr>
      </w:pPr>
      <w:r w:rsidRPr="00422CA2">
        <w:rPr>
          <w:rFonts w:ascii="ITC Avant Garde" w:hAnsi="ITC Avant Garde"/>
          <w:sz w:val="22"/>
        </w:rPr>
        <w:t>En caso de no utilizarse algún campo o carácter de un campo, no se deben dejar espacios en blanco y los datos que se utilicen deben justificarse a la izquierda.</w:t>
      </w:r>
    </w:p>
    <w:p w14:paraId="616C9662" w14:textId="77777777" w:rsidR="00580BF9" w:rsidRPr="00422CA2" w:rsidRDefault="00580BF9" w:rsidP="000804CF">
      <w:pPr>
        <w:pStyle w:val="Prrafodelista"/>
        <w:numPr>
          <w:ilvl w:val="0"/>
          <w:numId w:val="179"/>
        </w:numPr>
        <w:spacing w:after="200" w:line="276" w:lineRule="auto"/>
        <w:rPr>
          <w:rFonts w:ascii="ITC Avant Garde" w:hAnsi="ITC Avant Garde"/>
          <w:sz w:val="22"/>
        </w:rPr>
      </w:pPr>
      <w:r w:rsidRPr="00422CA2">
        <w:rPr>
          <w:rFonts w:ascii="ITC Avant Garde" w:hAnsi="ITC Avant Garde"/>
          <w:sz w:val="22"/>
        </w:rPr>
        <w:t>En los campos nunca se debe iniciar con el carácter cero “0”.</w:t>
      </w:r>
    </w:p>
    <w:p w14:paraId="7D79A807" w14:textId="05B7D8FC" w:rsidR="00580BF9" w:rsidRPr="00422CA2" w:rsidRDefault="00580BF9" w:rsidP="000804CF">
      <w:pPr>
        <w:spacing w:after="200" w:line="276" w:lineRule="auto"/>
        <w:jc w:val="both"/>
        <w:rPr>
          <w:rFonts w:ascii="ITC Avant Garde" w:hAnsi="ITC Avant Garde"/>
          <w:sz w:val="22"/>
        </w:rPr>
      </w:pPr>
      <w:r w:rsidRPr="00422CA2">
        <w:rPr>
          <w:rFonts w:ascii="ITC Avant Garde" w:hAnsi="ITC Avant Garde"/>
          <w:sz w:val="22"/>
        </w:rPr>
        <w:t>Este elemento DES FAC es de longitud variable con un máximo de 5 caracteres alfanuméricos que describen el cable, en este caso el primer carácter será “C” cobre, los siguientes caracteres del 2 al 5 son numéricos y se utiliza para identificar el consecutivo que identifica al cable que proporciona la facilidad. Se debe asignar valores numéricos consecutivos en forma ascendente iniciando con el número 1.Para los puntos que delimitan el cable TERM A y TERM Z se refieren al código de longitud variable que identifica al edificio Telmex que delimitan a un cable y la coubicación del CS.</w:t>
      </w:r>
      <w:r w:rsidR="000804CF" w:rsidRPr="00422CA2">
        <w:rPr>
          <w:rFonts w:ascii="ITC Avant Garde" w:hAnsi="ITC Avant Garde"/>
          <w:sz w:val="22"/>
        </w:rPr>
        <w:t xml:space="preserve"> </w:t>
      </w:r>
      <w:r w:rsidRPr="00422CA2">
        <w:rPr>
          <w:rFonts w:ascii="ITC Avant Garde" w:hAnsi="ITC Avant Garde"/>
          <w:sz w:val="22"/>
        </w:rPr>
        <w:t>Para edificios de TELMEX se utiliza el código CLLI en formato de edificio (8 caracteres) y para un cliente ese utiliza el código CLLI en formato de cliente (11 caracteres).</w:t>
      </w:r>
    </w:p>
    <w:p w14:paraId="3F3009BB" w14:textId="77777777" w:rsidR="00580BF9" w:rsidRPr="00422CA2" w:rsidRDefault="00580BF9" w:rsidP="000804CF">
      <w:pPr>
        <w:pStyle w:val="IFTnormal"/>
      </w:pPr>
      <w:r w:rsidRPr="00422CA2">
        <w:t>En el elemento TERM A siempre se debe colocar el código CLLI alfanuméricamente primero y en TERM Z es el código de facilidad de la coubicación de un CS.</w:t>
      </w:r>
    </w:p>
    <w:p w14:paraId="54F80BE9" w14:textId="2BA69DA9" w:rsidR="00580BF9" w:rsidRPr="00422CA2" w:rsidRDefault="00580BF9" w:rsidP="000804CF">
      <w:pPr>
        <w:spacing w:after="200" w:line="276" w:lineRule="auto"/>
        <w:rPr>
          <w:rFonts w:ascii="ITC Avant Garde" w:hAnsi="ITC Avant Garde"/>
          <w:b/>
          <w:sz w:val="22"/>
        </w:rPr>
      </w:pPr>
      <w:r w:rsidRPr="00422CA2">
        <w:rPr>
          <w:rFonts w:ascii="ITC Avant Garde" w:hAnsi="ITC Avant Garde"/>
          <w:b/>
          <w:sz w:val="22"/>
        </w:rPr>
        <w:t>INTERCONEXIÓN</w:t>
      </w:r>
    </w:p>
    <w:p w14:paraId="4CB6DAA8" w14:textId="77107746" w:rsidR="00307055" w:rsidRPr="00422CA2" w:rsidRDefault="00580BF9" w:rsidP="000804CF">
      <w:pPr>
        <w:pStyle w:val="IFTnormal"/>
      </w:pPr>
      <w:r w:rsidRPr="00422CA2">
        <w:t>Indica el nombre genérico de la interconexión que se realiza con el cable multipar, en el caso de desagregación será DG – (Nombre del CS).</w:t>
      </w:r>
    </w:p>
    <w:p w14:paraId="32350295" w14:textId="77777777" w:rsidR="00580BF9" w:rsidRPr="00422CA2" w:rsidRDefault="00580BF9" w:rsidP="000804CF">
      <w:pPr>
        <w:spacing w:after="200" w:line="276" w:lineRule="auto"/>
        <w:rPr>
          <w:rFonts w:ascii="ITC Avant Garde" w:hAnsi="ITC Avant Garde"/>
          <w:b/>
          <w:sz w:val="22"/>
        </w:rPr>
      </w:pPr>
      <w:r w:rsidRPr="00422CA2">
        <w:rPr>
          <w:rFonts w:ascii="ITC Avant Garde" w:hAnsi="ITC Avant Garde"/>
          <w:b/>
          <w:sz w:val="22"/>
        </w:rPr>
        <w:t>POSICIÓN CA</w:t>
      </w:r>
    </w:p>
    <w:p w14:paraId="70E97F9F" w14:textId="77777777" w:rsidR="000804CF" w:rsidRPr="00422CA2" w:rsidRDefault="00580BF9" w:rsidP="000804CF">
      <w:pPr>
        <w:pStyle w:val="IFTnormal"/>
      </w:pPr>
      <w:r w:rsidRPr="00422CA2">
        <w:t>Es el código de ubicación de la tablilla horizontal para desagregación que indica la posición en donde se encuentra rematado el cable que se está etiquetando.</w:t>
      </w:r>
    </w:p>
    <w:p w14:paraId="16D80444" w14:textId="48D1F012" w:rsidR="00580BF9" w:rsidRPr="00422CA2" w:rsidRDefault="00580BF9" w:rsidP="000804CF">
      <w:pPr>
        <w:spacing w:after="200" w:line="276" w:lineRule="auto"/>
        <w:rPr>
          <w:rFonts w:ascii="ITC Avant Garde" w:hAnsi="ITC Avant Garde"/>
          <w:b/>
          <w:sz w:val="22"/>
        </w:rPr>
      </w:pPr>
      <w:r w:rsidRPr="00422CA2">
        <w:rPr>
          <w:rFonts w:ascii="ITC Avant Garde" w:hAnsi="ITC Avant Garde"/>
          <w:b/>
          <w:sz w:val="22"/>
        </w:rPr>
        <w:lastRenderedPageBreak/>
        <w:t>POSICIÓN EXCA</w:t>
      </w:r>
    </w:p>
    <w:p w14:paraId="38F3BF60" w14:textId="77777777" w:rsidR="000804CF" w:rsidRPr="00422CA2" w:rsidRDefault="00580BF9" w:rsidP="000804CF">
      <w:pPr>
        <w:pStyle w:val="IFTnormal"/>
      </w:pPr>
      <w:r w:rsidRPr="00422CA2">
        <w:t>Es el código de ubicación donde se encuentra la coubicación arrendada por el CS.</w:t>
      </w:r>
    </w:p>
    <w:p w14:paraId="653F9E77" w14:textId="7A01A1BC" w:rsidR="00580BF9" w:rsidRPr="00422CA2" w:rsidRDefault="00580BF9" w:rsidP="000804CF">
      <w:pPr>
        <w:spacing w:after="200" w:line="276" w:lineRule="auto"/>
        <w:rPr>
          <w:rFonts w:ascii="ITC Avant Garde" w:hAnsi="ITC Avant Garde"/>
          <w:b/>
          <w:sz w:val="22"/>
        </w:rPr>
      </w:pPr>
      <w:r w:rsidRPr="00422CA2">
        <w:rPr>
          <w:rFonts w:ascii="ITC Avant Garde" w:hAnsi="ITC Avant Garde"/>
          <w:b/>
          <w:sz w:val="22"/>
        </w:rPr>
        <w:t>Etiquetado.</w:t>
      </w:r>
    </w:p>
    <w:p w14:paraId="54AF2FAB" w14:textId="77777777" w:rsidR="00580BF9" w:rsidRPr="00422CA2" w:rsidRDefault="00580BF9" w:rsidP="000804CF">
      <w:pPr>
        <w:pStyle w:val="IFTnormal"/>
      </w:pPr>
      <w:r w:rsidRPr="00422CA2">
        <w:t xml:space="preserve">Las dimensiones de la etiqueta son de </w:t>
      </w:r>
      <w:smartTag w:uri="urn:schemas-microsoft-com:office:smarttags" w:element="metricconverter">
        <w:smartTagPr>
          <w:attr w:name="ProductID" w:val="12.7 mm"/>
        </w:smartTagPr>
        <w:r w:rsidRPr="00422CA2">
          <w:t>12.7 mm</w:t>
        </w:r>
      </w:smartTag>
      <w:r w:rsidRPr="00422CA2">
        <w:t xml:space="preserve"> de ancho y </w:t>
      </w:r>
      <w:smartTag w:uri="urn:schemas-microsoft-com:office:smarttags" w:element="metricconverter">
        <w:smartTagPr>
          <w:attr w:name="ProductID" w:val="130 mm"/>
        </w:smartTagPr>
        <w:r w:rsidRPr="00422CA2">
          <w:t>130 mm</w:t>
        </w:r>
      </w:smartTag>
      <w:r w:rsidRPr="00422CA2">
        <w:t xml:space="preserve"> de largo, como se muestra en la siguiente Figura:</w:t>
      </w:r>
    </w:p>
    <w:p w14:paraId="5FC4974C" w14:textId="77777777" w:rsidR="00580BF9" w:rsidRPr="00422CA2" w:rsidRDefault="00580BF9" w:rsidP="000804CF">
      <w:pPr>
        <w:spacing w:after="200" w:line="276" w:lineRule="auto"/>
        <w:jc w:val="center"/>
        <w:rPr>
          <w:rFonts w:ascii="ITC Avant Garde" w:hAnsi="ITC Avant Garde"/>
          <w:sz w:val="22"/>
        </w:rPr>
      </w:pPr>
      <w:r w:rsidRPr="00422CA2">
        <w:rPr>
          <w:rFonts w:ascii="ITC Avant Garde" w:hAnsi="ITC Avant Garde"/>
          <w:noProof/>
          <w:sz w:val="22"/>
          <w:lang w:val="es-MX" w:eastAsia="es-MX"/>
        </w:rPr>
        <w:drawing>
          <wp:inline distT="0" distB="0" distL="0" distR="0" wp14:anchorId="77686EF2" wp14:editId="7C754008">
            <wp:extent cx="4539727" cy="69356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r="5882"/>
                    <a:stretch>
                      <a:fillRect/>
                    </a:stretch>
                  </pic:blipFill>
                  <pic:spPr bwMode="auto">
                    <a:xfrm>
                      <a:off x="0" y="0"/>
                      <a:ext cx="4540347" cy="693664"/>
                    </a:xfrm>
                    <a:prstGeom prst="rect">
                      <a:avLst/>
                    </a:prstGeom>
                    <a:noFill/>
                    <a:ln>
                      <a:noFill/>
                    </a:ln>
                  </pic:spPr>
                </pic:pic>
              </a:graphicData>
            </a:graphic>
          </wp:inline>
        </w:drawing>
      </w:r>
    </w:p>
    <w:p w14:paraId="6F9D9097" w14:textId="77777777" w:rsidR="00E12D30" w:rsidRPr="00422CA2" w:rsidRDefault="00580BF9" w:rsidP="00E12D30">
      <w:pPr>
        <w:pStyle w:val="Prrafodelista"/>
        <w:spacing w:before="120" w:after="200" w:line="276" w:lineRule="auto"/>
        <w:ind w:left="714"/>
        <w:jc w:val="center"/>
        <w:rPr>
          <w:rFonts w:ascii="ITC Avant Garde" w:hAnsi="ITC Avant Garde"/>
          <w:sz w:val="18"/>
          <w:szCs w:val="18"/>
        </w:rPr>
      </w:pPr>
      <w:r w:rsidRPr="00422CA2">
        <w:rPr>
          <w:rFonts w:ascii="ITC Avant Garde" w:hAnsi="ITC Avant Garde"/>
          <w:sz w:val="18"/>
          <w:szCs w:val="18"/>
        </w:rPr>
        <w:t>Figura 3.- Dimensiones de la etiqueta para cables multipar.</w:t>
      </w:r>
    </w:p>
    <w:p w14:paraId="20F67675" w14:textId="0AC0E6CC" w:rsidR="00580BF9" w:rsidRPr="00422CA2" w:rsidRDefault="00580BF9" w:rsidP="00E12D30">
      <w:pPr>
        <w:spacing w:before="120" w:after="200" w:line="276" w:lineRule="auto"/>
        <w:rPr>
          <w:rFonts w:ascii="ITC Avant Garde" w:hAnsi="ITC Avant Garde"/>
          <w:sz w:val="22"/>
        </w:rPr>
      </w:pPr>
      <w:r w:rsidRPr="00422CA2">
        <w:rPr>
          <w:rFonts w:ascii="ITC Avant Garde" w:hAnsi="ITC Avant Garde"/>
          <w:sz w:val="22"/>
        </w:rPr>
        <w:t>Las etiquetas deben ser de un material vinílico e impresión térmica, del tipo Brady TLS2200 - PTL-8-439.</w:t>
      </w:r>
    </w:p>
    <w:p w14:paraId="2A2B2DD6" w14:textId="77777777" w:rsidR="00580BF9" w:rsidRPr="00422CA2" w:rsidRDefault="00580BF9" w:rsidP="000804CF">
      <w:pPr>
        <w:pStyle w:val="Prrafodelista"/>
        <w:numPr>
          <w:ilvl w:val="0"/>
          <w:numId w:val="180"/>
        </w:numPr>
        <w:spacing w:after="200" w:line="276" w:lineRule="auto"/>
        <w:rPr>
          <w:rFonts w:ascii="ITC Avant Garde" w:hAnsi="ITC Avant Garde"/>
          <w:sz w:val="22"/>
        </w:rPr>
      </w:pPr>
      <w:r w:rsidRPr="00422CA2">
        <w:rPr>
          <w:rFonts w:ascii="ITC Avant Garde" w:hAnsi="ITC Avant Garde"/>
          <w:sz w:val="22"/>
        </w:rPr>
        <w:t>El tipo de letra a utilizar es la Arial de tamaño 6 (Fuente 3).</w:t>
      </w:r>
    </w:p>
    <w:p w14:paraId="558A4195" w14:textId="77777777" w:rsidR="00580BF9" w:rsidRPr="00422CA2" w:rsidRDefault="00580BF9" w:rsidP="000804CF">
      <w:pPr>
        <w:pStyle w:val="Prrafodelista"/>
        <w:numPr>
          <w:ilvl w:val="0"/>
          <w:numId w:val="180"/>
        </w:numPr>
        <w:spacing w:after="200" w:line="276" w:lineRule="auto"/>
        <w:rPr>
          <w:rFonts w:ascii="ITC Avant Garde" w:hAnsi="ITC Avant Garde"/>
          <w:sz w:val="22"/>
        </w:rPr>
      </w:pPr>
      <w:r w:rsidRPr="00422CA2">
        <w:rPr>
          <w:rFonts w:ascii="ITC Avant Garde" w:hAnsi="ITC Avant Garde"/>
          <w:sz w:val="22"/>
        </w:rPr>
        <w:t>El color de letra debe ser negro.</w:t>
      </w:r>
    </w:p>
    <w:p w14:paraId="3402DEFA" w14:textId="77777777" w:rsidR="00580BF9" w:rsidRPr="00422CA2" w:rsidRDefault="00580BF9" w:rsidP="000804CF">
      <w:pPr>
        <w:pStyle w:val="Prrafodelista"/>
        <w:numPr>
          <w:ilvl w:val="0"/>
          <w:numId w:val="180"/>
        </w:numPr>
        <w:spacing w:after="200" w:line="276" w:lineRule="auto"/>
        <w:rPr>
          <w:rFonts w:ascii="ITC Avant Garde" w:hAnsi="ITC Avant Garde"/>
          <w:sz w:val="22"/>
        </w:rPr>
      </w:pPr>
      <w:r w:rsidRPr="00422CA2">
        <w:rPr>
          <w:rFonts w:ascii="ITC Avant Garde" w:hAnsi="ITC Avant Garde"/>
          <w:sz w:val="22"/>
        </w:rPr>
        <w:t>El color de la etiqueta debe ser Blanca.</w:t>
      </w:r>
    </w:p>
    <w:p w14:paraId="767EC3B4" w14:textId="10F61299" w:rsidR="00580BF9" w:rsidRPr="00422CA2" w:rsidRDefault="00580BF9" w:rsidP="000804CF">
      <w:pPr>
        <w:spacing w:after="200" w:line="276" w:lineRule="auto"/>
        <w:rPr>
          <w:rFonts w:ascii="ITC Avant Garde" w:eastAsiaTheme="minorHAnsi" w:hAnsi="ITC Avant Garde"/>
          <w:sz w:val="22"/>
          <w:szCs w:val="22"/>
        </w:rPr>
      </w:pPr>
      <w:r w:rsidRPr="00422CA2">
        <w:rPr>
          <w:rFonts w:ascii="ITC Avant Garde" w:hAnsi="ITC Avant Garde"/>
          <w:sz w:val="22"/>
        </w:rPr>
        <w:t>La etiqueta debe ser sujetada por el medio, al cable multipar, adhiriendo ambos extremos para su correcta fijación sobre el cable, como se muestra en la siguiente Figura, de forma que ambos lados se puedan leer con facilidad.</w:t>
      </w:r>
    </w:p>
    <w:p w14:paraId="7826B637" w14:textId="4B343399" w:rsidR="00580BF9" w:rsidRPr="00422CA2" w:rsidRDefault="000804CF" w:rsidP="00962F18">
      <w:pPr>
        <w:spacing w:after="200" w:line="276" w:lineRule="auto"/>
        <w:rPr>
          <w:rFonts w:ascii="ITC Avant Garde" w:hAnsi="ITC Avant Garde"/>
          <w:sz w:val="22"/>
        </w:rPr>
      </w:pPr>
      <w:r w:rsidRPr="00422CA2">
        <w:rPr>
          <w:rFonts w:ascii="ITC Avant Garde" w:hAnsi="ITC Avant Garde"/>
          <w:noProof/>
          <w:sz w:val="22"/>
          <w:lang w:val="es-MX" w:eastAsia="es-MX"/>
        </w:rPr>
        <w:drawing>
          <wp:anchor distT="0" distB="0" distL="114300" distR="114300" simplePos="0" relativeHeight="251655168" behindDoc="0" locked="0" layoutInCell="1" allowOverlap="1" wp14:anchorId="39267881" wp14:editId="399F045B">
            <wp:simplePos x="0" y="0"/>
            <wp:positionH relativeFrom="column">
              <wp:posOffset>936724</wp:posOffset>
            </wp:positionH>
            <wp:positionV relativeFrom="paragraph">
              <wp:posOffset>15323</wp:posOffset>
            </wp:positionV>
            <wp:extent cx="3323590" cy="1086485"/>
            <wp:effectExtent l="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23590" cy="1086485"/>
                    </a:xfrm>
                    <a:prstGeom prst="rect">
                      <a:avLst/>
                    </a:prstGeom>
                    <a:noFill/>
                    <a:ln>
                      <a:noFill/>
                    </a:ln>
                  </pic:spPr>
                </pic:pic>
              </a:graphicData>
            </a:graphic>
          </wp:anchor>
        </w:drawing>
      </w:r>
    </w:p>
    <w:p w14:paraId="002964E1" w14:textId="77777777" w:rsidR="00580BF9" w:rsidRPr="00422CA2" w:rsidRDefault="00580BF9" w:rsidP="00962F18">
      <w:pPr>
        <w:spacing w:after="200" w:line="276" w:lineRule="auto"/>
        <w:rPr>
          <w:rFonts w:ascii="ITC Avant Garde" w:hAnsi="ITC Avant Garde"/>
          <w:sz w:val="22"/>
        </w:rPr>
      </w:pPr>
    </w:p>
    <w:p w14:paraId="4F0FB9D2" w14:textId="77777777" w:rsidR="00580BF9" w:rsidRPr="00422CA2" w:rsidRDefault="00580BF9" w:rsidP="00962F18">
      <w:pPr>
        <w:spacing w:after="200" w:line="276" w:lineRule="auto"/>
        <w:rPr>
          <w:rFonts w:ascii="ITC Avant Garde" w:hAnsi="ITC Avant Garde"/>
          <w:sz w:val="22"/>
        </w:rPr>
      </w:pPr>
    </w:p>
    <w:p w14:paraId="71E5483E" w14:textId="77777777" w:rsidR="00580BF9" w:rsidRPr="00422CA2" w:rsidRDefault="00580BF9" w:rsidP="00962F18">
      <w:pPr>
        <w:spacing w:after="200" w:line="276" w:lineRule="auto"/>
        <w:rPr>
          <w:rFonts w:ascii="ITC Avant Garde" w:hAnsi="ITC Avant Garde"/>
          <w:sz w:val="22"/>
        </w:rPr>
      </w:pPr>
    </w:p>
    <w:p w14:paraId="0411640B" w14:textId="77777777" w:rsidR="00580BF9" w:rsidRPr="00422CA2" w:rsidRDefault="00580BF9" w:rsidP="00962F18">
      <w:pPr>
        <w:spacing w:after="200" w:line="276" w:lineRule="auto"/>
        <w:jc w:val="center"/>
        <w:rPr>
          <w:rFonts w:ascii="ITC Avant Garde" w:hAnsi="ITC Avant Garde"/>
          <w:sz w:val="18"/>
          <w:szCs w:val="18"/>
        </w:rPr>
      </w:pPr>
      <w:r w:rsidRPr="00422CA2">
        <w:rPr>
          <w:rFonts w:ascii="ITC Avant Garde" w:hAnsi="ITC Avant Garde"/>
          <w:sz w:val="18"/>
          <w:szCs w:val="18"/>
        </w:rPr>
        <w:t>Figura 4.- Ejemplo de colocación de etiqueta para cables multipar.</w:t>
      </w:r>
    </w:p>
    <w:p w14:paraId="3B4CCB62" w14:textId="77777777" w:rsidR="00580BF9" w:rsidRPr="00422CA2" w:rsidRDefault="00580BF9" w:rsidP="00962F18">
      <w:pPr>
        <w:spacing w:after="200" w:line="276" w:lineRule="auto"/>
        <w:rPr>
          <w:rFonts w:ascii="ITC Avant Garde" w:hAnsi="ITC Avant Garde"/>
          <w:sz w:val="22"/>
        </w:rPr>
      </w:pPr>
    </w:p>
    <w:p w14:paraId="0C233A6F" w14:textId="77777777" w:rsidR="00580BF9" w:rsidRPr="00422CA2" w:rsidRDefault="00580BF9" w:rsidP="00962F18">
      <w:pPr>
        <w:spacing w:after="200" w:line="276" w:lineRule="auto"/>
        <w:jc w:val="center"/>
        <w:rPr>
          <w:rFonts w:ascii="ITC Avant Garde" w:hAnsi="ITC Avant Garde"/>
          <w:sz w:val="22"/>
        </w:rPr>
      </w:pPr>
      <w:r w:rsidRPr="00422CA2">
        <w:rPr>
          <w:rFonts w:ascii="ITC Avant Garde" w:hAnsi="ITC Avant Garde"/>
          <w:noProof/>
          <w:sz w:val="22"/>
          <w:lang w:val="es-MX" w:eastAsia="es-MX"/>
        </w:rPr>
        <w:lastRenderedPageBreak/>
        <w:drawing>
          <wp:inline distT="0" distB="0" distL="0" distR="0" wp14:anchorId="09B541DC" wp14:editId="65D696C9">
            <wp:extent cx="4168956" cy="181135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4186840" cy="1819129"/>
                    </a:xfrm>
                    <a:prstGeom prst="rect">
                      <a:avLst/>
                    </a:prstGeom>
                  </pic:spPr>
                </pic:pic>
              </a:graphicData>
            </a:graphic>
          </wp:inline>
        </w:drawing>
      </w:r>
    </w:p>
    <w:p w14:paraId="3E8560E8" w14:textId="421BA9A1" w:rsidR="00580BF9" w:rsidRPr="00422CA2" w:rsidRDefault="00580BF9" w:rsidP="00962F18">
      <w:pPr>
        <w:spacing w:after="200" w:line="276" w:lineRule="auto"/>
        <w:jc w:val="center"/>
        <w:rPr>
          <w:rFonts w:ascii="ITC Avant Garde" w:hAnsi="ITC Avant Garde"/>
          <w:sz w:val="18"/>
          <w:szCs w:val="18"/>
        </w:rPr>
      </w:pPr>
      <w:r w:rsidRPr="00422CA2">
        <w:rPr>
          <w:rFonts w:ascii="ITC Avant Garde" w:hAnsi="ITC Avant Garde"/>
          <w:sz w:val="18"/>
          <w:szCs w:val="18"/>
        </w:rPr>
        <w:t>Figura 5.- Ejemplo de</w:t>
      </w:r>
      <w:r w:rsidR="00CF3A60" w:rsidRPr="00422CA2">
        <w:rPr>
          <w:rFonts w:ascii="ITC Avant Garde" w:hAnsi="ITC Avant Garde"/>
          <w:sz w:val="18"/>
          <w:szCs w:val="18"/>
        </w:rPr>
        <w:t xml:space="preserve"> etiqueta para cables multipar.</w:t>
      </w:r>
    </w:p>
    <w:p w14:paraId="1DE3810B" w14:textId="77777777" w:rsidR="00580BF9" w:rsidRPr="00422CA2" w:rsidRDefault="00580BF9" w:rsidP="00962F18">
      <w:pPr>
        <w:spacing w:after="200" w:line="276" w:lineRule="auto"/>
        <w:rPr>
          <w:rFonts w:ascii="ITC Avant Garde" w:hAnsi="ITC Avant Garde" w:cs="Arial"/>
          <w:sz w:val="22"/>
          <w:szCs w:val="22"/>
        </w:rPr>
      </w:pPr>
    </w:p>
    <w:p w14:paraId="495926DC" w14:textId="7AFCED67" w:rsidR="00266B26" w:rsidRPr="00422CA2" w:rsidRDefault="00266B26" w:rsidP="00586B55">
      <w:pPr>
        <w:pStyle w:val="Ttulo1"/>
      </w:pPr>
      <w:bookmarkStart w:id="709" w:name="_Toc436840935"/>
      <w:bookmarkStart w:id="710" w:name="_Toc436846372"/>
      <w:bookmarkStart w:id="711" w:name="_Toc436848322"/>
      <w:bookmarkStart w:id="712" w:name="_Toc436856570"/>
      <w:bookmarkStart w:id="713" w:name="_Toc436862716"/>
      <w:bookmarkStart w:id="714" w:name="_Toc436866366"/>
      <w:bookmarkStart w:id="715" w:name="_Toc436870945"/>
      <w:bookmarkStart w:id="716" w:name="_Toc436875937"/>
      <w:bookmarkStart w:id="717" w:name="_Toc437602128"/>
      <w:r w:rsidRPr="00422CA2">
        <w:lastRenderedPageBreak/>
        <w:t>8.7</w:t>
      </w:r>
      <w:r w:rsidRPr="00422CA2">
        <w:tab/>
        <w:t>Formato del Servicio Auxiliar de Cableado Multipar</w:t>
      </w:r>
      <w:bookmarkEnd w:id="709"/>
      <w:bookmarkEnd w:id="710"/>
      <w:bookmarkEnd w:id="711"/>
      <w:bookmarkEnd w:id="712"/>
      <w:bookmarkEnd w:id="713"/>
      <w:bookmarkEnd w:id="714"/>
      <w:bookmarkEnd w:id="715"/>
      <w:bookmarkEnd w:id="716"/>
      <w:bookmarkEnd w:id="717"/>
      <w:r w:rsidRPr="00422CA2">
        <w:t xml:space="preserve"> </w:t>
      </w:r>
    </w:p>
    <w:p w14:paraId="40E85D49" w14:textId="138AF6E4" w:rsidR="00742B92" w:rsidRPr="00422CA2" w:rsidRDefault="00580FBB" w:rsidP="0079261E">
      <w:pPr>
        <w:pStyle w:val="IFTnormal"/>
        <w:jc w:val="left"/>
        <w:rPr>
          <w:lang w:eastAsia="es-MX"/>
        </w:rPr>
      </w:pPr>
      <w:r w:rsidRPr="00422CA2">
        <w:rPr>
          <w:noProof/>
          <w:lang w:eastAsia="es-MX"/>
        </w:rPr>
        <w:drawing>
          <wp:inline distT="0" distB="0" distL="0" distR="0" wp14:anchorId="17AC32A9" wp14:editId="08D02179">
            <wp:extent cx="5613400" cy="7517197"/>
            <wp:effectExtent l="19050" t="19050" r="6350" b="762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3400" cy="7517197"/>
                    </a:xfrm>
                    <a:prstGeom prst="rect">
                      <a:avLst/>
                    </a:prstGeom>
                    <a:noFill/>
                    <a:ln>
                      <a:solidFill>
                        <a:schemeClr val="tx1"/>
                      </a:solidFill>
                    </a:ln>
                  </pic:spPr>
                </pic:pic>
              </a:graphicData>
            </a:graphic>
          </wp:inline>
        </w:drawing>
      </w:r>
      <w:r w:rsidR="00742B92" w:rsidRPr="00422CA2">
        <w:br w:type="page"/>
      </w:r>
    </w:p>
    <w:p w14:paraId="7C82720E" w14:textId="4CECD205" w:rsidR="00BB5B7B" w:rsidRPr="00422CA2" w:rsidRDefault="00BB5B7B" w:rsidP="00586B55">
      <w:pPr>
        <w:pStyle w:val="Ttulo1"/>
      </w:pPr>
      <w:bookmarkStart w:id="718" w:name="_Toc436840936"/>
      <w:bookmarkStart w:id="719" w:name="_Toc436846373"/>
      <w:bookmarkStart w:id="720" w:name="_Toc436848323"/>
      <w:bookmarkStart w:id="721" w:name="_Toc436856571"/>
      <w:bookmarkStart w:id="722" w:name="_Toc436862717"/>
      <w:bookmarkStart w:id="723" w:name="_Toc436866367"/>
      <w:bookmarkStart w:id="724" w:name="_Toc436870946"/>
      <w:bookmarkStart w:id="725" w:name="_Toc436875938"/>
      <w:bookmarkStart w:id="726" w:name="_Toc437602129"/>
      <w:r w:rsidRPr="00422CA2">
        <w:lastRenderedPageBreak/>
        <w:t>9.</w:t>
      </w:r>
      <w:r w:rsidRPr="00422CA2">
        <w:tab/>
        <w:t>Servicio Auxiliar de Anexo de Caja de Distribución</w:t>
      </w:r>
      <w:bookmarkEnd w:id="718"/>
      <w:bookmarkEnd w:id="719"/>
      <w:bookmarkEnd w:id="720"/>
      <w:bookmarkEnd w:id="721"/>
      <w:bookmarkEnd w:id="722"/>
      <w:bookmarkEnd w:id="723"/>
      <w:bookmarkEnd w:id="724"/>
      <w:bookmarkEnd w:id="725"/>
      <w:bookmarkEnd w:id="726"/>
    </w:p>
    <w:p w14:paraId="08BEE512" w14:textId="6D992D62" w:rsidR="0079261E" w:rsidRPr="00422CA2" w:rsidRDefault="0079261E" w:rsidP="00586B55">
      <w:pPr>
        <w:pStyle w:val="Ttulo1"/>
      </w:pPr>
      <w:bookmarkStart w:id="727" w:name="_Toc436840937"/>
      <w:bookmarkStart w:id="728" w:name="_Toc436846374"/>
      <w:bookmarkStart w:id="729" w:name="_Toc436848324"/>
      <w:bookmarkStart w:id="730" w:name="_Toc436856572"/>
      <w:bookmarkStart w:id="731" w:name="_Toc436862718"/>
      <w:bookmarkStart w:id="732" w:name="_Toc436866368"/>
      <w:bookmarkStart w:id="733" w:name="_Toc436870947"/>
      <w:bookmarkStart w:id="734" w:name="_Toc436875939"/>
      <w:bookmarkStart w:id="735" w:name="_Toc437602130"/>
      <w:r w:rsidRPr="00422CA2">
        <w:t>9.1 Criterios Técnicos para el Servicio Auxiliar de Anexo de Caja de Distribución</w:t>
      </w:r>
      <w:bookmarkEnd w:id="727"/>
      <w:bookmarkEnd w:id="728"/>
      <w:bookmarkEnd w:id="729"/>
      <w:bookmarkEnd w:id="730"/>
      <w:bookmarkEnd w:id="731"/>
      <w:bookmarkEnd w:id="732"/>
      <w:bookmarkEnd w:id="733"/>
      <w:bookmarkEnd w:id="734"/>
      <w:bookmarkEnd w:id="735"/>
    </w:p>
    <w:p w14:paraId="1E66918C" w14:textId="179F1A66" w:rsidR="0079261E" w:rsidRPr="00422CA2" w:rsidRDefault="0079261E" w:rsidP="00BB5B7B">
      <w:pPr>
        <w:pStyle w:val="IFTnormal"/>
      </w:pPr>
      <w:r w:rsidRPr="00422CA2">
        <w:t xml:space="preserve">El Servicio Auxiliar de Anexo de Caja de Distribución es necesario para la provisión de los servicios de SDTSBL y SDCSBL a través de éste, el CS podrá conectar sus elementos de red a la red secundaria de Telmex. </w:t>
      </w:r>
    </w:p>
    <w:p w14:paraId="5FEA6F90" w14:textId="07D35AEA" w:rsidR="0079261E" w:rsidRPr="00422CA2" w:rsidRDefault="0079261E" w:rsidP="00BB5B7B">
      <w:pPr>
        <w:pStyle w:val="IFTnormal"/>
      </w:pPr>
      <w:r w:rsidRPr="00422CA2">
        <w:t>Este servicio consiste en la instalación del Anexo de Caja de Distribución, mismo que podrá ser utilizado por distintos Concesionarios, para habilitar las tablillas de remate donde se realiza el puente entre las regletas de la Caja de Distribución de Telmex y la red del CS.</w:t>
      </w:r>
    </w:p>
    <w:p w14:paraId="3FC6E0FF" w14:textId="64E17CA4" w:rsidR="0079261E" w:rsidRPr="00422CA2" w:rsidRDefault="0079261E" w:rsidP="00BB5B7B">
      <w:pPr>
        <w:pStyle w:val="IFTnormal"/>
      </w:pPr>
      <w:r w:rsidRPr="00422CA2">
        <w:t>El servicio de Anexo de Caja de Distribución se representa en la siguiente figura:</w:t>
      </w:r>
    </w:p>
    <w:p w14:paraId="4BB26FE0" w14:textId="77777777" w:rsidR="0079261E" w:rsidRPr="00422CA2" w:rsidRDefault="0079261E" w:rsidP="00D038CD">
      <w:pPr>
        <w:pStyle w:val="IFTnormal"/>
        <w:jc w:val="center"/>
      </w:pPr>
      <w:r w:rsidRPr="00422CA2">
        <w:rPr>
          <w:noProof/>
          <w:lang w:eastAsia="es-MX"/>
        </w:rPr>
        <w:drawing>
          <wp:inline distT="0" distB="0" distL="0" distR="0" wp14:anchorId="13D64609" wp14:editId="1E49768D">
            <wp:extent cx="4104168" cy="150939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25960" t="39079" r="28953" b="26906"/>
                    <a:stretch/>
                  </pic:blipFill>
                  <pic:spPr bwMode="auto">
                    <a:xfrm>
                      <a:off x="0" y="0"/>
                      <a:ext cx="4115003" cy="1513380"/>
                    </a:xfrm>
                    <a:prstGeom prst="rect">
                      <a:avLst/>
                    </a:prstGeom>
                    <a:ln>
                      <a:noFill/>
                    </a:ln>
                    <a:extLst>
                      <a:ext uri="{53640926-AAD7-44D8-BBD7-CCE9431645EC}">
                        <a14:shadowObscured xmlns:a14="http://schemas.microsoft.com/office/drawing/2010/main"/>
                      </a:ext>
                    </a:extLst>
                  </pic:spPr>
                </pic:pic>
              </a:graphicData>
            </a:graphic>
          </wp:inline>
        </w:drawing>
      </w:r>
    </w:p>
    <w:p w14:paraId="177ACB08" w14:textId="3C6D7683" w:rsidR="0079261E" w:rsidRPr="00422CA2" w:rsidRDefault="0079261E" w:rsidP="00BB5B7B">
      <w:pPr>
        <w:pStyle w:val="IFTnormal"/>
        <w:jc w:val="center"/>
        <w:rPr>
          <w:i/>
          <w:sz w:val="18"/>
          <w:szCs w:val="18"/>
        </w:rPr>
      </w:pPr>
      <w:r w:rsidRPr="00422CA2">
        <w:rPr>
          <w:i/>
          <w:sz w:val="18"/>
          <w:szCs w:val="18"/>
        </w:rPr>
        <w:t>Servicio de Anexo de Caja de Distribución</w:t>
      </w:r>
    </w:p>
    <w:p w14:paraId="5CCB9F89" w14:textId="380532CE" w:rsidR="0079261E" w:rsidRPr="00422CA2" w:rsidRDefault="0079261E" w:rsidP="00BB5B7B">
      <w:pPr>
        <w:pStyle w:val="IFTnormal"/>
      </w:pPr>
      <w:r w:rsidRPr="00422CA2">
        <w:t xml:space="preserve">Cuando un CS realice la solicitud del Servicio Auxiliar de Anexo de Caja de Distribución, Telmex notificará dicha solicitud al resto de los Concesionarios con los que se tengan convenios firmados a través del Sistema de Captura o SEG una vez que entre en operación con el objetivo de que todos los involucrados se coordinen y definan dónde construirán el pozo en el que Telmex entregará la acometida del cableado multipar procedente de la tablilla del Anexo de Caja de Distribución para que se remate en el cierre de empalme del CS y sea técnicamente viable la desagregación en el sub-bucle. </w:t>
      </w:r>
    </w:p>
    <w:p w14:paraId="0AB43C5D" w14:textId="38D42C55" w:rsidR="0079261E" w:rsidRPr="00422CA2" w:rsidRDefault="0079261E" w:rsidP="00BB5B7B">
      <w:pPr>
        <w:pStyle w:val="IFTnormal"/>
      </w:pPr>
      <w:r w:rsidRPr="00422CA2">
        <w:t xml:space="preserve">Por otro lado el prerrequisito de construcción de un pozo multiconcesionario podrá ser sustituido por un pozo existente de Telmex, previo análisis de factibilidad vía la </w:t>
      </w:r>
      <w:r w:rsidR="000F3B5A">
        <w:t>O</w:t>
      </w:r>
      <w:r w:rsidRPr="00422CA2">
        <w:t xml:space="preserve">ferta de </w:t>
      </w:r>
      <w:r w:rsidR="000F3B5A">
        <w:t>R</w:t>
      </w:r>
      <w:r w:rsidRPr="00422CA2">
        <w:t xml:space="preserve">eferencia para la Compartición de Infraestructura Pasiva. El procedimiento técnico relativo al Anexo de Caja </w:t>
      </w:r>
      <w:r w:rsidR="00F00F60" w:rsidRPr="00422CA2">
        <w:t xml:space="preserve">de Distribución </w:t>
      </w:r>
      <w:r w:rsidRPr="00422CA2">
        <w:t xml:space="preserve">se detalla en el punto 9.7 de la presente </w:t>
      </w:r>
      <w:r w:rsidR="005D7076" w:rsidRPr="00422CA2">
        <w:t>OREDA</w:t>
      </w:r>
      <w:r w:rsidRPr="00422CA2">
        <w:t>.</w:t>
      </w:r>
    </w:p>
    <w:p w14:paraId="3F7C7D59" w14:textId="1154B3C9" w:rsidR="0079261E" w:rsidRPr="00422CA2" w:rsidRDefault="0079261E" w:rsidP="00BB5B7B">
      <w:pPr>
        <w:pStyle w:val="IFTnormal"/>
      </w:pPr>
      <w:r w:rsidRPr="00422CA2">
        <w:t xml:space="preserve">El CS puede solicitar el servicio de </w:t>
      </w:r>
      <w:r w:rsidR="00775272" w:rsidRPr="00422CA2">
        <w:t>Anexo</w:t>
      </w:r>
      <w:r w:rsidRPr="00422CA2">
        <w:t xml:space="preserve"> de </w:t>
      </w:r>
      <w:r w:rsidR="00775272" w:rsidRPr="00422CA2">
        <w:t>Caja</w:t>
      </w:r>
      <w:r w:rsidRPr="00422CA2">
        <w:t xml:space="preserve"> de </w:t>
      </w:r>
      <w:r w:rsidR="00775272" w:rsidRPr="00422CA2">
        <w:t>Distribución</w:t>
      </w:r>
      <w:r w:rsidRPr="00422CA2">
        <w:t xml:space="preserve">, cuando ya exista pozo multiconcesionario y </w:t>
      </w:r>
      <w:r w:rsidR="00775272" w:rsidRPr="00422CA2">
        <w:t>Anexo</w:t>
      </w:r>
      <w:r w:rsidRPr="00422CA2">
        <w:t xml:space="preserve"> de </w:t>
      </w:r>
      <w:r w:rsidR="00775272" w:rsidRPr="00422CA2">
        <w:t>Caja</w:t>
      </w:r>
      <w:r w:rsidRPr="00422CA2">
        <w:t xml:space="preserve"> de </w:t>
      </w:r>
      <w:r w:rsidR="00775272" w:rsidRPr="00422CA2">
        <w:t>Distribución</w:t>
      </w:r>
      <w:r w:rsidRPr="00422CA2">
        <w:t xml:space="preserve"> para desagregación.</w:t>
      </w:r>
    </w:p>
    <w:p w14:paraId="25E196B3" w14:textId="77777777" w:rsidR="0079261E" w:rsidRPr="00422CA2" w:rsidRDefault="0079261E" w:rsidP="00BB5B7B">
      <w:pPr>
        <w:pStyle w:val="IFTnormal"/>
      </w:pPr>
      <w:r w:rsidRPr="00422CA2">
        <w:lastRenderedPageBreak/>
        <w:t>El Anexo de Caja será propiedad de Telmex, así como su administración y la coordinación de las solicitudes de servicio de los CS.</w:t>
      </w:r>
    </w:p>
    <w:p w14:paraId="35AD42C5" w14:textId="5A804AA0" w:rsidR="0079261E" w:rsidRPr="00422CA2" w:rsidRDefault="00CB7FE7" w:rsidP="00BB5B7B">
      <w:pPr>
        <w:pStyle w:val="IFTnormal"/>
      </w:pPr>
      <w:r w:rsidRPr="00422CA2">
        <w:t>En caso de que el pozo multiconcesionario sea construido por Telmex, la propiedad del mismo se determinará por acuerdo de los CS involucrados</w:t>
      </w:r>
      <w:r w:rsidR="006B4183" w:rsidRPr="00422CA2">
        <w:t>.</w:t>
      </w:r>
      <w:r w:rsidRPr="00422CA2" w:rsidDel="00CB7FE7">
        <w:t xml:space="preserve"> </w:t>
      </w:r>
      <w:r w:rsidR="0079261E" w:rsidRPr="00422CA2">
        <w:t>El Servicio Auxiliar de Anexo de Caja de Distribución considera las siguientes actividades:</w:t>
      </w:r>
    </w:p>
    <w:p w14:paraId="52E74C71" w14:textId="41BF2654" w:rsidR="0079261E" w:rsidRPr="00422CA2" w:rsidRDefault="0079261E" w:rsidP="00E12D30">
      <w:pPr>
        <w:pStyle w:val="IFTnormal"/>
        <w:numPr>
          <w:ilvl w:val="4"/>
          <w:numId w:val="264"/>
        </w:numPr>
        <w:ind w:left="709"/>
      </w:pPr>
      <w:r w:rsidRPr="00422CA2">
        <w:t>Construcción de Canalización de Acometida desde Anexo de Caja de Distribución hasta el pozo del CS.</w:t>
      </w:r>
    </w:p>
    <w:p w14:paraId="0E6C72D4" w14:textId="4AEBCC03" w:rsidR="0079261E" w:rsidRPr="00422CA2" w:rsidRDefault="0079261E" w:rsidP="00E12D30">
      <w:pPr>
        <w:pStyle w:val="IFTnormal"/>
        <w:numPr>
          <w:ilvl w:val="4"/>
          <w:numId w:val="264"/>
        </w:numPr>
        <w:ind w:left="709"/>
      </w:pPr>
      <w:r w:rsidRPr="00422CA2">
        <w:t>Construcción de Base para Anexo de Caja de Distribución.</w:t>
      </w:r>
    </w:p>
    <w:p w14:paraId="717DF871" w14:textId="52FE71C5" w:rsidR="0079261E" w:rsidRPr="00422CA2" w:rsidRDefault="0079261E" w:rsidP="00E12D30">
      <w:pPr>
        <w:pStyle w:val="IFTnormal"/>
        <w:numPr>
          <w:ilvl w:val="4"/>
          <w:numId w:val="264"/>
        </w:numPr>
        <w:ind w:left="709"/>
      </w:pPr>
      <w:r w:rsidRPr="00422CA2">
        <w:t>Instalación de Anexo de Caja de Distribución.</w:t>
      </w:r>
    </w:p>
    <w:p w14:paraId="08B1078E" w14:textId="065F74E0" w:rsidR="0079261E" w:rsidRPr="00422CA2" w:rsidRDefault="0079261E" w:rsidP="00E12D30">
      <w:pPr>
        <w:pStyle w:val="IFTnormal"/>
        <w:numPr>
          <w:ilvl w:val="4"/>
          <w:numId w:val="264"/>
        </w:numPr>
        <w:ind w:left="709"/>
      </w:pPr>
      <w:r w:rsidRPr="00422CA2">
        <w:t>Instalación de cable multipar desde la tablilla del Anexo de Caja de Distribución hasta el cierre de empalme en el pozo multiconcesionario.</w:t>
      </w:r>
    </w:p>
    <w:p w14:paraId="0A7B99D9" w14:textId="668D08E5" w:rsidR="0079261E" w:rsidRPr="00422CA2" w:rsidRDefault="0079261E" w:rsidP="00BB5B7B">
      <w:pPr>
        <w:pStyle w:val="IFTnormal"/>
      </w:pPr>
      <w:r w:rsidRPr="00422CA2">
        <w:t>Las especificaciones y los fundamentos técnicos de los elementos y materiales a utilizar en la provisión del servicio de Anexo de Caja de Distribución son indicadas en el punto 9.</w:t>
      </w:r>
      <w:r w:rsidR="00B65827" w:rsidRPr="00422CA2">
        <w:t>6</w:t>
      </w:r>
      <w:r w:rsidRPr="00422CA2">
        <w:t xml:space="preserve"> de la presente </w:t>
      </w:r>
      <w:r w:rsidR="005D7076" w:rsidRPr="00422CA2">
        <w:t>OREDA</w:t>
      </w:r>
      <w:r w:rsidRPr="00422CA2">
        <w:t>.</w:t>
      </w:r>
    </w:p>
    <w:p w14:paraId="6F11991D" w14:textId="77777777" w:rsidR="000E1DC3" w:rsidRPr="00422CA2" w:rsidRDefault="000E1DC3" w:rsidP="00586B55">
      <w:pPr>
        <w:pStyle w:val="Ttulo1"/>
      </w:pPr>
      <w:bookmarkStart w:id="736" w:name="_Toc435110291"/>
      <w:bookmarkStart w:id="737" w:name="_Toc437602131"/>
      <w:r w:rsidRPr="00422CA2">
        <w:t>9.2</w:t>
      </w:r>
      <w:r w:rsidRPr="00422CA2">
        <w:tab/>
        <w:t>Procedimientos de contratación, modificación y baja del servicio de Anexo de Caja.</w:t>
      </w:r>
      <w:bookmarkEnd w:id="736"/>
      <w:bookmarkEnd w:id="737"/>
      <w:r w:rsidRPr="00422CA2">
        <w:t xml:space="preserve"> </w:t>
      </w:r>
    </w:p>
    <w:p w14:paraId="112BF1A3" w14:textId="77777777" w:rsidR="000E1DC3" w:rsidRPr="00422CA2" w:rsidRDefault="000E1DC3" w:rsidP="000E1DC3">
      <w:pPr>
        <w:pStyle w:val="IFTnormal"/>
      </w:pPr>
      <w:r w:rsidRPr="00422CA2">
        <w:t>Queda establecido que mediante el envío de la solicitud, el CS consiente efectuar el pago por las actividades a realizar así como por los elementos de cobro que conforman el servicio, en el momento que se indique en el procedimiento. Asimismo, si el CS rechaza el servicio o decide no continuar con el procedimiento, deberá liquidar el monto generado por las actividades realizadas hasta el momento que decidió terminar el procedimiento.</w:t>
      </w:r>
    </w:p>
    <w:p w14:paraId="372A2174" w14:textId="77777777" w:rsidR="000E1DC3" w:rsidRPr="00422CA2" w:rsidRDefault="000E1DC3" w:rsidP="000E1DC3">
      <w:pPr>
        <w:pStyle w:val="IFTnormal"/>
        <w:rPr>
          <w:b/>
        </w:rPr>
      </w:pPr>
      <w:r w:rsidRPr="00422CA2">
        <w:rPr>
          <w:b/>
        </w:rPr>
        <w:t>Procedimiento de Contratación y Entrega de Anexo de Caja (Construcción de Pozo multiconcesionario por CS):</w:t>
      </w:r>
    </w:p>
    <w:p w14:paraId="66523CB9" w14:textId="77777777" w:rsidR="000E1DC3" w:rsidRPr="00422CA2" w:rsidRDefault="000E1DC3" w:rsidP="000E1DC3">
      <w:pPr>
        <w:pStyle w:val="IFTnormal"/>
        <w:rPr>
          <w:b/>
        </w:rPr>
      </w:pPr>
      <w:r w:rsidRPr="00422CA2">
        <w:t xml:space="preserve">El objetivo y alcance de este procedimiento es definir los pasos y actividades a desarrollar por parte de Telmex y del CS, a fin de realizar la contratación y entrega del Anexo de Caja de Distribución cuando el CS realiza la construcción del pozo multiconcesionario; las fases en que se divide este procedimiento son: (i) Entrega y validación de la solicitud para que el CS manifieste su intención de contratar el servicio y la validación por parte de Telmex de que la solicitud cuenta con todos los elementos para la contratación del servicio; (ii) Análisis de Factibilidad técnica a fin de que Telmex pueda verificar que cuenta con los elementos para brindar el servicio solicitado; (iii) Coordinación de las solicitudes de los CS que deseen </w:t>
      </w:r>
      <w:r w:rsidRPr="00422CA2">
        <w:lastRenderedPageBreak/>
        <w:t>participar en el pozo multiconcesionario; (iv) coordinación para la instalación del cableado multipar y trabajos de empalme y (v) Habilitación del servicio solicitado, que detonará los procesos de pruebas de entrega y facturación.</w:t>
      </w:r>
    </w:p>
    <w:p w14:paraId="3E1F4ADF" w14:textId="77777777" w:rsidR="00725892" w:rsidRPr="00422CA2" w:rsidRDefault="000E1DC3" w:rsidP="00A76C6A">
      <w:pPr>
        <w:pStyle w:val="IFTnormal"/>
        <w:numPr>
          <w:ilvl w:val="0"/>
          <w:numId w:val="238"/>
        </w:numPr>
        <w:rPr>
          <w:rFonts w:cs="Arial"/>
        </w:rPr>
      </w:pPr>
      <w:r w:rsidRPr="00422CA2">
        <w:rPr>
          <w:rFonts w:cs="Arial"/>
        </w:rPr>
        <w:t>El CS deberá presentar solicitud en el formato correspondiente a través del Sistema de Captura, o del SEG una vez que entre en operación, en el cual, indicará y ubicará geográficamente el pozo multiconcesionario, anexando el proyecto de construcción.</w:t>
      </w:r>
    </w:p>
    <w:p w14:paraId="7685FFA9" w14:textId="77777777" w:rsidR="00725892" w:rsidRPr="00422CA2" w:rsidRDefault="000E1DC3" w:rsidP="00A76C6A">
      <w:pPr>
        <w:pStyle w:val="IFTnormal"/>
        <w:numPr>
          <w:ilvl w:val="0"/>
          <w:numId w:val="238"/>
        </w:numPr>
        <w:rPr>
          <w:rFonts w:cs="Arial"/>
        </w:rPr>
      </w:pPr>
      <w:r w:rsidRPr="00422CA2">
        <w:rPr>
          <w:rFonts w:cs="Arial"/>
        </w:rPr>
        <w:t xml:space="preserve">La solicitud del CS será validada en un plazo máximo de 1 día hábil, se dará seguimiento a la solicitud con un folio hasta que se asigne un NIS, si la solicitud no cumple con la información correspondiente, será devuelta al CS </w:t>
      </w:r>
      <w:r w:rsidRPr="00422CA2">
        <w:rPr>
          <w:lang w:val="es-ES"/>
        </w:rPr>
        <w:t>para que sea corregida y reenviada a Telmex a fin de que vuelva a ser validada</w:t>
      </w:r>
      <w:r w:rsidRPr="00422CA2">
        <w:rPr>
          <w:rFonts w:cs="Arial"/>
        </w:rPr>
        <w:t>.</w:t>
      </w:r>
    </w:p>
    <w:p w14:paraId="2EAEC0F0" w14:textId="7446A9D4" w:rsidR="000E1DC3" w:rsidRPr="00422CA2" w:rsidRDefault="000E1DC3" w:rsidP="00A76C6A">
      <w:pPr>
        <w:pStyle w:val="IFTnormal"/>
        <w:numPr>
          <w:ilvl w:val="0"/>
          <w:numId w:val="238"/>
        </w:numPr>
        <w:rPr>
          <w:rFonts w:cs="Arial"/>
        </w:rPr>
      </w:pPr>
      <w:r w:rsidRPr="00422CA2">
        <w:rPr>
          <w:rFonts w:cs="Arial"/>
        </w:rPr>
        <w:t xml:space="preserve">Después de haber sido validada la solicitud, se verificará la factibilidad técnica de la construcción de un anexo de caja y en un plazo máximo de </w:t>
      </w:r>
      <w:r w:rsidR="00725892" w:rsidRPr="00422CA2">
        <w:rPr>
          <w:rFonts w:cs="Arial"/>
        </w:rPr>
        <w:t>3</w:t>
      </w:r>
      <w:r w:rsidRPr="00422CA2">
        <w:rPr>
          <w:rFonts w:cs="Arial"/>
        </w:rPr>
        <w:t xml:space="preserve"> días hábiles, se responderá conforme a lo siguiente:</w:t>
      </w:r>
    </w:p>
    <w:p w14:paraId="424FC103" w14:textId="77777777" w:rsidR="00725892" w:rsidRPr="00422CA2" w:rsidRDefault="000E1DC3" w:rsidP="002B6509">
      <w:pPr>
        <w:pStyle w:val="IFTnormal"/>
        <w:numPr>
          <w:ilvl w:val="0"/>
          <w:numId w:val="239"/>
        </w:numPr>
        <w:ind w:left="1134"/>
        <w:rPr>
          <w:rFonts w:cs="Arial"/>
        </w:rPr>
      </w:pPr>
      <w:r w:rsidRPr="00422CA2">
        <w:rPr>
          <w:rFonts w:cs="Arial"/>
        </w:rPr>
        <w:t>Es factible.</w:t>
      </w:r>
    </w:p>
    <w:p w14:paraId="59F510E1" w14:textId="77777777" w:rsidR="00725892" w:rsidRPr="00422CA2" w:rsidRDefault="000E1DC3" w:rsidP="002B6509">
      <w:pPr>
        <w:pStyle w:val="IFTnormal"/>
        <w:numPr>
          <w:ilvl w:val="0"/>
          <w:numId w:val="239"/>
        </w:numPr>
        <w:ind w:left="1134"/>
        <w:rPr>
          <w:rFonts w:cs="Arial"/>
        </w:rPr>
      </w:pPr>
      <w:r w:rsidRPr="00422CA2">
        <w:rPr>
          <w:rFonts w:cs="Arial"/>
        </w:rPr>
        <w:t>Es factible pero son necesarias adecuaciones a la infraestructura; las adecuaciones serán incluidas en la instalación del Anexo de Caja y la descripción de las mismas será detallada en el análisis de factibilidad.</w:t>
      </w:r>
    </w:p>
    <w:p w14:paraId="5B01C04D" w14:textId="7A6270D5" w:rsidR="000E1DC3" w:rsidRPr="00422CA2" w:rsidRDefault="000E1DC3" w:rsidP="002B6509">
      <w:pPr>
        <w:pStyle w:val="IFTnormal"/>
        <w:numPr>
          <w:ilvl w:val="0"/>
          <w:numId w:val="239"/>
        </w:numPr>
        <w:ind w:left="1134"/>
        <w:rPr>
          <w:rFonts w:cs="Arial"/>
        </w:rPr>
      </w:pPr>
      <w:r w:rsidRPr="00422CA2">
        <w:rPr>
          <w:rFonts w:cs="Arial"/>
        </w:rPr>
        <w:t xml:space="preserve">No es factible, se presentará al CS, a través del SC o del SEG, la justificación de los motivos descritos en el apartado 1.4 relativo a los recursos de red asociados a los servicios, así como las evidencias correspondientes y a solicitud del CS se iniciará el procedimiento de Trabajo Especial contenido en la sección 11 de esta </w:t>
      </w:r>
      <w:r w:rsidR="00CA026A">
        <w:rPr>
          <w:rFonts w:cs="Arial"/>
        </w:rPr>
        <w:t>OREDA</w:t>
      </w:r>
      <w:r w:rsidRPr="00422CA2">
        <w:rPr>
          <w:rFonts w:cs="Arial"/>
        </w:rPr>
        <w:t>.</w:t>
      </w:r>
    </w:p>
    <w:p w14:paraId="0E401B3B" w14:textId="77777777" w:rsidR="00F9128A" w:rsidRPr="00422CA2" w:rsidRDefault="000E1DC3" w:rsidP="00A76C6A">
      <w:pPr>
        <w:pStyle w:val="IFTnormal"/>
        <w:numPr>
          <w:ilvl w:val="0"/>
          <w:numId w:val="238"/>
        </w:numPr>
        <w:rPr>
          <w:rFonts w:cs="Arial"/>
        </w:rPr>
      </w:pPr>
      <w:r w:rsidRPr="00422CA2">
        <w:rPr>
          <w:rFonts w:cs="Arial"/>
        </w:rPr>
        <w:t>Después</w:t>
      </w:r>
      <w:r w:rsidR="00F9128A" w:rsidRPr="00422CA2">
        <w:rPr>
          <w:rFonts w:cs="Arial"/>
        </w:rPr>
        <w:t xml:space="preserve"> </w:t>
      </w:r>
      <w:r w:rsidRPr="00422CA2">
        <w:rPr>
          <w:rFonts w:cs="Arial"/>
        </w:rPr>
        <w:t>de haber verificado la factibilidad técnica, se informará en un plazo máximo de 5 días hábiles, a todos los Concesionarios con los que se tengan Convenios firmados, que un CS solicitó el Servicio de Anexo de Caja de Distribución, para que los interesados se coordinen con el CS  en caso de requerir el servicio de un Pozo multiconcesionario. Este proyecto de los Concesionarios deberá incluir el permiso y espacio de la instalación de la acometida desde el Anexo de Caja de Distribución hasta el pozo multiconcesionario.</w:t>
      </w:r>
    </w:p>
    <w:p w14:paraId="357C88E1" w14:textId="77777777" w:rsidR="00F9128A" w:rsidRPr="00422CA2" w:rsidRDefault="000E1DC3" w:rsidP="00A76C6A">
      <w:pPr>
        <w:pStyle w:val="IFTnormal"/>
        <w:numPr>
          <w:ilvl w:val="0"/>
          <w:numId w:val="238"/>
        </w:numPr>
        <w:rPr>
          <w:rFonts w:cs="Arial"/>
        </w:rPr>
      </w:pPr>
      <w:r w:rsidRPr="00422CA2">
        <w:rPr>
          <w:rFonts w:cs="Arial"/>
        </w:rPr>
        <w:t xml:space="preserve">En un plazo no mayor a 10 días hábiles, se enviará la cotización por el gasto de instalación del Anexo de Caja de Distribución, de la acometida hasta el pozo multiconcesionario e Instalación de cable multipar desde la tablilla del </w:t>
      </w:r>
      <w:r w:rsidRPr="00422CA2">
        <w:rPr>
          <w:rFonts w:cs="Arial"/>
        </w:rPr>
        <w:lastRenderedPageBreak/>
        <w:t xml:space="preserve">Anexo de Caja de Distribución hasta el cierre de empalme en el pozo multiconcesionario, y de las adecuaciones de haber sido identificadas </w:t>
      </w:r>
      <w:r w:rsidR="00F9128A" w:rsidRPr="00422CA2">
        <w:rPr>
          <w:rFonts w:cs="Arial"/>
        </w:rPr>
        <w:t>en el análisis de factibilidad.</w:t>
      </w:r>
    </w:p>
    <w:p w14:paraId="49AAE675" w14:textId="77777777" w:rsidR="00F9128A" w:rsidRPr="00422CA2" w:rsidRDefault="000E1DC3" w:rsidP="00A76C6A">
      <w:pPr>
        <w:pStyle w:val="IFTnormal"/>
        <w:numPr>
          <w:ilvl w:val="0"/>
          <w:numId w:val="238"/>
        </w:numPr>
        <w:rPr>
          <w:rFonts w:cs="Arial"/>
        </w:rPr>
      </w:pPr>
      <w:r w:rsidRPr="00422CA2">
        <w:rPr>
          <w:rFonts w:cs="Arial"/>
        </w:rPr>
        <w:t>El CS contará con 5 días hábiles para aceptar la cotización correspondiente al gasto de</w:t>
      </w:r>
      <w:r w:rsidR="00F9128A" w:rsidRPr="00422CA2">
        <w:rPr>
          <w:rFonts w:cs="Arial"/>
        </w:rPr>
        <w:t xml:space="preserve"> </w:t>
      </w:r>
      <w:r w:rsidRPr="00422CA2">
        <w:rPr>
          <w:rFonts w:cs="Arial"/>
        </w:rPr>
        <w:t>instalación del Anexo de Caja de Distribución</w:t>
      </w:r>
      <w:r w:rsidRPr="00422CA2">
        <w:rPr>
          <w:rStyle w:val="Refdenotaalpie"/>
          <w:rFonts w:cs="Arial"/>
        </w:rPr>
        <w:footnoteReference w:id="49"/>
      </w:r>
      <w:r w:rsidR="00F9128A" w:rsidRPr="00422CA2">
        <w:rPr>
          <w:rFonts w:cs="Arial"/>
        </w:rPr>
        <w:t>,</w:t>
      </w:r>
      <w:r w:rsidRPr="00422CA2">
        <w:rPr>
          <w:rFonts w:cs="Arial"/>
        </w:rPr>
        <w:t xml:space="preserve"> </w:t>
      </w:r>
      <w:r w:rsidRPr="00422CA2">
        <w:rPr>
          <w:rFonts w:cs="Arial"/>
          <w:lang w:val="es-ES" w:eastAsia="es-MX"/>
        </w:rPr>
        <w:t>dentro de este plazo el CS podrá analizar el presupuesto y solicitar aclaraciones a Telmex</w:t>
      </w:r>
      <w:r w:rsidRPr="00422CA2">
        <w:rPr>
          <w:rFonts w:cs="Arial"/>
        </w:rPr>
        <w:t>, de no recibirse el pago se entenderá que el CS rechazó el servicio.</w:t>
      </w:r>
    </w:p>
    <w:p w14:paraId="4C7F2225" w14:textId="77777777" w:rsidR="00F9128A" w:rsidRPr="00422CA2" w:rsidRDefault="000E1DC3" w:rsidP="00A76C6A">
      <w:pPr>
        <w:pStyle w:val="IFTnormal"/>
        <w:numPr>
          <w:ilvl w:val="0"/>
          <w:numId w:val="238"/>
        </w:numPr>
        <w:rPr>
          <w:rFonts w:cs="Arial"/>
        </w:rPr>
      </w:pPr>
      <w:r w:rsidRPr="00422CA2">
        <w:rPr>
          <w:rFonts w:cs="Arial"/>
        </w:rPr>
        <w:t>Una vez aceptada la cotización, se iniciará la instalación del Anexo</w:t>
      </w:r>
      <w:r w:rsidRPr="00422CA2">
        <w:rPr>
          <w:rStyle w:val="Refdenotaalpie"/>
          <w:rFonts w:cs="Arial"/>
        </w:rPr>
        <w:footnoteReference w:id="50"/>
      </w:r>
      <w:r w:rsidRPr="00422CA2">
        <w:rPr>
          <w:rFonts w:cs="Arial"/>
        </w:rPr>
        <w:t xml:space="preserve"> y se notificará al CS para que éste inicie simultáneamente la construcción del pozo multiconcesionario.</w:t>
      </w:r>
    </w:p>
    <w:p w14:paraId="431BADB9" w14:textId="77777777" w:rsidR="00F9128A" w:rsidRPr="00422CA2" w:rsidRDefault="000E1DC3" w:rsidP="00A76C6A">
      <w:pPr>
        <w:pStyle w:val="IFTnormal"/>
        <w:numPr>
          <w:ilvl w:val="0"/>
          <w:numId w:val="238"/>
        </w:numPr>
        <w:rPr>
          <w:rFonts w:cs="Arial"/>
        </w:rPr>
      </w:pPr>
      <w:r w:rsidRPr="00422CA2">
        <w:rPr>
          <w:rFonts w:cs="Arial"/>
        </w:rPr>
        <w:t>Una vez que el Anexo de Caja de Distribución, la acometida que interconecta hacia el pozo del CS, y el Pozo multiconcesionario estén construidos, Telmex iniciará la instalación del cableado multipar desde la tablilla del Anexo de Caja de Distribución hasta el cierre de empalme ubicado en el pozo multiconcesionario. Cuando el servicio esté habilitado en coordinación con el CS que solicitó el servicio, se realizará la prueba de recepción, los resultados de la prueba se presentarán en el Sistema de Captura o en el SEG cuando entre en operación, para que el CS pueda consultarlas. El servicio quedará habilitado en un plazo máximo de 23 días hábiles los cuales contabilizarán a partir de la solicitud.</w:t>
      </w:r>
    </w:p>
    <w:p w14:paraId="18B081DC" w14:textId="77777777" w:rsidR="00F9128A" w:rsidRPr="00422CA2" w:rsidRDefault="000E1DC3" w:rsidP="00A76C6A">
      <w:pPr>
        <w:pStyle w:val="IFTnormal"/>
        <w:numPr>
          <w:ilvl w:val="0"/>
          <w:numId w:val="238"/>
        </w:numPr>
        <w:rPr>
          <w:rFonts w:cs="Arial"/>
        </w:rPr>
      </w:pPr>
      <w:r w:rsidRPr="00422CA2">
        <w:rPr>
          <w:rFonts w:cs="Arial"/>
        </w:rPr>
        <w:t>Habiendo terminado la instalación de cableado multipar hasta el cierre de empalme ubicado en el pozo multiconcesionario, el CS deberá de iniciar con los trabajos de empalme de acuerdo a la posición de la tablilla en Anexo de Caja de Distribución asignada p</w:t>
      </w:r>
      <w:r w:rsidR="00F9128A" w:rsidRPr="00422CA2">
        <w:rPr>
          <w:rFonts w:cs="Arial"/>
        </w:rPr>
        <w:t>or Telmex.</w:t>
      </w:r>
    </w:p>
    <w:p w14:paraId="03BB1420" w14:textId="467296EF" w:rsidR="000E1DC3" w:rsidRPr="00422CA2" w:rsidRDefault="000E1DC3" w:rsidP="00A76C6A">
      <w:pPr>
        <w:pStyle w:val="IFTnormal"/>
        <w:numPr>
          <w:ilvl w:val="0"/>
          <w:numId w:val="238"/>
        </w:numPr>
        <w:rPr>
          <w:rFonts w:cs="Arial"/>
        </w:rPr>
      </w:pPr>
      <w:r w:rsidRPr="00422CA2">
        <w:rPr>
          <w:rFonts w:cs="Arial"/>
        </w:rPr>
        <w:t xml:space="preserve">Al corte del mes se realizará la facturación de la renta correspondiente. </w:t>
      </w:r>
    </w:p>
    <w:p w14:paraId="7FE13A24" w14:textId="77777777" w:rsidR="000E1DC3" w:rsidRPr="00422CA2" w:rsidRDefault="000E1DC3" w:rsidP="000E1DC3">
      <w:pPr>
        <w:pStyle w:val="IFTnormal"/>
        <w:rPr>
          <w:b/>
        </w:rPr>
      </w:pPr>
      <w:r w:rsidRPr="00422CA2">
        <w:rPr>
          <w:b/>
        </w:rPr>
        <w:t>Procedimiento de Contratación de Anexo de Caja (Trabajo Especial para construcción de Pozo):</w:t>
      </w:r>
    </w:p>
    <w:p w14:paraId="7E807674" w14:textId="77777777" w:rsidR="000E1DC3" w:rsidRPr="00422CA2" w:rsidRDefault="000E1DC3" w:rsidP="000E1DC3">
      <w:pPr>
        <w:pStyle w:val="IFTnormal"/>
        <w:rPr>
          <w:rFonts w:cs="Arial"/>
          <w:b/>
          <w:lang w:val="es-ES" w:eastAsia="es-MX"/>
        </w:rPr>
      </w:pPr>
      <w:r w:rsidRPr="00422CA2">
        <w:rPr>
          <w:rFonts w:cs="Arial"/>
          <w:lang w:val="es-ES" w:eastAsia="es-MX"/>
        </w:rPr>
        <w:t xml:space="preserve">El objetivo y alcance de este procedimiento es definir la secuencia y actividades a desarrollar por parte de Telmex y del CS, a fin de realizar la contratación y entrega del Anexo de Caja de Distribución cuando el CS solicita a Telmex la construcción </w:t>
      </w:r>
      <w:r w:rsidRPr="00422CA2">
        <w:rPr>
          <w:rFonts w:cs="Arial"/>
          <w:lang w:val="es-ES" w:eastAsia="es-MX"/>
        </w:rPr>
        <w:lastRenderedPageBreak/>
        <w:t xml:space="preserve">del pozo; las fases en que se divide este procedimiento son: (i) Entrega y validación de la solicitud para que el CS manifieste su intención de contratar el servicio y la validación por parte de Telmex de que la solicitud cuenta con todos los elementos para la contratación del servicio; (ii) </w:t>
      </w:r>
      <w:r w:rsidRPr="00422CA2">
        <w:rPr>
          <w:rFonts w:cs="Arial"/>
        </w:rPr>
        <w:t>Análisis de Factibilidad Técnica a fin de que Telmex pueda verificar que cuenta con los elementos para brindar el servicio solicitado; (iii) Coordinación de las solicitudes de los CS que deseen participar en el pozo multiconcesionario; (iv) Coordinación para la instalación del cableado multipar y trabajos de empalme; (v) Habilitación del servicio solicitado, que detonará los procesos de pruebas de entrega y facturación.</w:t>
      </w:r>
    </w:p>
    <w:p w14:paraId="2A73CFAF" w14:textId="681A9952" w:rsidR="000E1DC3" w:rsidRPr="00422CA2" w:rsidRDefault="000E1DC3" w:rsidP="000E1DC3">
      <w:pPr>
        <w:pStyle w:val="IFTnormal"/>
      </w:pPr>
      <w:r w:rsidRPr="00422CA2">
        <w:t xml:space="preserve">Telmex administrará las solicitudes de distintos Concesionarios. Una vez que ingrese la primer solicitud se </w:t>
      </w:r>
      <w:r w:rsidR="003F1354" w:rsidRPr="00422CA2">
        <w:t>pondrá</w:t>
      </w:r>
      <w:r w:rsidRPr="00422CA2">
        <w:t xml:space="preserve"> un </w:t>
      </w:r>
      <w:r w:rsidR="003F1354" w:rsidRPr="00422CA2">
        <w:t>anuncio durante</w:t>
      </w:r>
      <w:r w:rsidRPr="00422CA2">
        <w:t xml:space="preserve"> 3 días hábiles a través del SC o SEG (una vez que entre en operación) con el fin de que otros concesionarios interesados soliciten el servicio, en este caso, éstos deberán ingresar la solicitud de tablillas adicionales a través del SC o SEG una vez que entre en operación. </w:t>
      </w:r>
    </w:p>
    <w:p w14:paraId="3DF05EED" w14:textId="77777777" w:rsidR="00F9128A" w:rsidRPr="00422CA2" w:rsidRDefault="000E1DC3" w:rsidP="00A76C6A">
      <w:pPr>
        <w:pStyle w:val="IFTnormal"/>
        <w:numPr>
          <w:ilvl w:val="0"/>
          <w:numId w:val="240"/>
        </w:numPr>
        <w:rPr>
          <w:rFonts w:cs="Arial"/>
        </w:rPr>
      </w:pPr>
      <w:r w:rsidRPr="00422CA2">
        <w:rPr>
          <w:rFonts w:cs="Arial"/>
        </w:rPr>
        <w:t>El CS deberá presentar solicitud en el formato correspondiente indicando que solicita la construcción del pozo a través del Sistema de Captura o del SEG (una vez que entre en operación).</w:t>
      </w:r>
    </w:p>
    <w:p w14:paraId="09248300" w14:textId="77777777" w:rsidR="00F9128A" w:rsidRPr="00422CA2" w:rsidRDefault="000E1DC3" w:rsidP="00A76C6A">
      <w:pPr>
        <w:pStyle w:val="IFTnormal"/>
        <w:numPr>
          <w:ilvl w:val="0"/>
          <w:numId w:val="240"/>
        </w:numPr>
        <w:rPr>
          <w:rFonts w:cs="Arial"/>
        </w:rPr>
      </w:pPr>
      <w:r w:rsidRPr="00422CA2">
        <w:rPr>
          <w:rFonts w:cs="Arial"/>
        </w:rPr>
        <w:t xml:space="preserve">La solicitud del CS será validada en un plazo máximo de 1 día hábil, se dará seguimiento a la solicitud con un folio hasta que se asigne un NIS, si la solicitud no cumple con la información correspondiente, será devuelta al CS </w:t>
      </w:r>
      <w:r w:rsidRPr="00422CA2">
        <w:rPr>
          <w:lang w:val="es-ES"/>
        </w:rPr>
        <w:t>para que sea corregida y reenviada a Telmex a fin de que vuelva a ser validada</w:t>
      </w:r>
      <w:r w:rsidRPr="00422CA2">
        <w:rPr>
          <w:rFonts w:cs="Arial"/>
        </w:rPr>
        <w:t>.</w:t>
      </w:r>
    </w:p>
    <w:p w14:paraId="7C6DC3F2" w14:textId="14E21174" w:rsidR="000E1DC3" w:rsidRPr="00422CA2" w:rsidRDefault="000E1DC3" w:rsidP="00A76C6A">
      <w:pPr>
        <w:pStyle w:val="IFTnormal"/>
        <w:numPr>
          <w:ilvl w:val="0"/>
          <w:numId w:val="240"/>
        </w:numPr>
        <w:rPr>
          <w:rFonts w:cs="Arial"/>
        </w:rPr>
      </w:pPr>
      <w:r w:rsidRPr="00422CA2">
        <w:rPr>
          <w:rFonts w:cs="Arial"/>
        </w:rPr>
        <w:t xml:space="preserve">Después de haber sido validada la solicitud, se verificará la factibilidad técnica de la construcción de un anexo de caja y del pozo en un plazo máximo de </w:t>
      </w:r>
      <w:r w:rsidR="00202865" w:rsidRPr="00422CA2">
        <w:rPr>
          <w:rFonts w:cs="Arial"/>
        </w:rPr>
        <w:t>3</w:t>
      </w:r>
      <w:r w:rsidRPr="00422CA2">
        <w:rPr>
          <w:rFonts w:cs="Arial"/>
        </w:rPr>
        <w:t xml:space="preserve"> días hábiles, se responderá conforme a lo siguiente: </w:t>
      </w:r>
    </w:p>
    <w:p w14:paraId="6728DB41" w14:textId="77777777" w:rsidR="00F9128A" w:rsidRPr="00422CA2" w:rsidRDefault="000E1DC3" w:rsidP="002B6509">
      <w:pPr>
        <w:pStyle w:val="IFTnormal"/>
        <w:numPr>
          <w:ilvl w:val="0"/>
          <w:numId w:val="241"/>
        </w:numPr>
        <w:ind w:left="1134"/>
        <w:rPr>
          <w:rFonts w:cs="Arial"/>
        </w:rPr>
      </w:pPr>
      <w:r w:rsidRPr="00422CA2">
        <w:rPr>
          <w:rFonts w:cs="Arial"/>
        </w:rPr>
        <w:t>Es factible la construcción del Anexo de Caj</w:t>
      </w:r>
      <w:r w:rsidR="00F9128A" w:rsidRPr="00422CA2">
        <w:rPr>
          <w:rFonts w:cs="Arial"/>
        </w:rPr>
        <w:t>a de Distribución y del pozo.</w:t>
      </w:r>
    </w:p>
    <w:p w14:paraId="1361E15A" w14:textId="77777777" w:rsidR="00F9128A" w:rsidRPr="00422CA2" w:rsidRDefault="000E1DC3" w:rsidP="002B6509">
      <w:pPr>
        <w:pStyle w:val="IFTnormal"/>
        <w:numPr>
          <w:ilvl w:val="0"/>
          <w:numId w:val="241"/>
        </w:numPr>
        <w:ind w:left="1134"/>
        <w:rPr>
          <w:rFonts w:cs="Arial"/>
        </w:rPr>
      </w:pPr>
      <w:r w:rsidRPr="00422CA2">
        <w:rPr>
          <w:rFonts w:cs="Arial"/>
        </w:rPr>
        <w:t>No es factible la construcción del pozo, se presentará al CS, a través del SC o del SEG, la justificación de los motivos descritos en el apartado 1.4 relativo a los recursos de red asociados a los servicios, así como las evidencias correspondientes. En este caso, se da por terminado el proceso y se cancela la solicitud.</w:t>
      </w:r>
    </w:p>
    <w:p w14:paraId="1866F645" w14:textId="7805E3AC" w:rsidR="000E1DC3" w:rsidRPr="00422CA2" w:rsidRDefault="000E1DC3" w:rsidP="002B6509">
      <w:pPr>
        <w:pStyle w:val="IFTnormal"/>
        <w:numPr>
          <w:ilvl w:val="0"/>
          <w:numId w:val="241"/>
        </w:numPr>
        <w:ind w:left="1134"/>
        <w:rPr>
          <w:rFonts w:cs="Arial"/>
        </w:rPr>
      </w:pPr>
      <w:r w:rsidRPr="00422CA2">
        <w:rPr>
          <w:rFonts w:cs="Arial"/>
        </w:rPr>
        <w:t xml:space="preserve">No es factible la construcción del Anexo de Caja, se presentará al CS, a través del SC o del SEG, la justificación de los motivos descritos en el apartado 1.4 relativo a los recursos de red asociados a los servicios, así como las evidencias correspondientes, y a solicitud del CS se iniciará el </w:t>
      </w:r>
      <w:r w:rsidRPr="00422CA2">
        <w:rPr>
          <w:rFonts w:cs="Arial"/>
        </w:rPr>
        <w:lastRenderedPageBreak/>
        <w:t xml:space="preserve">procedimiento de Trabajo Especial contenido en la sección 11 de esta </w:t>
      </w:r>
      <w:r w:rsidR="00CA026A">
        <w:rPr>
          <w:rFonts w:cs="Arial"/>
        </w:rPr>
        <w:t>OREDA</w:t>
      </w:r>
      <w:r w:rsidRPr="00422CA2">
        <w:rPr>
          <w:rFonts w:cs="Arial"/>
        </w:rPr>
        <w:t>.</w:t>
      </w:r>
    </w:p>
    <w:p w14:paraId="090FE499" w14:textId="77777777" w:rsidR="00F9128A" w:rsidRPr="00422CA2" w:rsidRDefault="000E1DC3" w:rsidP="00A76C6A">
      <w:pPr>
        <w:pStyle w:val="IFTnormal"/>
        <w:numPr>
          <w:ilvl w:val="0"/>
          <w:numId w:val="240"/>
        </w:numPr>
        <w:rPr>
          <w:rFonts w:cs="Arial"/>
        </w:rPr>
      </w:pPr>
      <w:r w:rsidRPr="00422CA2">
        <w:rPr>
          <w:rFonts w:cs="Arial"/>
        </w:rPr>
        <w:t>En un plazo no mayor a 10 días hábiles (contabilizados a partir de la recepción de la solicitud del servicio) se enviará la cotización por el gasto de instalación del Anexo de Caja de Distribución, la construcción del pozo, de la acometida hasta el pozo multiconcesionario e Instalación de cable multipar desde la tablilla del Anexo de Caja de Distribución hasta el cierre de empalme</w:t>
      </w:r>
      <w:r w:rsidR="00F9128A" w:rsidRPr="00422CA2">
        <w:rPr>
          <w:rFonts w:cs="Arial"/>
        </w:rPr>
        <w:t xml:space="preserve"> en el pozo multiconcesionario.</w:t>
      </w:r>
    </w:p>
    <w:p w14:paraId="5622BD3C" w14:textId="77777777" w:rsidR="00F9128A" w:rsidRPr="00422CA2" w:rsidRDefault="000E1DC3" w:rsidP="00A76C6A">
      <w:pPr>
        <w:pStyle w:val="IFTnormal"/>
        <w:numPr>
          <w:ilvl w:val="0"/>
          <w:numId w:val="240"/>
        </w:numPr>
        <w:rPr>
          <w:rFonts w:cs="Arial"/>
        </w:rPr>
      </w:pPr>
      <w:r w:rsidRPr="00422CA2">
        <w:rPr>
          <w:rFonts w:cs="Arial"/>
        </w:rPr>
        <w:t>El CS contará con 5 días hábiles para aceptar la cotización correspondiente al gasto de instalación del Anexo de Caja de Distribución y construcción de pozo</w:t>
      </w:r>
      <w:r w:rsidRPr="00422CA2">
        <w:rPr>
          <w:rStyle w:val="Refdenotaalpie"/>
          <w:rFonts w:cs="Arial"/>
        </w:rPr>
        <w:footnoteReference w:id="51"/>
      </w:r>
      <w:r w:rsidRPr="00422CA2">
        <w:rPr>
          <w:rFonts w:cs="Arial"/>
        </w:rPr>
        <w:t xml:space="preserve">, </w:t>
      </w:r>
      <w:r w:rsidRPr="00422CA2">
        <w:rPr>
          <w:rFonts w:cs="Arial"/>
          <w:lang w:val="es-ES" w:eastAsia="es-MX"/>
        </w:rPr>
        <w:t>dentro de este plazo el CS podrá analizar el presupuesto y solicitar aclaraciones a Telmex</w:t>
      </w:r>
      <w:r w:rsidRPr="00422CA2">
        <w:rPr>
          <w:rFonts w:cs="Arial"/>
        </w:rPr>
        <w:t>, de no recibirse el pago se entenderá que el CS rechazó el servicio.</w:t>
      </w:r>
    </w:p>
    <w:p w14:paraId="35426E99" w14:textId="280EA658" w:rsidR="00F9128A" w:rsidRPr="00422CA2" w:rsidRDefault="000E1DC3" w:rsidP="00A76C6A">
      <w:pPr>
        <w:pStyle w:val="IFTnormal"/>
        <w:numPr>
          <w:ilvl w:val="0"/>
          <w:numId w:val="240"/>
        </w:numPr>
        <w:rPr>
          <w:rFonts w:cs="Arial"/>
        </w:rPr>
      </w:pPr>
      <w:r w:rsidRPr="00422CA2">
        <w:rPr>
          <w:rFonts w:cs="Arial"/>
        </w:rPr>
        <w:t>Una vez aceptada la cotización, se iniciará la construcción del pozo a través</w:t>
      </w:r>
      <w:r w:rsidRPr="00422CA2">
        <w:t xml:space="preserve"> del procedimiento de Trabajos Especiales </w:t>
      </w:r>
      <w:r w:rsidRPr="00422CA2">
        <w:rPr>
          <w:rFonts w:cs="Arial"/>
        </w:rPr>
        <w:t xml:space="preserve">contenido en la sección 11 de esta </w:t>
      </w:r>
      <w:r w:rsidR="00CA026A">
        <w:rPr>
          <w:rFonts w:cs="Arial"/>
        </w:rPr>
        <w:t>OREDA</w:t>
      </w:r>
      <w:r w:rsidRPr="00422CA2">
        <w:t>.</w:t>
      </w:r>
      <w:r w:rsidRPr="00422CA2">
        <w:rPr>
          <w:rFonts w:cs="Arial"/>
        </w:rPr>
        <w:t xml:space="preserve"> Una vez concluido el Trabajo Especial se inicia la construcción del Anexo de Caja</w:t>
      </w:r>
      <w:r w:rsidRPr="00422CA2">
        <w:rPr>
          <w:rStyle w:val="Refdenotaalpie"/>
          <w:rFonts w:cs="Arial"/>
        </w:rPr>
        <w:footnoteReference w:id="52"/>
      </w:r>
      <w:r w:rsidRPr="00422CA2">
        <w:rPr>
          <w:rFonts w:cs="Arial"/>
        </w:rPr>
        <w:t>.</w:t>
      </w:r>
    </w:p>
    <w:p w14:paraId="2FDB87BF" w14:textId="77777777" w:rsidR="00002F7F" w:rsidRPr="00422CA2" w:rsidRDefault="000E1DC3" w:rsidP="00A76C6A">
      <w:pPr>
        <w:pStyle w:val="IFTnormal"/>
        <w:numPr>
          <w:ilvl w:val="0"/>
          <w:numId w:val="240"/>
        </w:numPr>
        <w:rPr>
          <w:rFonts w:cs="Arial"/>
        </w:rPr>
      </w:pPr>
      <w:r w:rsidRPr="00422CA2">
        <w:rPr>
          <w:rFonts w:cs="Arial"/>
        </w:rPr>
        <w:t>Cuando ambos servicios estén habilitados, en coordinación con el CS que solicitó el servicio se realizará la prueba de recepción, los resultados de la prueba se presentarán en el Sistema de Captura o en el SEG (cuando entre en operación), par</w:t>
      </w:r>
      <w:r w:rsidR="00002F7F" w:rsidRPr="00422CA2">
        <w:rPr>
          <w:rFonts w:cs="Arial"/>
        </w:rPr>
        <w:t>a que el CS pueda consultarlas.</w:t>
      </w:r>
    </w:p>
    <w:p w14:paraId="5B1D4D93" w14:textId="77777777" w:rsidR="00002F7F" w:rsidRPr="00422CA2" w:rsidRDefault="000E1DC3" w:rsidP="00A76C6A">
      <w:pPr>
        <w:pStyle w:val="IFTnormal"/>
        <w:numPr>
          <w:ilvl w:val="0"/>
          <w:numId w:val="240"/>
        </w:numPr>
        <w:rPr>
          <w:rFonts w:cs="Arial"/>
        </w:rPr>
      </w:pPr>
      <w:r w:rsidRPr="00422CA2">
        <w:rPr>
          <w:rFonts w:cs="Arial"/>
        </w:rPr>
        <w:t>Habiendo terminado la instalación de cableado multipar hasta el cierre de empalme ubicado en el pozo multiconcesionario, el CS deberá iniciar con los trabajos de empalme de acuerdo a la posición de la tablilla en el Anexo de Caja de Dis</w:t>
      </w:r>
      <w:r w:rsidR="00002F7F" w:rsidRPr="00422CA2">
        <w:rPr>
          <w:rFonts w:cs="Arial"/>
        </w:rPr>
        <w:t>tribución asignada por Telmex.</w:t>
      </w:r>
    </w:p>
    <w:p w14:paraId="08A57BC5" w14:textId="0E35F538" w:rsidR="000E1DC3" w:rsidRPr="00422CA2" w:rsidRDefault="000E1DC3" w:rsidP="00A76C6A">
      <w:pPr>
        <w:pStyle w:val="IFTnormal"/>
        <w:numPr>
          <w:ilvl w:val="0"/>
          <w:numId w:val="240"/>
        </w:numPr>
        <w:rPr>
          <w:rFonts w:cs="Arial"/>
        </w:rPr>
      </w:pPr>
      <w:r w:rsidRPr="00422CA2">
        <w:rPr>
          <w:rFonts w:cs="Arial"/>
        </w:rPr>
        <w:t xml:space="preserve">Al corte del mes se realizará la facturación de la renta correspondiente. Los costos de construcción del pozo se distribuirán entre los concesionarios que requirieron el servicio. </w:t>
      </w:r>
    </w:p>
    <w:p w14:paraId="7B0A6379" w14:textId="77777777" w:rsidR="000E1DC3" w:rsidRPr="00422CA2" w:rsidRDefault="000E1DC3" w:rsidP="000E1DC3">
      <w:pPr>
        <w:pStyle w:val="IFTnormal"/>
        <w:rPr>
          <w:b/>
        </w:rPr>
      </w:pPr>
      <w:r w:rsidRPr="00422CA2">
        <w:rPr>
          <w:b/>
        </w:rPr>
        <w:t>Procedimiento de Contratación de Anexo de Caja (Arrendamiento de pozo a través de la Oferta de Referencia de Compartición de Infraestructura):</w:t>
      </w:r>
    </w:p>
    <w:p w14:paraId="589708AD" w14:textId="3CCB4838" w:rsidR="000E1DC3" w:rsidRPr="00422CA2" w:rsidRDefault="000E1DC3" w:rsidP="000E1DC3">
      <w:pPr>
        <w:pStyle w:val="IFTnormal"/>
        <w:rPr>
          <w:rFonts w:cs="Arial"/>
        </w:rPr>
      </w:pPr>
      <w:r w:rsidRPr="00422CA2">
        <w:lastRenderedPageBreak/>
        <w:t xml:space="preserve">A solicitud del CS se pone a disposición, la compartición de un pozo de Telmex a través de la Oferta de </w:t>
      </w:r>
      <w:r w:rsidR="000F3B5A">
        <w:t xml:space="preserve">Referencia de </w:t>
      </w:r>
      <w:r w:rsidRPr="00422CA2">
        <w:t xml:space="preserve">Compartición de Infraestructura, esto siempre que exista el pozo y no se establezca ninguna limitante a su uso, para lo cual </w:t>
      </w:r>
      <w:r w:rsidRPr="00422CA2">
        <w:rPr>
          <w:rFonts w:cs="Arial"/>
        </w:rPr>
        <w:t>el CS deberá proporcionar el NIS-Referencia del pozo arrendado a través del SC o SEG una vez que entre en operación.</w:t>
      </w:r>
    </w:p>
    <w:p w14:paraId="402172FE" w14:textId="77777777" w:rsidR="000E1DC3" w:rsidRPr="00422CA2" w:rsidRDefault="000E1DC3" w:rsidP="000E1DC3">
      <w:pPr>
        <w:pStyle w:val="IFTnormal"/>
      </w:pPr>
      <w:r w:rsidRPr="00422CA2">
        <w:t xml:space="preserve">Telmex administrará las solicitudes de distintos Concesionarios. Una vez que ingrese la primera solicitud se notificará a través del SC o SEG una vez que entre en operación con el fin de que otros concesionarios interesados soliciten el servicio. </w:t>
      </w:r>
    </w:p>
    <w:p w14:paraId="21829332" w14:textId="77777777" w:rsidR="000E1DC3" w:rsidRPr="00422CA2" w:rsidRDefault="000E1DC3" w:rsidP="000E1DC3">
      <w:pPr>
        <w:pStyle w:val="IFTnormal"/>
        <w:rPr>
          <w:rFonts w:cs="Arial"/>
          <w:b/>
          <w:lang w:val="es-ES" w:eastAsia="es-MX"/>
        </w:rPr>
      </w:pPr>
      <w:r w:rsidRPr="00422CA2">
        <w:rPr>
          <w:rFonts w:cs="Arial"/>
          <w:lang w:val="es-ES" w:eastAsia="es-MX"/>
        </w:rPr>
        <w:t xml:space="preserve">El objetivo y alcance de este procedimiento es definir los pasos y actividades a desarrollar por parte de Telmex y del CS, a fin de realizar la contratación y entrega del Anexo de Caja de Distribución cuando el CS arrienda el pozo a Telmex; las fases en que se divide este procedimiento son: (i) Entrega y validación de la solicitud para que el CS manifieste su intención de contratar el servicio y la validación por parte de Telmex de que la solicitud cuenta con todos los elementos para la contratación del servicio; (ii) </w:t>
      </w:r>
      <w:r w:rsidRPr="00422CA2">
        <w:rPr>
          <w:rFonts w:cs="Arial"/>
        </w:rPr>
        <w:t>Análisis de Factibilidad técnica a fin de que Telmex pueda verificar que cuenta con los elementos para brindar el servicio solicitado; (iii) Coordinación de las solicitudes de los CS que deseen participar en el pozo multiconcesionario; (iv) Coordinación para la instalación del cableado multipar y trabajos de empalme y (v) Habilitación del servicio solicitado, que detonará los procesos de pruebas de entrega y facturación.</w:t>
      </w:r>
    </w:p>
    <w:p w14:paraId="754200C5" w14:textId="77777777" w:rsidR="00002F7F" w:rsidRPr="00422CA2" w:rsidRDefault="000E1DC3" w:rsidP="00A76C6A">
      <w:pPr>
        <w:pStyle w:val="IFTnormal"/>
        <w:numPr>
          <w:ilvl w:val="0"/>
          <w:numId w:val="242"/>
        </w:numPr>
        <w:rPr>
          <w:rFonts w:cs="Arial"/>
        </w:rPr>
      </w:pPr>
      <w:r w:rsidRPr="00422CA2">
        <w:rPr>
          <w:rFonts w:cs="Arial"/>
        </w:rPr>
        <w:t xml:space="preserve">El CS deberá presentar solicitud del Servicio de Anexo de Caja de Distribución, en el formato correspondiente </w:t>
      </w:r>
      <w:r w:rsidRPr="00422CA2">
        <w:t xml:space="preserve">a través del SC o SEG (una vez que entre en operación) </w:t>
      </w:r>
      <w:r w:rsidRPr="00422CA2">
        <w:rPr>
          <w:rFonts w:cs="Arial"/>
        </w:rPr>
        <w:t>indicando en la solicitud el NIS-Referencia del pozo arrendado.</w:t>
      </w:r>
    </w:p>
    <w:p w14:paraId="5D0E69C4" w14:textId="77777777" w:rsidR="00002F7F" w:rsidRPr="00422CA2" w:rsidRDefault="000E1DC3" w:rsidP="00A76C6A">
      <w:pPr>
        <w:pStyle w:val="IFTnormal"/>
        <w:numPr>
          <w:ilvl w:val="0"/>
          <w:numId w:val="242"/>
        </w:numPr>
        <w:rPr>
          <w:rFonts w:cs="Arial"/>
        </w:rPr>
      </w:pPr>
      <w:r w:rsidRPr="00422CA2">
        <w:rPr>
          <w:rFonts w:cs="Arial"/>
        </w:rPr>
        <w:t xml:space="preserve">La solicitud del CS será validada en un plazo máximo de 1 día hábil, se dará seguimiento a la solicitud con un folio hasta que se asigne un NIS, si la solicitud no cumple con la información correspondiente, será devuelta al CS </w:t>
      </w:r>
      <w:r w:rsidRPr="00422CA2">
        <w:rPr>
          <w:lang w:val="es-ES"/>
        </w:rPr>
        <w:t>para que sea corregida y reenviada a Telmex a fin de que vuelva a ser validada</w:t>
      </w:r>
      <w:r w:rsidRPr="00422CA2">
        <w:rPr>
          <w:rFonts w:cs="Arial"/>
        </w:rPr>
        <w:t>.</w:t>
      </w:r>
    </w:p>
    <w:p w14:paraId="33C7609C" w14:textId="5D751D31" w:rsidR="000E1DC3" w:rsidRPr="00422CA2" w:rsidRDefault="000E1DC3" w:rsidP="00A76C6A">
      <w:pPr>
        <w:pStyle w:val="IFTnormal"/>
        <w:numPr>
          <w:ilvl w:val="0"/>
          <w:numId w:val="242"/>
        </w:numPr>
        <w:rPr>
          <w:rFonts w:cs="Arial"/>
        </w:rPr>
      </w:pPr>
      <w:r w:rsidRPr="00422CA2">
        <w:rPr>
          <w:rFonts w:cs="Arial"/>
        </w:rPr>
        <w:t xml:space="preserve">Después de haber sido validada la solicitud, se verificará la factibilidad técnica de la construcción de un anexo de caja en un plazo máximo de </w:t>
      </w:r>
      <w:r w:rsidR="00002F7F" w:rsidRPr="00422CA2">
        <w:rPr>
          <w:rFonts w:cs="Arial"/>
        </w:rPr>
        <w:t>3</w:t>
      </w:r>
      <w:r w:rsidRPr="00422CA2">
        <w:rPr>
          <w:rFonts w:cs="Arial"/>
        </w:rPr>
        <w:t xml:space="preserve"> días hábiles, se responderá conforme a lo siguiente: </w:t>
      </w:r>
    </w:p>
    <w:p w14:paraId="15F3922D" w14:textId="77777777" w:rsidR="00002F7F" w:rsidRPr="00422CA2" w:rsidRDefault="000E1DC3" w:rsidP="002B6509">
      <w:pPr>
        <w:pStyle w:val="IFTnormal"/>
        <w:numPr>
          <w:ilvl w:val="0"/>
          <w:numId w:val="243"/>
        </w:numPr>
        <w:ind w:left="1276"/>
        <w:rPr>
          <w:rFonts w:cs="Arial"/>
        </w:rPr>
      </w:pPr>
      <w:r w:rsidRPr="00422CA2">
        <w:rPr>
          <w:rFonts w:cs="Arial"/>
        </w:rPr>
        <w:t>Es factible la construcción del Anexo de Caja de Distribución.</w:t>
      </w:r>
    </w:p>
    <w:p w14:paraId="5291D6C7" w14:textId="6C732F7C" w:rsidR="000E1DC3" w:rsidRPr="00422CA2" w:rsidRDefault="000E1DC3" w:rsidP="002B6509">
      <w:pPr>
        <w:pStyle w:val="IFTnormal"/>
        <w:numPr>
          <w:ilvl w:val="0"/>
          <w:numId w:val="243"/>
        </w:numPr>
        <w:ind w:left="1276"/>
        <w:rPr>
          <w:rFonts w:cs="Arial"/>
        </w:rPr>
      </w:pPr>
      <w:r w:rsidRPr="00422CA2">
        <w:rPr>
          <w:rFonts w:cs="Arial"/>
        </w:rPr>
        <w:t xml:space="preserve">No es factible la construcción del Anexo de Caja, se presentará al CS a través del SC o del SEG, la justificación de los motivos descritos en el apartado 1.4 relativo a los recursos de red asociados a los servicios, así </w:t>
      </w:r>
      <w:r w:rsidRPr="00422CA2">
        <w:rPr>
          <w:rFonts w:cs="Arial"/>
        </w:rPr>
        <w:lastRenderedPageBreak/>
        <w:t xml:space="preserve">como las evidencias correspondientes y a solicitud del CS, se iniciará el procedimiento de Trabajo Especial contenido en la sección 11 de esta </w:t>
      </w:r>
      <w:r w:rsidR="00CA026A">
        <w:rPr>
          <w:rFonts w:cs="Arial"/>
        </w:rPr>
        <w:t>OREDA</w:t>
      </w:r>
      <w:r w:rsidRPr="00422CA2">
        <w:rPr>
          <w:rFonts w:cs="Arial"/>
        </w:rPr>
        <w:t>.</w:t>
      </w:r>
    </w:p>
    <w:p w14:paraId="27EFAB2C" w14:textId="77777777" w:rsidR="00002F7F" w:rsidRPr="00422CA2" w:rsidRDefault="000E1DC3" w:rsidP="00A76C6A">
      <w:pPr>
        <w:pStyle w:val="IFTnormal"/>
        <w:numPr>
          <w:ilvl w:val="0"/>
          <w:numId w:val="242"/>
        </w:numPr>
        <w:rPr>
          <w:rFonts w:cs="Arial"/>
        </w:rPr>
      </w:pPr>
      <w:r w:rsidRPr="00422CA2">
        <w:rPr>
          <w:rFonts w:cs="Arial"/>
        </w:rPr>
        <w:t>En un plazo no mayor a 10 días hábiles (contabilizados a partir de la recepción de la solicitud del servicio) se enviará la cotización por el gasto de instalación del Anexo de Caja de Distribución, de la acometida hasta el pozo, e Instalación de cable multipar desde la tablilla del Anexo de Caja de Distribución hasta el cierre de empalme en el pozo.</w:t>
      </w:r>
    </w:p>
    <w:p w14:paraId="2D42CB9B" w14:textId="77777777" w:rsidR="00002F7F" w:rsidRPr="00422CA2" w:rsidRDefault="000E1DC3" w:rsidP="00A76C6A">
      <w:pPr>
        <w:pStyle w:val="IFTnormal"/>
        <w:numPr>
          <w:ilvl w:val="0"/>
          <w:numId w:val="242"/>
        </w:numPr>
        <w:rPr>
          <w:rFonts w:cs="Arial"/>
        </w:rPr>
      </w:pPr>
      <w:r w:rsidRPr="00422CA2">
        <w:rPr>
          <w:rFonts w:cs="Arial"/>
        </w:rPr>
        <w:t>El CS contará con 5 días hábiles para aceptar la cotización correspondiente al gasto de instalación Anexo de Caja de Distribución</w:t>
      </w:r>
      <w:r w:rsidRPr="00422CA2">
        <w:rPr>
          <w:rStyle w:val="Refdenotaalpie"/>
          <w:rFonts w:cs="Arial"/>
        </w:rPr>
        <w:footnoteReference w:id="53"/>
      </w:r>
      <w:r w:rsidRPr="00422CA2">
        <w:rPr>
          <w:rFonts w:cs="Arial"/>
        </w:rPr>
        <w:t xml:space="preserve">, </w:t>
      </w:r>
      <w:r w:rsidRPr="00422CA2">
        <w:rPr>
          <w:rFonts w:cs="Arial"/>
          <w:lang w:val="es-ES" w:eastAsia="es-MX"/>
        </w:rPr>
        <w:t>dentro de este plazo, el CS podrá analizar el presupuesto y solicitar aclaraciones a Telmex</w:t>
      </w:r>
      <w:r w:rsidRPr="00422CA2">
        <w:rPr>
          <w:rFonts w:cs="Arial"/>
        </w:rPr>
        <w:t>, de no recibirse el pago se entenderá que el CS rechazó el servicio.</w:t>
      </w:r>
    </w:p>
    <w:p w14:paraId="21764440" w14:textId="77777777" w:rsidR="00002F7F" w:rsidRPr="00422CA2" w:rsidRDefault="000E1DC3" w:rsidP="00A76C6A">
      <w:pPr>
        <w:pStyle w:val="IFTnormal"/>
        <w:numPr>
          <w:ilvl w:val="0"/>
          <w:numId w:val="242"/>
        </w:numPr>
        <w:rPr>
          <w:rFonts w:cs="Arial"/>
        </w:rPr>
      </w:pPr>
      <w:r w:rsidRPr="00422CA2">
        <w:rPr>
          <w:rFonts w:cs="Arial"/>
        </w:rPr>
        <w:t>Una vez aceptada la cotización, se iniciará la construcción del Anexo de Caja</w:t>
      </w:r>
      <w:r w:rsidRPr="00422CA2">
        <w:rPr>
          <w:rStyle w:val="Refdenotaalpie"/>
          <w:rFonts w:cs="Arial"/>
        </w:rPr>
        <w:footnoteReference w:id="54"/>
      </w:r>
      <w:r w:rsidRPr="00422CA2">
        <w:rPr>
          <w:rFonts w:cs="Arial"/>
        </w:rPr>
        <w:t>.</w:t>
      </w:r>
    </w:p>
    <w:p w14:paraId="4F4FFA16" w14:textId="77777777" w:rsidR="00002F7F" w:rsidRPr="00422CA2" w:rsidRDefault="000E1DC3" w:rsidP="00A76C6A">
      <w:pPr>
        <w:pStyle w:val="IFTnormal"/>
        <w:numPr>
          <w:ilvl w:val="0"/>
          <w:numId w:val="242"/>
        </w:numPr>
        <w:rPr>
          <w:rFonts w:cs="Arial"/>
        </w:rPr>
      </w:pPr>
      <w:r w:rsidRPr="00422CA2">
        <w:rPr>
          <w:rFonts w:cs="Arial"/>
        </w:rPr>
        <w:t>Cuando el servicio esté habilitado, en coordinación con el CS que solicitó el servicio se realizará la prueba de recepción, los resultados de la prueba se presentarán en el Sistema de Captura o en el SEG (cuando entre en operación), para que el CS pueda consultarlas. El servicio quedará habilitado en un plazo máximo de 23 días hábiles contabilizados a partir de ingresada la solicitud.</w:t>
      </w:r>
    </w:p>
    <w:p w14:paraId="6759614F" w14:textId="77777777" w:rsidR="00002F7F" w:rsidRPr="00422CA2" w:rsidRDefault="000E1DC3" w:rsidP="00A76C6A">
      <w:pPr>
        <w:pStyle w:val="IFTnormal"/>
        <w:numPr>
          <w:ilvl w:val="0"/>
          <w:numId w:val="242"/>
        </w:numPr>
        <w:rPr>
          <w:rFonts w:cs="Arial"/>
        </w:rPr>
      </w:pPr>
      <w:r w:rsidRPr="00422CA2">
        <w:rPr>
          <w:rFonts w:cs="Arial"/>
        </w:rPr>
        <w:t>Habiendo terminado la instalación de cableado multipar hasta el cierre de empalme ubicado en el pozo, el CS deberá iniciar con los trabajos de empalme de acuerdo a la posición de la tablilla en Anexo de Caja de Distribución asignada por Telmex</w:t>
      </w:r>
      <w:r w:rsidR="00002F7F" w:rsidRPr="00422CA2">
        <w:rPr>
          <w:rFonts w:cs="Arial"/>
        </w:rPr>
        <w:t>.</w:t>
      </w:r>
    </w:p>
    <w:p w14:paraId="4E2588C0" w14:textId="6AF6F720" w:rsidR="000E1DC3" w:rsidRPr="00422CA2" w:rsidRDefault="000E1DC3" w:rsidP="00A76C6A">
      <w:pPr>
        <w:pStyle w:val="IFTnormal"/>
        <w:numPr>
          <w:ilvl w:val="0"/>
          <w:numId w:val="242"/>
        </w:numPr>
        <w:rPr>
          <w:rFonts w:cs="Arial"/>
        </w:rPr>
      </w:pPr>
      <w:r w:rsidRPr="00422CA2">
        <w:rPr>
          <w:rFonts w:cs="Arial"/>
        </w:rPr>
        <w:t xml:space="preserve">Al corte del mes se realizará la facturación de la renta correspondiente. </w:t>
      </w:r>
    </w:p>
    <w:p w14:paraId="332E75D3" w14:textId="77777777" w:rsidR="000E1DC3" w:rsidRPr="00422CA2" w:rsidRDefault="000E1DC3" w:rsidP="000E1DC3">
      <w:pPr>
        <w:pStyle w:val="IFTnormal"/>
        <w:rPr>
          <w:b/>
        </w:rPr>
      </w:pPr>
      <w:r w:rsidRPr="00422CA2">
        <w:rPr>
          <w:b/>
        </w:rPr>
        <w:t>Procedimiento de Contratación y Entrega cuando ya Existe un Pozo Multiconcesionario y un Anexo de Caja de Distribución para Desagregación:</w:t>
      </w:r>
    </w:p>
    <w:p w14:paraId="186AF9DE" w14:textId="77777777" w:rsidR="000E1DC3" w:rsidRPr="00422CA2" w:rsidRDefault="000E1DC3" w:rsidP="000E1DC3">
      <w:pPr>
        <w:pStyle w:val="IFTnormal"/>
        <w:rPr>
          <w:rFonts w:cs="Arial"/>
        </w:rPr>
      </w:pPr>
      <w:r w:rsidRPr="00422CA2">
        <w:rPr>
          <w:rFonts w:cs="Arial"/>
          <w:lang w:val="es-ES" w:eastAsia="es-MX"/>
        </w:rPr>
        <w:t xml:space="preserve">El objetivo y alcance de este procedimiento es definir los pasos y actividades a desarrollar por parte de Telmex y el CS, a fin de realizar la contratación y entrega del Anexo de Caja de Distribución cuando existe pozo multiconcesionario; las fases </w:t>
      </w:r>
      <w:r w:rsidRPr="00422CA2">
        <w:rPr>
          <w:rFonts w:cs="Arial"/>
          <w:lang w:val="es-ES" w:eastAsia="es-MX"/>
        </w:rPr>
        <w:lastRenderedPageBreak/>
        <w:t xml:space="preserve">en que se divide este procedimiento son: (i) Entrega y validación de la solicitud para que el CS manifieste su intención de contratar el servicio y la validación por parte de Telmex de que la solicitud cuenta con todos los elementos para la contratación del servicio; (ii) </w:t>
      </w:r>
      <w:r w:rsidRPr="00422CA2">
        <w:rPr>
          <w:rFonts w:cs="Arial"/>
        </w:rPr>
        <w:t>Análisis de Factibilidad técnica a fin de que Telmex pueda verificar que cuenta con los elementos para brindar el servicio solicitado; (iii) Coordinación para la instalación del cableado multipar y trabajos de empalme;  y (iv) Habilitación del servicio solicitado, que detonará los procesos de pruebas de entrega y facturación. El CS deberá presentar solicitud en el formato correspondiente a través del Sistema de Captura, o del SEG una vez que entre en operación.</w:t>
      </w:r>
    </w:p>
    <w:p w14:paraId="00CCEC61" w14:textId="77777777" w:rsidR="00002F7F" w:rsidRPr="00422CA2" w:rsidRDefault="000E1DC3" w:rsidP="00A76C6A">
      <w:pPr>
        <w:pStyle w:val="IFTnormal"/>
        <w:numPr>
          <w:ilvl w:val="0"/>
          <w:numId w:val="244"/>
        </w:numPr>
        <w:rPr>
          <w:rFonts w:cs="Arial"/>
        </w:rPr>
      </w:pPr>
      <w:r w:rsidRPr="00422CA2">
        <w:rPr>
          <w:rFonts w:cs="Arial"/>
        </w:rPr>
        <w:t>La solicitud del CS será validada en un plazo máximo de 1 día hábil, se dará seguimiento a la solicitud con un folio hasta que se asigne un NIS, si la solicitud no cumple con la información correspondiente, será devuelta al CS y se reiniciará el procedimiento.</w:t>
      </w:r>
    </w:p>
    <w:p w14:paraId="7E861C12" w14:textId="5094E8FA" w:rsidR="000E1DC3" w:rsidRPr="00422CA2" w:rsidRDefault="000E1DC3" w:rsidP="00A76C6A">
      <w:pPr>
        <w:pStyle w:val="IFTnormal"/>
        <w:numPr>
          <w:ilvl w:val="0"/>
          <w:numId w:val="244"/>
        </w:numPr>
        <w:rPr>
          <w:rFonts w:cs="Arial"/>
        </w:rPr>
      </w:pPr>
      <w:r w:rsidRPr="00422CA2">
        <w:rPr>
          <w:rFonts w:cs="Arial"/>
        </w:rPr>
        <w:t>Después de haber sido validada la solicitud, se verificará la factibilidad técnica en un plazo máximo de 5 días hábiles, se responderá conforme a lo siguiente:</w:t>
      </w:r>
    </w:p>
    <w:p w14:paraId="3992FF4D" w14:textId="77777777" w:rsidR="00002F7F" w:rsidRPr="00422CA2" w:rsidRDefault="000E1DC3" w:rsidP="002B6509">
      <w:pPr>
        <w:pStyle w:val="IFTnormal"/>
        <w:numPr>
          <w:ilvl w:val="0"/>
          <w:numId w:val="245"/>
        </w:numPr>
        <w:ind w:left="1276"/>
        <w:rPr>
          <w:rFonts w:cs="Arial"/>
        </w:rPr>
      </w:pPr>
      <w:r w:rsidRPr="00422CA2">
        <w:rPr>
          <w:rFonts w:cs="Arial"/>
        </w:rPr>
        <w:t>Es factible.</w:t>
      </w:r>
    </w:p>
    <w:p w14:paraId="07A7DE02" w14:textId="77777777" w:rsidR="00002F7F" w:rsidRPr="00422CA2" w:rsidRDefault="000E1DC3" w:rsidP="002B6509">
      <w:pPr>
        <w:pStyle w:val="IFTnormal"/>
        <w:numPr>
          <w:ilvl w:val="0"/>
          <w:numId w:val="245"/>
        </w:numPr>
        <w:ind w:left="1276"/>
        <w:rPr>
          <w:rFonts w:cs="Arial"/>
        </w:rPr>
      </w:pPr>
      <w:r w:rsidRPr="00422CA2">
        <w:rPr>
          <w:rFonts w:cs="Arial"/>
        </w:rPr>
        <w:t>Es factible parcialmente, se proporcionará al CS la cotización por la disponibilidad existente.</w:t>
      </w:r>
    </w:p>
    <w:p w14:paraId="66D98665" w14:textId="4DFC9E2F" w:rsidR="000E1DC3" w:rsidRPr="00422CA2" w:rsidRDefault="000E1DC3" w:rsidP="002B6509">
      <w:pPr>
        <w:pStyle w:val="IFTnormal"/>
        <w:numPr>
          <w:ilvl w:val="0"/>
          <w:numId w:val="245"/>
        </w:numPr>
        <w:ind w:left="1276"/>
        <w:rPr>
          <w:rFonts w:cs="Arial"/>
        </w:rPr>
      </w:pPr>
      <w:r w:rsidRPr="00422CA2">
        <w:rPr>
          <w:rFonts w:cs="Arial"/>
        </w:rPr>
        <w:t>Si no existe disponibilidad, se presentará al CS, a través del SC o del SEG, la justificación de los motivos descritos en el apartado 1.4 relativo a los recursos de red asociados a los servicios, así como las evidencias correspondientes (reporte fotográfico).</w:t>
      </w:r>
    </w:p>
    <w:p w14:paraId="6D66AE07" w14:textId="77777777" w:rsidR="00A76C6A" w:rsidRPr="00422CA2" w:rsidRDefault="000E1DC3" w:rsidP="00A76C6A">
      <w:pPr>
        <w:pStyle w:val="IFTnormal"/>
        <w:numPr>
          <w:ilvl w:val="0"/>
          <w:numId w:val="244"/>
        </w:numPr>
        <w:rPr>
          <w:rFonts w:cs="Arial"/>
        </w:rPr>
      </w:pPr>
      <w:r w:rsidRPr="00422CA2">
        <w:rPr>
          <w:rFonts w:cs="Arial"/>
        </w:rPr>
        <w:t>En un plazo no mayor a 5 días hábiles se enviará la cotización por el gasto de instalación del Anexo de Caja de Distribución, la tablilla en Anexo de Caja e instalación de cable hasta el cierre de empalme en el pozo.</w:t>
      </w:r>
    </w:p>
    <w:p w14:paraId="4CADB0B1" w14:textId="77777777" w:rsidR="00A76C6A" w:rsidRPr="00422CA2" w:rsidRDefault="000E1DC3" w:rsidP="00A76C6A">
      <w:pPr>
        <w:pStyle w:val="IFTnormal"/>
        <w:numPr>
          <w:ilvl w:val="0"/>
          <w:numId w:val="244"/>
        </w:numPr>
        <w:rPr>
          <w:rFonts w:cs="Arial"/>
        </w:rPr>
      </w:pPr>
      <w:r w:rsidRPr="00422CA2">
        <w:rPr>
          <w:rFonts w:cs="Arial"/>
        </w:rPr>
        <w:t>El CS contará con 5 días hábiles para aceptar la cotización correspondiente al gasto de instalación del Anexo de Caja de Distribución</w:t>
      </w:r>
      <w:r w:rsidRPr="00422CA2">
        <w:rPr>
          <w:vertAlign w:val="superscript"/>
        </w:rPr>
        <w:footnoteReference w:id="55"/>
      </w:r>
      <w:r w:rsidRPr="00422CA2">
        <w:rPr>
          <w:rFonts w:cs="Arial"/>
        </w:rPr>
        <w:t>, dentro de este plazo, el CS podrá analizar el presupuesto y solicitar aclaraciones a Telmex, de no recibirse el pago se entenderá que el CS rechazó el servicio.</w:t>
      </w:r>
    </w:p>
    <w:p w14:paraId="59C2FCF2" w14:textId="77777777" w:rsidR="00A76C6A" w:rsidRPr="00422CA2" w:rsidRDefault="000E1DC3" w:rsidP="00A76C6A">
      <w:pPr>
        <w:pStyle w:val="IFTnormal"/>
        <w:numPr>
          <w:ilvl w:val="0"/>
          <w:numId w:val="244"/>
        </w:numPr>
        <w:rPr>
          <w:rFonts w:cs="Arial"/>
        </w:rPr>
      </w:pPr>
      <w:r w:rsidRPr="00422CA2">
        <w:rPr>
          <w:rFonts w:cs="Arial"/>
        </w:rPr>
        <w:lastRenderedPageBreak/>
        <w:t>Una vez aceptada la cotización, se iniciará la instalación de la tablilla y del cableado desde la tablilla del Anexo de Caja de Distribución hasta el cierre de empalme ubicado en el pozo multiconcesionario. Cuando el servicio esté habilitado, en coordinación con el CS que solicitó el servicio se realizará la prueba de recepción, los resultados de la prueba se presentarán en el Sistema de Captura o en el SEG cuando entre en operación, para que el CS pueda consultarlas. El servicio quedará habilitado en un plazo máximo de 15 días hábiles contabilizado a partir de ingresada la solicitud.</w:t>
      </w:r>
    </w:p>
    <w:p w14:paraId="5BA0F8A5" w14:textId="77777777" w:rsidR="00A76C6A" w:rsidRPr="00422CA2" w:rsidRDefault="000E1DC3" w:rsidP="00A76C6A">
      <w:pPr>
        <w:pStyle w:val="IFTnormal"/>
        <w:numPr>
          <w:ilvl w:val="0"/>
          <w:numId w:val="244"/>
        </w:numPr>
        <w:rPr>
          <w:rFonts w:cs="Arial"/>
        </w:rPr>
      </w:pPr>
      <w:r w:rsidRPr="00422CA2">
        <w:rPr>
          <w:rFonts w:cs="Arial"/>
        </w:rPr>
        <w:t>Habiendo terminado la instalación de cableado multipar hasta el cierre de empalme ubicado en el pozo, el CS deberá iniciar con los trabajos de empalme de acuerdo a la posición de la tablilla en Anexo de Caja de Distribución asignada por Telmex.</w:t>
      </w:r>
    </w:p>
    <w:p w14:paraId="02BA842E" w14:textId="496FB825" w:rsidR="000E1DC3" w:rsidRPr="00422CA2" w:rsidRDefault="000E1DC3" w:rsidP="00A76C6A">
      <w:pPr>
        <w:pStyle w:val="IFTnormal"/>
        <w:numPr>
          <w:ilvl w:val="0"/>
          <w:numId w:val="244"/>
        </w:numPr>
        <w:rPr>
          <w:rFonts w:cs="Arial"/>
        </w:rPr>
      </w:pPr>
      <w:r w:rsidRPr="00422CA2">
        <w:rPr>
          <w:rFonts w:cs="Arial"/>
        </w:rPr>
        <w:t xml:space="preserve">Al corte del mes se realizará la facturación de la renta correspondiente. </w:t>
      </w:r>
    </w:p>
    <w:p w14:paraId="2B91372B" w14:textId="77777777" w:rsidR="000E1DC3" w:rsidRPr="00422CA2" w:rsidRDefault="000E1DC3" w:rsidP="000E1DC3">
      <w:pPr>
        <w:pStyle w:val="IFTnormal"/>
        <w:rPr>
          <w:b/>
        </w:rPr>
      </w:pPr>
      <w:r w:rsidRPr="00422CA2">
        <w:rPr>
          <w:b/>
        </w:rPr>
        <w:t xml:space="preserve">Baja del servicio de Anexo de Caja: </w:t>
      </w:r>
    </w:p>
    <w:p w14:paraId="7CFE35E6" w14:textId="77777777" w:rsidR="000E1DC3" w:rsidRPr="00422CA2" w:rsidRDefault="000E1DC3" w:rsidP="000E1DC3">
      <w:pPr>
        <w:pStyle w:val="IFTnormal"/>
        <w:rPr>
          <w:rFonts w:cs="Arial"/>
          <w:b/>
          <w:lang w:val="es-ES" w:eastAsia="es-MX"/>
        </w:rPr>
      </w:pPr>
      <w:r w:rsidRPr="00422CA2">
        <w:rPr>
          <w:rFonts w:cs="Arial"/>
          <w:lang w:val="es-ES" w:eastAsia="es-MX"/>
        </w:rPr>
        <w:t xml:space="preserve">El objetivo y alcance de este procedimiento es definir los pasos y actividades a desarrollar por parte de Telmex y del CS, a fin de realizar la baja de los servicios de Anexo de Caja de Distribución; las fases en que se divide este procedimiento son: (i) Entrega y validación de la solicitud para que el CS manifieste su intención de dar de baja los servicios, y la validación por parte de Telmex de que la solicitud cuenta con todos los elementos; </w:t>
      </w:r>
      <w:r w:rsidRPr="00422CA2">
        <w:rPr>
          <w:rFonts w:cs="Arial"/>
        </w:rPr>
        <w:t>y (ii) Baja del servicio y de la facturación correspondiente.</w:t>
      </w:r>
    </w:p>
    <w:p w14:paraId="6E94D322" w14:textId="77777777" w:rsidR="00A76C6A" w:rsidRPr="00422CA2" w:rsidRDefault="000E1DC3" w:rsidP="00A76C6A">
      <w:pPr>
        <w:pStyle w:val="IFTnormal"/>
        <w:numPr>
          <w:ilvl w:val="0"/>
          <w:numId w:val="246"/>
        </w:numPr>
        <w:rPr>
          <w:rFonts w:cs="Arial"/>
          <w:lang w:eastAsia="es-MX"/>
        </w:rPr>
      </w:pPr>
      <w:r w:rsidRPr="00422CA2">
        <w:rPr>
          <w:rFonts w:cs="Arial"/>
          <w:lang w:eastAsia="es-MX"/>
        </w:rPr>
        <w:t>Para dar de baja el servicio el CS deberá ingresar la solicitud en el formato correspondiente a través del Sistema de Captura, o del SEG una vez que entre en operación,</w:t>
      </w:r>
      <w:r w:rsidRPr="00422CA2">
        <w:rPr>
          <w:rFonts w:cs="Arial"/>
        </w:rPr>
        <w:t xml:space="preserve"> </w:t>
      </w:r>
      <w:r w:rsidRPr="00422CA2">
        <w:rPr>
          <w:rFonts w:cs="Arial"/>
          <w:lang w:eastAsia="es-MX"/>
        </w:rPr>
        <w:t>indicando el NIS</w:t>
      </w:r>
      <w:r w:rsidRPr="00422CA2">
        <w:t>-Referencia</w:t>
      </w:r>
      <w:r w:rsidRPr="00422CA2">
        <w:rPr>
          <w:rFonts w:cs="Arial"/>
          <w:lang w:eastAsia="es-MX"/>
        </w:rPr>
        <w:t xml:space="preserve"> del servicio en operación.</w:t>
      </w:r>
    </w:p>
    <w:p w14:paraId="30946EF7" w14:textId="5E74AB79" w:rsidR="000E1DC3" w:rsidRPr="00422CA2" w:rsidRDefault="000E1DC3" w:rsidP="00A76C6A">
      <w:pPr>
        <w:pStyle w:val="IFTnormal"/>
        <w:numPr>
          <w:ilvl w:val="0"/>
          <w:numId w:val="246"/>
        </w:numPr>
        <w:rPr>
          <w:rFonts w:cs="Arial"/>
          <w:lang w:eastAsia="es-MX"/>
        </w:rPr>
      </w:pPr>
      <w:r w:rsidRPr="00422CA2">
        <w:rPr>
          <w:rFonts w:cs="Arial"/>
          <w:lang w:eastAsia="es-MX"/>
        </w:rPr>
        <w:t>Se validará que la solicitud cumpla con la información de los formatos y en un plazo máximo de 1 día hábil se contestará conforme a lo siguiente:</w:t>
      </w:r>
    </w:p>
    <w:p w14:paraId="10978D7E" w14:textId="77777777" w:rsidR="00A76C6A" w:rsidRPr="00422CA2" w:rsidRDefault="000E1DC3" w:rsidP="002B6509">
      <w:pPr>
        <w:pStyle w:val="IFTnormal"/>
        <w:numPr>
          <w:ilvl w:val="0"/>
          <w:numId w:val="247"/>
        </w:numPr>
        <w:ind w:left="1134"/>
        <w:rPr>
          <w:rFonts w:cs="Arial"/>
        </w:rPr>
      </w:pPr>
      <w:r w:rsidRPr="00422CA2">
        <w:rPr>
          <w:rFonts w:cs="Arial"/>
        </w:rPr>
        <w:t xml:space="preserve">Si la solicitud cumple con lo establecido se dará seguimiento con un Número </w:t>
      </w:r>
      <w:r w:rsidR="00A76C6A" w:rsidRPr="00422CA2">
        <w:rPr>
          <w:rFonts w:cs="Arial"/>
        </w:rPr>
        <w:t>de Identificación de Solicitud.</w:t>
      </w:r>
    </w:p>
    <w:p w14:paraId="2DBA6621" w14:textId="211BCC9A" w:rsidR="000E1DC3" w:rsidRPr="00422CA2" w:rsidRDefault="000E1DC3" w:rsidP="002B6509">
      <w:pPr>
        <w:pStyle w:val="IFTnormal"/>
        <w:numPr>
          <w:ilvl w:val="0"/>
          <w:numId w:val="247"/>
        </w:numPr>
        <w:ind w:left="1134"/>
        <w:rPr>
          <w:rFonts w:cs="Arial"/>
        </w:rPr>
      </w:pPr>
      <w:r w:rsidRPr="00422CA2">
        <w:rPr>
          <w:rFonts w:cs="Arial"/>
        </w:rPr>
        <w:t xml:space="preserve">Si la información no cumple con lo establecido será devuelta al CS </w:t>
      </w:r>
      <w:r w:rsidRPr="00422CA2">
        <w:rPr>
          <w:lang w:val="es-ES"/>
        </w:rPr>
        <w:t>para que sea corregida y reenviada a Telmex a fin de que vuelva a ser validada.</w:t>
      </w:r>
    </w:p>
    <w:p w14:paraId="3EAB1DC7" w14:textId="77777777" w:rsidR="00A76C6A" w:rsidRPr="00422CA2" w:rsidRDefault="000E1DC3" w:rsidP="00A76C6A">
      <w:pPr>
        <w:pStyle w:val="IFTnormal"/>
        <w:numPr>
          <w:ilvl w:val="0"/>
          <w:numId w:val="246"/>
        </w:numPr>
        <w:rPr>
          <w:rFonts w:cs="Arial"/>
          <w:lang w:eastAsia="es-MX"/>
        </w:rPr>
      </w:pPr>
      <w:r w:rsidRPr="00422CA2">
        <w:rPr>
          <w:rFonts w:cs="Arial"/>
          <w:lang w:eastAsia="es-MX"/>
        </w:rPr>
        <w:t>Una vez asignado el NIS se dará de baja el servicio correspondiente y se dejará de facturar la renta del servicio en un plazo máximo de 1 días hábiles.</w:t>
      </w:r>
    </w:p>
    <w:p w14:paraId="7A06D875" w14:textId="77777777" w:rsidR="00A76C6A" w:rsidRPr="00422CA2" w:rsidRDefault="000E1DC3" w:rsidP="00A76C6A">
      <w:pPr>
        <w:pStyle w:val="IFTnormal"/>
        <w:numPr>
          <w:ilvl w:val="0"/>
          <w:numId w:val="246"/>
        </w:numPr>
        <w:rPr>
          <w:rFonts w:cs="Arial"/>
          <w:lang w:eastAsia="es-MX"/>
        </w:rPr>
      </w:pPr>
      <w:r w:rsidRPr="00422CA2">
        <w:rPr>
          <w:rFonts w:cs="Arial"/>
          <w:lang w:eastAsia="es-MX"/>
        </w:rPr>
        <w:lastRenderedPageBreak/>
        <w:t>En un plazo máximo de 2 días hábiles a partir de la solicitud de baja, Telmex dejará de generar nuevos cargos al CS por el servicio.</w:t>
      </w:r>
    </w:p>
    <w:p w14:paraId="51510378" w14:textId="0DE93EA1" w:rsidR="000E1DC3" w:rsidRPr="00422CA2" w:rsidRDefault="000E1DC3" w:rsidP="00A76C6A">
      <w:pPr>
        <w:pStyle w:val="IFTnormal"/>
        <w:numPr>
          <w:ilvl w:val="0"/>
          <w:numId w:val="246"/>
        </w:numPr>
        <w:rPr>
          <w:rFonts w:cs="Arial"/>
          <w:lang w:eastAsia="es-MX"/>
        </w:rPr>
      </w:pPr>
      <w:r w:rsidRPr="00422CA2">
        <w:rPr>
          <w:rFonts w:cs="Arial"/>
          <w:lang w:eastAsia="es-MX"/>
        </w:rPr>
        <w:t xml:space="preserve">Telmex procederá al retiro de los puentes en el Anexo de Caja, sin responsabilidad alguna sobre cualquier servicio que hubiera quedado activo del </w:t>
      </w:r>
      <w:r w:rsidR="00DE3AEB" w:rsidRPr="00422CA2">
        <w:rPr>
          <w:rFonts w:cs="Arial"/>
          <w:lang w:eastAsia="es-MX"/>
        </w:rPr>
        <w:t>CS</w:t>
      </w:r>
      <w:r w:rsidRPr="00422CA2">
        <w:rPr>
          <w:rFonts w:cs="Arial"/>
          <w:lang w:eastAsia="es-MX"/>
        </w:rPr>
        <w:t xml:space="preserve"> que dio de baja los servicios. </w:t>
      </w:r>
    </w:p>
    <w:p w14:paraId="2BFEF427" w14:textId="77777777" w:rsidR="000E1DC3" w:rsidRPr="00422CA2" w:rsidRDefault="000E1DC3" w:rsidP="000E1DC3">
      <w:pPr>
        <w:pStyle w:val="IFTnormal"/>
        <w:rPr>
          <w:rFonts w:cs="Arial"/>
          <w:lang w:eastAsia="es-MX"/>
        </w:rPr>
      </w:pPr>
      <w:r w:rsidRPr="00422CA2">
        <w:rPr>
          <w:rFonts w:cs="Arial"/>
          <w:lang w:eastAsia="es-MX"/>
        </w:rPr>
        <w:t>Nota:</w:t>
      </w:r>
    </w:p>
    <w:p w14:paraId="043AC6F5" w14:textId="6EE942AC" w:rsidR="000E1DC3" w:rsidRPr="00422CA2" w:rsidRDefault="000E1DC3" w:rsidP="000E1DC3">
      <w:pPr>
        <w:pStyle w:val="IFTnormal"/>
        <w:rPr>
          <w:rFonts w:cs="Arial"/>
          <w:lang w:eastAsia="es-MX"/>
        </w:rPr>
      </w:pPr>
      <w:r w:rsidRPr="00422CA2">
        <w:rPr>
          <w:rFonts w:cs="Arial"/>
          <w:lang w:eastAsia="es-MX"/>
        </w:rPr>
        <w:t>El CS deberá tomar en cuenta que no existe el esquema de rentas parciales sino sólo de rentas mensuales, por lo que no será posible realizar cobros parciales de los servicios.</w:t>
      </w:r>
    </w:p>
    <w:p w14:paraId="5F967204" w14:textId="77777777" w:rsidR="00377455" w:rsidRPr="00422CA2" w:rsidRDefault="00377455" w:rsidP="00586B55">
      <w:pPr>
        <w:pStyle w:val="Ttulo1"/>
      </w:pPr>
      <w:bookmarkStart w:id="738" w:name="_Toc437602132"/>
      <w:r w:rsidRPr="00422CA2">
        <w:t>9.3</w:t>
      </w:r>
      <w:r w:rsidRPr="00422CA2">
        <w:tab/>
        <w:t>Plazos de Entrega del Anexo de Caja de Distribución</w:t>
      </w:r>
      <w:bookmarkEnd w:id="738"/>
    </w:p>
    <w:p w14:paraId="4E857662" w14:textId="78DA553C" w:rsidR="00377455" w:rsidRPr="00422CA2" w:rsidRDefault="00377455" w:rsidP="00E12D30">
      <w:pPr>
        <w:pStyle w:val="IFTnormal"/>
        <w:numPr>
          <w:ilvl w:val="4"/>
          <w:numId w:val="49"/>
        </w:numPr>
        <w:ind w:left="851"/>
      </w:pPr>
      <w:r w:rsidRPr="00422CA2">
        <w:t>Validación de la Solicitud</w:t>
      </w:r>
      <w:r w:rsidR="009034CE" w:rsidRPr="00422CA2">
        <w:t xml:space="preserve"> junto con verificación de factibilidad</w:t>
      </w:r>
      <w:r w:rsidRPr="00422CA2">
        <w:t xml:space="preserve">: </w:t>
      </w:r>
      <w:r w:rsidR="009034CE" w:rsidRPr="00422CA2">
        <w:t>máximo 4</w:t>
      </w:r>
      <w:r w:rsidRPr="00422CA2">
        <w:t xml:space="preserve"> día</w:t>
      </w:r>
      <w:r w:rsidR="009034CE" w:rsidRPr="00422CA2">
        <w:t>s</w:t>
      </w:r>
      <w:r w:rsidRPr="00422CA2">
        <w:t xml:space="preserve"> hábil</w:t>
      </w:r>
      <w:r w:rsidR="009034CE" w:rsidRPr="00422CA2">
        <w:t>es</w:t>
      </w:r>
      <w:r w:rsidRPr="00422CA2">
        <w:t>.</w:t>
      </w:r>
    </w:p>
    <w:p w14:paraId="711B7AB2" w14:textId="6B04E54A" w:rsidR="00AC50E9" w:rsidRPr="00422CA2" w:rsidRDefault="00AC50E9" w:rsidP="00E12D30">
      <w:pPr>
        <w:pStyle w:val="IFTnormal"/>
        <w:numPr>
          <w:ilvl w:val="4"/>
          <w:numId w:val="49"/>
        </w:numPr>
        <w:ind w:left="851"/>
      </w:pPr>
      <w:r w:rsidRPr="00422CA2">
        <w:t>Entrega del Servicio Auxiliar de Anexo de Caja de Distribución (Pozo Multiconcesionario construido por CS ó arrendamiento de Pozo): 23 días hábiles que se contabilizarán a partir de la solicitud.</w:t>
      </w:r>
    </w:p>
    <w:p w14:paraId="463EEA7C" w14:textId="35DD49E2" w:rsidR="00AC50E9" w:rsidRPr="00422CA2" w:rsidRDefault="00AC50E9" w:rsidP="00E12D30">
      <w:pPr>
        <w:pStyle w:val="IFTnormal"/>
        <w:numPr>
          <w:ilvl w:val="4"/>
          <w:numId w:val="49"/>
        </w:numPr>
        <w:ind w:left="851"/>
      </w:pPr>
      <w:r w:rsidRPr="00422CA2">
        <w:t xml:space="preserve">Entrega del Servicio Auxiliar de Anexo de Caja de Distribución (ya existe Pozo Multiconcesionario): 15 días hábiles que se contabilizarán a partir de la solicitud. </w:t>
      </w:r>
    </w:p>
    <w:p w14:paraId="12480993" w14:textId="056842A4" w:rsidR="00377455" w:rsidRPr="00422CA2" w:rsidRDefault="00377455" w:rsidP="00E12D30">
      <w:pPr>
        <w:pStyle w:val="IFTnormal"/>
        <w:numPr>
          <w:ilvl w:val="4"/>
          <w:numId w:val="49"/>
        </w:numPr>
        <w:ind w:left="851"/>
      </w:pPr>
      <w:r w:rsidRPr="00422CA2">
        <w:t>Entrega del servicio de Contratación de Anexo de Caja y Trabajo Especial para Construcción de Pozo: Trabajo Especial.</w:t>
      </w:r>
    </w:p>
    <w:p w14:paraId="29F5E0ED" w14:textId="77777777" w:rsidR="008A3A5E" w:rsidRPr="00422CA2" w:rsidRDefault="008A3A5E" w:rsidP="00586B55">
      <w:pPr>
        <w:pStyle w:val="Ttulo1"/>
      </w:pPr>
      <w:bookmarkStart w:id="739" w:name="_Toc437602133"/>
      <w:r w:rsidRPr="00422CA2">
        <w:t>9.4</w:t>
      </w:r>
      <w:r w:rsidRPr="00422CA2">
        <w:tab/>
        <w:t>Parámetros e Indicadores de Calidad para el Anexo de Caja de Distribución</w:t>
      </w:r>
      <w:bookmarkEnd w:id="739"/>
    </w:p>
    <w:p w14:paraId="3918BF37" w14:textId="77777777" w:rsidR="008A3A5E" w:rsidRPr="00422CA2" w:rsidRDefault="008A3A5E" w:rsidP="008A3A5E">
      <w:pPr>
        <w:pStyle w:val="IFTnormal"/>
      </w:pPr>
      <w:r w:rsidRPr="00422CA2">
        <w:t>En esta sección se muestran los parámetros e indicadores de calidad referentes a la provisión, continuidad y atención de fallas del Servicio de Anexo de Caja de Distribución. Estos parámetros e indicadores corresponden a los utilizados en la propia operación de Telmex, y se medirán con una periodicidad trimestral por cada uno de los CS.</w:t>
      </w:r>
    </w:p>
    <w:p w14:paraId="056C73C8" w14:textId="77777777" w:rsidR="008A3A5E" w:rsidRPr="00422CA2" w:rsidRDefault="008A3A5E" w:rsidP="008A3A5E">
      <w:pPr>
        <w:pStyle w:val="IFTnormal"/>
        <w:rPr>
          <w:b/>
        </w:rPr>
      </w:pPr>
      <w:r w:rsidRPr="00422CA2">
        <w:rPr>
          <w:b/>
        </w:rPr>
        <w:t>Parámetros e Indicadores para Provisión del Servicio</w:t>
      </w:r>
    </w:p>
    <w:p w14:paraId="2CA2681E" w14:textId="77777777" w:rsidR="008A3A5E" w:rsidRPr="00422CA2" w:rsidRDefault="008A3A5E" w:rsidP="008A3A5E">
      <w:pPr>
        <w:pStyle w:val="IFTnormal"/>
      </w:pPr>
      <w:r w:rsidRPr="00422CA2">
        <w:t>En lo referente a la provisión de los servicios (validación de la solicitud, verificación de factibilidad y habilitación), se tienen los siguientes indicadores:</w:t>
      </w:r>
    </w:p>
    <w:p w14:paraId="6D812408" w14:textId="5182186C" w:rsidR="00AC50E9" w:rsidRPr="00422CA2" w:rsidRDefault="00AC50E9" w:rsidP="00E12D30">
      <w:pPr>
        <w:pStyle w:val="IFTnormal"/>
        <w:numPr>
          <w:ilvl w:val="4"/>
          <w:numId w:val="49"/>
        </w:numPr>
        <w:ind w:left="851"/>
      </w:pPr>
      <w:r w:rsidRPr="00422CA2">
        <w:lastRenderedPageBreak/>
        <w:t>Validación de la solicitud junto con validación de la factibilidad: 90% de las solicitudes en máximo de 4 días hábiles. El 10% restante en un máximo de 6 días hábiles.</w:t>
      </w:r>
    </w:p>
    <w:p w14:paraId="0E503EA5" w14:textId="378F5EE9" w:rsidR="00AC50E9" w:rsidRPr="00422CA2" w:rsidRDefault="00AC50E9" w:rsidP="00E12D30">
      <w:pPr>
        <w:pStyle w:val="IFTnormal"/>
        <w:numPr>
          <w:ilvl w:val="4"/>
          <w:numId w:val="49"/>
        </w:numPr>
        <w:ind w:left="851"/>
      </w:pPr>
      <w:r w:rsidRPr="00422CA2">
        <w:t>Habilitación de Servicio Auxiliar de Anexo de Caja de Distribución (Pozo Multiconcesionario construido por CS ó arrendamiento de Pozo): 90% en máximo 23 días hábiles. El 10% restante en un máximo de 35 días hábiles.</w:t>
      </w:r>
    </w:p>
    <w:p w14:paraId="377FFD9C" w14:textId="2B54D68F" w:rsidR="00AC50E9" w:rsidRPr="00422CA2" w:rsidRDefault="00AC50E9" w:rsidP="00E12D30">
      <w:pPr>
        <w:pStyle w:val="IFTnormal"/>
        <w:numPr>
          <w:ilvl w:val="4"/>
          <w:numId w:val="49"/>
        </w:numPr>
        <w:ind w:left="851"/>
      </w:pPr>
      <w:r w:rsidRPr="00422CA2">
        <w:t>Porcentaje de Habilitación de Servicio Auxiliar de Anexo de Caja de Distribución (ya existe Pozo Multiconcesionario): 90% en máximo 15 días hábiles. El 10% restante en un máximo de 23 días hábiles.</w:t>
      </w:r>
    </w:p>
    <w:p w14:paraId="44310FF4" w14:textId="77777777" w:rsidR="008A3A5E" w:rsidRPr="00422CA2" w:rsidRDefault="008A3A5E" w:rsidP="008A3A5E">
      <w:pPr>
        <w:pStyle w:val="IFTnormal"/>
      </w:pPr>
      <w:r w:rsidRPr="00422CA2">
        <w:t>Metodología</w:t>
      </w:r>
    </w:p>
    <w:p w14:paraId="293DEC04" w14:textId="77777777" w:rsidR="008A3A5E" w:rsidRPr="00422CA2" w:rsidRDefault="008A3A5E" w:rsidP="008A3A5E">
      <w:pPr>
        <w:pStyle w:val="IFTnormal"/>
      </w:pPr>
      <w:r w:rsidRPr="00422CA2">
        <w:t>Para realizar la medición de los indicadores presentados, se descontarán los plazos de entrega señalados en la sección 9.3 de este documento de los días totales utilizados para la realización de dicha actividad, considerando como inicio del proceso el día en que se solicitó el servicio por parte del CS.</w:t>
      </w:r>
    </w:p>
    <w:p w14:paraId="47943044" w14:textId="77777777" w:rsidR="008A3A5E" w:rsidRPr="00422CA2" w:rsidRDefault="008A3A5E" w:rsidP="008A3A5E">
      <w:pPr>
        <w:pStyle w:val="IFTnormal"/>
      </w:pPr>
      <w:r w:rsidRPr="00422CA2">
        <w:t>Parámetros e Indicadores para Reparación de Fallas</w:t>
      </w:r>
    </w:p>
    <w:p w14:paraId="1B0C803D" w14:textId="21CD02AF" w:rsidR="008A3A5E" w:rsidRPr="00422CA2" w:rsidRDefault="008A3A5E" w:rsidP="00E12D30">
      <w:pPr>
        <w:pStyle w:val="IFTnormal"/>
        <w:numPr>
          <w:ilvl w:val="4"/>
          <w:numId w:val="49"/>
        </w:numPr>
        <w:ind w:left="851"/>
      </w:pPr>
      <w:r w:rsidRPr="00422CA2">
        <w:t>80% de reparación en el mismo día hábil</w:t>
      </w:r>
    </w:p>
    <w:p w14:paraId="49A06E57" w14:textId="26B6B703" w:rsidR="008A3A5E" w:rsidRPr="00422CA2" w:rsidRDefault="008A3A5E" w:rsidP="00E12D30">
      <w:pPr>
        <w:pStyle w:val="IFTnormal"/>
        <w:numPr>
          <w:ilvl w:val="4"/>
          <w:numId w:val="49"/>
        </w:numPr>
        <w:ind w:left="851"/>
      </w:pPr>
      <w:r w:rsidRPr="00422CA2">
        <w:t xml:space="preserve">95% de reparaciones en un plazo máximo de 72 horas </w:t>
      </w:r>
    </w:p>
    <w:p w14:paraId="27F8923E" w14:textId="36FE3F43" w:rsidR="00377455" w:rsidRPr="00422CA2" w:rsidRDefault="008A3A5E" w:rsidP="00E12D30">
      <w:pPr>
        <w:pStyle w:val="IFTnormal"/>
        <w:numPr>
          <w:ilvl w:val="4"/>
          <w:numId w:val="49"/>
        </w:numPr>
        <w:ind w:left="851"/>
      </w:pPr>
      <w:r w:rsidRPr="00422CA2">
        <w:t>5% restante no excederá 10 días hábiles.</w:t>
      </w:r>
    </w:p>
    <w:p w14:paraId="2A06779A" w14:textId="77777777" w:rsidR="00086261" w:rsidRPr="00422CA2" w:rsidRDefault="0079261E" w:rsidP="00586B55">
      <w:pPr>
        <w:pStyle w:val="Ttulo1"/>
      </w:pPr>
      <w:bookmarkStart w:id="740" w:name="_Toc435110294"/>
      <w:bookmarkStart w:id="741" w:name="_Toc437602134"/>
      <w:bookmarkStart w:id="742" w:name="_Toc436840938"/>
      <w:bookmarkStart w:id="743" w:name="_Toc436846375"/>
      <w:bookmarkStart w:id="744" w:name="_Toc436848325"/>
      <w:bookmarkStart w:id="745" w:name="_Toc436856573"/>
      <w:bookmarkStart w:id="746" w:name="_Toc436862719"/>
      <w:bookmarkStart w:id="747" w:name="_Toc436866369"/>
      <w:bookmarkStart w:id="748" w:name="_Toc436870948"/>
      <w:bookmarkStart w:id="749" w:name="_Toc436875940"/>
      <w:r w:rsidRPr="00422CA2">
        <w:t>9.</w:t>
      </w:r>
      <w:r w:rsidR="00086261" w:rsidRPr="00422CA2">
        <w:t>5</w:t>
      </w:r>
      <w:r w:rsidR="00086261" w:rsidRPr="00422CA2">
        <w:tab/>
        <w:t>Procedimiento para la realización de pruebas de entrega para el cableado en el Servicio Auxiliar de Anexo de Caja de Distribución.</w:t>
      </w:r>
      <w:bookmarkEnd w:id="740"/>
      <w:bookmarkEnd w:id="741"/>
    </w:p>
    <w:p w14:paraId="55271EBE" w14:textId="77777777" w:rsidR="00086261" w:rsidRPr="00422CA2" w:rsidRDefault="00086261" w:rsidP="00086261">
      <w:pPr>
        <w:pStyle w:val="IFTnormal"/>
      </w:pPr>
      <w:r w:rsidRPr="00422CA2">
        <w:t>Para la realización de pruebas de entrega, se considera el siguiente procedimiento:</w:t>
      </w:r>
    </w:p>
    <w:p w14:paraId="2C150CC6" w14:textId="77777777" w:rsidR="00086261" w:rsidRPr="00422CA2" w:rsidRDefault="00086261" w:rsidP="00086261">
      <w:pPr>
        <w:pStyle w:val="IFTnormal"/>
        <w:numPr>
          <w:ilvl w:val="0"/>
          <w:numId w:val="234"/>
        </w:numPr>
        <w:rPr>
          <w:rFonts w:cs="Arial"/>
        </w:rPr>
      </w:pPr>
      <w:r w:rsidRPr="00422CA2">
        <w:rPr>
          <w:rFonts w:cs="Arial"/>
          <w:lang w:eastAsia="es-MX"/>
        </w:rPr>
        <w:t>Telmex realizará el cableado desde la tablilla que se encuentra en el anexo, hasta el cierre de empalme que se encuentra en el Pozo multiconcesionario.</w:t>
      </w:r>
    </w:p>
    <w:p w14:paraId="484D5A00" w14:textId="77777777" w:rsidR="00086261" w:rsidRPr="00422CA2" w:rsidRDefault="00086261" w:rsidP="00086261">
      <w:pPr>
        <w:pStyle w:val="IFTnormal"/>
        <w:numPr>
          <w:ilvl w:val="0"/>
          <w:numId w:val="234"/>
        </w:numPr>
      </w:pPr>
      <w:r w:rsidRPr="00422CA2">
        <w:rPr>
          <w:rFonts w:cs="Arial"/>
        </w:rPr>
        <w:t>Una vez colocado el cableado y antes de instalar el cierre, se deben realizar las prueba de continuidad a cada par.</w:t>
      </w:r>
    </w:p>
    <w:p w14:paraId="6787145A" w14:textId="5A827A9B" w:rsidR="00086261" w:rsidRPr="00422CA2" w:rsidRDefault="00086261" w:rsidP="00086261">
      <w:pPr>
        <w:pStyle w:val="IFTnormal"/>
        <w:numPr>
          <w:ilvl w:val="0"/>
          <w:numId w:val="234"/>
        </w:numPr>
      </w:pPr>
      <w:r w:rsidRPr="00422CA2">
        <w:t>Se entregará al CS un reporte con los resultados de la prueba del servicio.</w:t>
      </w:r>
    </w:p>
    <w:p w14:paraId="5157D292" w14:textId="3886E6AD" w:rsidR="0079261E" w:rsidRPr="00422CA2" w:rsidRDefault="0079261E" w:rsidP="00586B55">
      <w:pPr>
        <w:pStyle w:val="Ttulo1"/>
      </w:pPr>
      <w:bookmarkStart w:id="750" w:name="_Toc437602135"/>
      <w:r w:rsidRPr="00422CA2">
        <w:t>9.</w:t>
      </w:r>
      <w:r w:rsidR="00724B15" w:rsidRPr="00422CA2">
        <w:t>6</w:t>
      </w:r>
      <w:r w:rsidRPr="00422CA2">
        <w:t xml:space="preserve"> </w:t>
      </w:r>
      <w:r w:rsidR="00BB5B7B" w:rsidRPr="00422CA2">
        <w:tab/>
      </w:r>
      <w:r w:rsidRPr="00422CA2">
        <w:t>Normatividad técnica para el Servicio Auxiliar de Anexo de Caja de Distribución</w:t>
      </w:r>
      <w:bookmarkEnd w:id="742"/>
      <w:bookmarkEnd w:id="743"/>
      <w:bookmarkEnd w:id="744"/>
      <w:bookmarkEnd w:id="745"/>
      <w:bookmarkEnd w:id="746"/>
      <w:bookmarkEnd w:id="747"/>
      <w:bookmarkEnd w:id="748"/>
      <w:bookmarkEnd w:id="749"/>
      <w:bookmarkEnd w:id="750"/>
    </w:p>
    <w:p w14:paraId="31360F72" w14:textId="77777777" w:rsidR="0079261E" w:rsidRPr="00422CA2" w:rsidRDefault="0079261E" w:rsidP="00BB5B7B">
      <w:pPr>
        <w:pStyle w:val="IFTnormal"/>
        <w:rPr>
          <w:b/>
        </w:rPr>
      </w:pPr>
      <w:bookmarkStart w:id="751" w:name="_Toc434839946"/>
      <w:r w:rsidRPr="00422CA2">
        <w:rPr>
          <w:b/>
        </w:rPr>
        <w:t>OBJETIVO</w:t>
      </w:r>
      <w:bookmarkEnd w:id="751"/>
    </w:p>
    <w:p w14:paraId="01FB4B2E" w14:textId="0329E6E8" w:rsidR="0079261E" w:rsidRPr="00422CA2" w:rsidRDefault="0079261E" w:rsidP="00BB5B7B">
      <w:pPr>
        <w:pStyle w:val="IFTnormal"/>
        <w:rPr>
          <w:rFonts w:cs="Arial"/>
        </w:rPr>
      </w:pPr>
      <w:r w:rsidRPr="00422CA2">
        <w:rPr>
          <w:rFonts w:cs="Arial"/>
        </w:rPr>
        <w:lastRenderedPageBreak/>
        <w:t xml:space="preserve">Procedimiento para la colocación del </w:t>
      </w:r>
      <w:r w:rsidR="00775272" w:rsidRPr="00422CA2">
        <w:rPr>
          <w:rFonts w:cs="Arial"/>
        </w:rPr>
        <w:t>Anexo</w:t>
      </w:r>
      <w:r w:rsidRPr="00422CA2">
        <w:rPr>
          <w:rFonts w:cs="Arial"/>
        </w:rPr>
        <w:t xml:space="preserve"> de </w:t>
      </w:r>
      <w:r w:rsidR="00775272" w:rsidRPr="00422CA2">
        <w:rPr>
          <w:rFonts w:cs="Arial"/>
        </w:rPr>
        <w:t>Caja de Distribución</w:t>
      </w:r>
      <w:r w:rsidRPr="00422CA2">
        <w:rPr>
          <w:rFonts w:cs="Arial"/>
        </w:rPr>
        <w:t xml:space="preserve">, el cual alojara en su interior las tablillas de interconexión necesarias para llevar a cabo el puente entre las regletas o mufas de la Caja de distribución </w:t>
      </w:r>
      <w:r w:rsidRPr="00422CA2">
        <w:t>Telmex</w:t>
      </w:r>
      <w:r w:rsidRPr="00422CA2">
        <w:rPr>
          <w:rFonts w:cs="Arial"/>
        </w:rPr>
        <w:t xml:space="preserve"> y la red del CS.</w:t>
      </w:r>
    </w:p>
    <w:p w14:paraId="207FD11F" w14:textId="77777777" w:rsidR="0079261E" w:rsidRPr="00422CA2" w:rsidRDefault="0079261E" w:rsidP="00BB5B7B">
      <w:pPr>
        <w:pStyle w:val="IFTnormal"/>
        <w:rPr>
          <w:b/>
        </w:rPr>
      </w:pPr>
      <w:bookmarkStart w:id="752" w:name="_Toc434839947"/>
      <w:r w:rsidRPr="00422CA2">
        <w:rPr>
          <w:b/>
        </w:rPr>
        <w:t>ALCANCE</w:t>
      </w:r>
      <w:bookmarkEnd w:id="752"/>
    </w:p>
    <w:p w14:paraId="62864896" w14:textId="6B22948C" w:rsidR="0079261E" w:rsidRPr="00422CA2" w:rsidRDefault="0079261E" w:rsidP="00BB5B7B">
      <w:pPr>
        <w:pStyle w:val="IFTnormal"/>
        <w:rPr>
          <w:rFonts w:cs="Arial"/>
        </w:rPr>
      </w:pPr>
      <w:r w:rsidRPr="00422CA2">
        <w:rPr>
          <w:rFonts w:cs="Arial"/>
        </w:rPr>
        <w:t xml:space="preserve">Este documento debe ser aplicado tanto por los CS como por Telmex para los </w:t>
      </w:r>
      <w:r w:rsidR="003336FA" w:rsidRPr="00422CA2">
        <w:rPr>
          <w:rFonts w:cs="Arial"/>
        </w:rPr>
        <w:t>S</w:t>
      </w:r>
      <w:r w:rsidRPr="00422CA2">
        <w:rPr>
          <w:rFonts w:cs="Arial"/>
        </w:rPr>
        <w:t>e</w:t>
      </w:r>
      <w:r w:rsidR="003336FA" w:rsidRPr="00422CA2">
        <w:rPr>
          <w:rFonts w:cs="Arial"/>
        </w:rPr>
        <w:t>rvicios</w:t>
      </w:r>
      <w:r w:rsidRPr="00422CA2">
        <w:rPr>
          <w:rFonts w:cs="Arial"/>
        </w:rPr>
        <w:t xml:space="preserve"> de </w:t>
      </w:r>
      <w:r w:rsidR="003336FA" w:rsidRPr="00422CA2">
        <w:rPr>
          <w:rFonts w:cs="Arial"/>
        </w:rPr>
        <w:t>Desagregación T</w:t>
      </w:r>
      <w:r w:rsidRPr="00422CA2">
        <w:rPr>
          <w:rFonts w:cs="Arial"/>
        </w:rPr>
        <w:t xml:space="preserve">otal del </w:t>
      </w:r>
      <w:r w:rsidR="003336FA" w:rsidRPr="00422CA2">
        <w:rPr>
          <w:rFonts w:cs="Arial"/>
        </w:rPr>
        <w:t>Sub-Bucle</w:t>
      </w:r>
      <w:r w:rsidRPr="00422CA2">
        <w:rPr>
          <w:rFonts w:cs="Arial"/>
        </w:rPr>
        <w:t xml:space="preserve"> (SDTSBL) y de </w:t>
      </w:r>
      <w:r w:rsidR="003336FA" w:rsidRPr="00422CA2">
        <w:rPr>
          <w:rFonts w:cs="Arial"/>
        </w:rPr>
        <w:t>De</w:t>
      </w:r>
      <w:r w:rsidRPr="00422CA2">
        <w:rPr>
          <w:rFonts w:cs="Arial"/>
        </w:rPr>
        <w:t xml:space="preserve">sagregación </w:t>
      </w:r>
      <w:r w:rsidR="003336FA" w:rsidRPr="00422CA2">
        <w:rPr>
          <w:rFonts w:cs="Arial"/>
        </w:rPr>
        <w:t>C</w:t>
      </w:r>
      <w:r w:rsidRPr="00422CA2">
        <w:rPr>
          <w:rFonts w:cs="Arial"/>
        </w:rPr>
        <w:t xml:space="preserve">ompartida del </w:t>
      </w:r>
      <w:r w:rsidR="003336FA" w:rsidRPr="00422CA2">
        <w:rPr>
          <w:rFonts w:cs="Arial"/>
        </w:rPr>
        <w:t>S</w:t>
      </w:r>
      <w:r w:rsidRPr="00422CA2">
        <w:rPr>
          <w:rFonts w:cs="Arial"/>
        </w:rPr>
        <w:t>ub</w:t>
      </w:r>
      <w:r w:rsidR="003336FA" w:rsidRPr="00422CA2">
        <w:rPr>
          <w:rFonts w:cs="Arial"/>
        </w:rPr>
        <w:t>-B</w:t>
      </w:r>
      <w:r w:rsidRPr="00422CA2">
        <w:rPr>
          <w:rFonts w:cs="Arial"/>
        </w:rPr>
        <w:t>ucle (SDCSBL).</w:t>
      </w:r>
    </w:p>
    <w:p w14:paraId="549B876B" w14:textId="77777777" w:rsidR="0079261E" w:rsidRPr="00422CA2" w:rsidRDefault="0079261E" w:rsidP="00BB5B7B">
      <w:pPr>
        <w:pStyle w:val="IFTnormal"/>
        <w:rPr>
          <w:b/>
        </w:rPr>
      </w:pPr>
      <w:bookmarkStart w:id="753" w:name="_Toc434839948"/>
      <w:r w:rsidRPr="00422CA2">
        <w:rPr>
          <w:b/>
        </w:rPr>
        <w:t>DESARROLLO</w:t>
      </w:r>
      <w:bookmarkStart w:id="754" w:name="_Toc428870611"/>
      <w:bookmarkStart w:id="755" w:name="_Toc428878061"/>
      <w:bookmarkStart w:id="756" w:name="_Toc428879916"/>
      <w:bookmarkStart w:id="757" w:name="_Toc433198844"/>
      <w:bookmarkStart w:id="758" w:name="_Toc434839937"/>
      <w:bookmarkStart w:id="759" w:name="_Toc434839949"/>
      <w:bookmarkStart w:id="760" w:name="_Toc428870612"/>
      <w:bookmarkStart w:id="761" w:name="_Toc428878062"/>
      <w:bookmarkStart w:id="762" w:name="_Toc428879917"/>
      <w:bookmarkStart w:id="763" w:name="_Toc433198845"/>
      <w:bookmarkStart w:id="764" w:name="_Toc434839938"/>
      <w:bookmarkStart w:id="765" w:name="_Toc434839950"/>
      <w:bookmarkStart w:id="766" w:name="_Toc428870613"/>
      <w:bookmarkStart w:id="767" w:name="_Toc428878063"/>
      <w:bookmarkStart w:id="768" w:name="_Toc428879918"/>
      <w:bookmarkStart w:id="769" w:name="_Toc433198846"/>
      <w:bookmarkStart w:id="770" w:name="_Toc434839939"/>
      <w:bookmarkStart w:id="771" w:name="_Toc434839951"/>
      <w:bookmarkStart w:id="772" w:name="_Toc428870614"/>
      <w:bookmarkStart w:id="773" w:name="_Toc428878064"/>
      <w:bookmarkStart w:id="774" w:name="_Toc428879919"/>
      <w:bookmarkStart w:id="775" w:name="_Toc433198847"/>
      <w:bookmarkStart w:id="776" w:name="_Toc434839940"/>
      <w:bookmarkStart w:id="777" w:name="_Toc434839952"/>
      <w:bookmarkStart w:id="778" w:name="_Toc428870615"/>
      <w:bookmarkStart w:id="779" w:name="_Toc428878065"/>
      <w:bookmarkStart w:id="780" w:name="_Toc428879920"/>
      <w:bookmarkStart w:id="781" w:name="_Toc433198848"/>
      <w:bookmarkStart w:id="782" w:name="_Toc434839941"/>
      <w:bookmarkStart w:id="783" w:name="_Toc434839953"/>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6DA70768" w14:textId="77777777" w:rsidR="0079261E" w:rsidRPr="00422CA2" w:rsidRDefault="0079261E" w:rsidP="00BB5B7B">
      <w:pPr>
        <w:pStyle w:val="IFTnormal"/>
        <w:rPr>
          <w:rFonts w:cs="Arial"/>
          <w:i/>
        </w:rPr>
      </w:pPr>
      <w:r w:rsidRPr="00422CA2">
        <w:rPr>
          <w:rFonts w:cs="Arial"/>
        </w:rPr>
        <w:t>Introducción</w:t>
      </w:r>
    </w:p>
    <w:p w14:paraId="3BD4246E" w14:textId="1603CC42" w:rsidR="0079261E" w:rsidRPr="00422CA2" w:rsidRDefault="0079261E" w:rsidP="00BB5B7B">
      <w:pPr>
        <w:pStyle w:val="IFTnormal"/>
        <w:rPr>
          <w:rFonts w:cs="Arial"/>
        </w:rPr>
      </w:pPr>
      <w:r w:rsidRPr="00422CA2">
        <w:rPr>
          <w:rFonts w:cs="Arial"/>
        </w:rPr>
        <w:t xml:space="preserve">Establecer los criterios técnicos de ingeniería a considerar para los servicios de Desagregación del </w:t>
      </w:r>
      <w:r w:rsidR="002B2B9D" w:rsidRPr="00422CA2">
        <w:rPr>
          <w:rFonts w:cs="Arial"/>
        </w:rPr>
        <w:t>Sub-</w:t>
      </w:r>
      <w:r w:rsidRPr="00422CA2">
        <w:rPr>
          <w:rFonts w:cs="Arial"/>
        </w:rPr>
        <w:t xml:space="preserve">Bucle Local, con la finalidad que los Concesionarios provean servicios de telecomunicaciones a usuarios finales mediante los Servicios de Desagregación del Bucle Local. </w:t>
      </w:r>
    </w:p>
    <w:p w14:paraId="54866F58" w14:textId="77777777" w:rsidR="0079261E" w:rsidRPr="00422CA2" w:rsidRDefault="0079261E" w:rsidP="00BB5B7B">
      <w:pPr>
        <w:pStyle w:val="IFTnormal"/>
        <w:rPr>
          <w:rFonts w:cs="Arial"/>
          <w:i/>
        </w:rPr>
      </w:pPr>
      <w:r w:rsidRPr="00422CA2">
        <w:rPr>
          <w:rFonts w:cs="Arial"/>
        </w:rPr>
        <w:t>Generalidades.</w:t>
      </w:r>
    </w:p>
    <w:p w14:paraId="446A6593" w14:textId="77777777" w:rsidR="0079261E" w:rsidRPr="00422CA2" w:rsidRDefault="0079261E" w:rsidP="00BB5B7B">
      <w:pPr>
        <w:pStyle w:val="IFTnormal"/>
        <w:rPr>
          <w:rFonts w:cs="Arial"/>
          <w:strike/>
        </w:rPr>
      </w:pPr>
      <w:r w:rsidRPr="00422CA2">
        <w:rPr>
          <w:rFonts w:cs="Arial"/>
        </w:rPr>
        <w:t>La Caja de Distribución es el punto de interconexión entre la red principal y la red secundaria. Las Cajas de Distribución están fabricadas en material plástico o metálico resistente al medio ambiente (clima, oxidación, plagas, golpes, etc.</w:t>
      </w:r>
    </w:p>
    <w:p w14:paraId="40C793BD" w14:textId="77777777" w:rsidR="0079261E" w:rsidRPr="00422CA2" w:rsidRDefault="0079261E" w:rsidP="00BB5B7B">
      <w:pPr>
        <w:pStyle w:val="IFTnormal"/>
        <w:rPr>
          <w:rFonts w:cs="Arial"/>
        </w:rPr>
      </w:pPr>
      <w:r w:rsidRPr="00422CA2">
        <w:rPr>
          <w:rFonts w:cs="Arial"/>
        </w:rPr>
        <w:t>Esta caja se monta en una base de concreto, la cual se comunica al pozo por medio de ductos de PVC. Las partes principales que conforman la Caja de Distribución son las siguientes:</w:t>
      </w:r>
    </w:p>
    <w:p w14:paraId="437BA39C" w14:textId="77777777" w:rsidR="0079261E" w:rsidRPr="00422CA2" w:rsidRDefault="0079261E" w:rsidP="00BB5B7B">
      <w:pPr>
        <w:pStyle w:val="IFTnormal"/>
        <w:numPr>
          <w:ilvl w:val="0"/>
          <w:numId w:val="189"/>
        </w:numPr>
        <w:rPr>
          <w:rFonts w:cs="Arial"/>
        </w:rPr>
      </w:pPr>
      <w:r w:rsidRPr="00422CA2">
        <w:rPr>
          <w:rFonts w:cs="Arial"/>
        </w:rPr>
        <w:t>Envolvente (carcaza con puerta),</w:t>
      </w:r>
    </w:p>
    <w:p w14:paraId="79406B5D" w14:textId="77777777" w:rsidR="0079261E" w:rsidRPr="00422CA2" w:rsidRDefault="0079261E" w:rsidP="00BB5B7B">
      <w:pPr>
        <w:pStyle w:val="IFTnormal"/>
        <w:numPr>
          <w:ilvl w:val="0"/>
          <w:numId w:val="189"/>
        </w:numPr>
        <w:rPr>
          <w:rFonts w:cs="Arial"/>
        </w:rPr>
      </w:pPr>
      <w:r w:rsidRPr="00422CA2">
        <w:rPr>
          <w:rFonts w:cs="Arial"/>
        </w:rPr>
        <w:t>Bastidor donde se fijan las tablillas o mufas de conexión.</w:t>
      </w:r>
    </w:p>
    <w:p w14:paraId="3763CADE" w14:textId="77777777" w:rsidR="0079261E" w:rsidRPr="00422CA2" w:rsidRDefault="0079261E" w:rsidP="00BB5B7B">
      <w:pPr>
        <w:pStyle w:val="IFTnormal"/>
        <w:numPr>
          <w:ilvl w:val="0"/>
          <w:numId w:val="189"/>
        </w:numPr>
        <w:rPr>
          <w:rFonts w:cs="Arial"/>
        </w:rPr>
      </w:pPr>
      <w:r w:rsidRPr="00422CA2">
        <w:rPr>
          <w:rFonts w:cs="Arial"/>
        </w:rPr>
        <w:t>Base de concreto, donde se asienta el bastidor y la envolvente sobre éste.</w:t>
      </w:r>
    </w:p>
    <w:p w14:paraId="31A51A88" w14:textId="0636E899" w:rsidR="0079261E" w:rsidRPr="00422CA2" w:rsidRDefault="0079261E" w:rsidP="00BB5B7B">
      <w:pPr>
        <w:pStyle w:val="IFTnormal"/>
      </w:pPr>
      <w:bookmarkStart w:id="784" w:name="_Toc434839954"/>
      <w:r w:rsidRPr="00422CA2">
        <w:t>SERVICIO DE ANEXO DE CAJA DE DISTRIBUCIÓN.</w:t>
      </w:r>
      <w:bookmarkEnd w:id="784"/>
    </w:p>
    <w:p w14:paraId="25F7B364" w14:textId="6705515D" w:rsidR="0079261E" w:rsidRPr="00422CA2" w:rsidRDefault="0079261E" w:rsidP="00BB5B7B">
      <w:pPr>
        <w:pStyle w:val="IFTnormal"/>
        <w:rPr>
          <w:rFonts w:cs="Arial"/>
        </w:rPr>
      </w:pPr>
      <w:r w:rsidRPr="00422CA2">
        <w:rPr>
          <w:rFonts w:cs="Arial"/>
        </w:rPr>
        <w:t>Previo a la instalación del Anexo de Caja de Distribución por parte de Telmex, es necesario coordinar actividades entre el o los CS (s) que hará (n) uso del servicio auxiliar del Anexo de Caja de Distribución, de acuerdo a lo siguiente:</w:t>
      </w:r>
    </w:p>
    <w:p w14:paraId="2AA9D0F5" w14:textId="77777777" w:rsidR="0079261E" w:rsidRPr="00422CA2" w:rsidRDefault="0079261E" w:rsidP="00BB5B7B">
      <w:pPr>
        <w:pStyle w:val="IFTnormal"/>
        <w:rPr>
          <w:rFonts w:cs="Arial"/>
          <w:u w:val="single"/>
        </w:rPr>
      </w:pPr>
      <w:r w:rsidRPr="00422CA2">
        <w:rPr>
          <w:rFonts w:cs="Arial"/>
          <w:u w:val="single"/>
        </w:rPr>
        <w:t>Telmex es responsable de:</w:t>
      </w:r>
    </w:p>
    <w:p w14:paraId="4FC2015F" w14:textId="3186520F" w:rsidR="0079261E" w:rsidRPr="00422CA2" w:rsidRDefault="0079261E" w:rsidP="00BB5B7B">
      <w:pPr>
        <w:pStyle w:val="IFTnormal"/>
        <w:numPr>
          <w:ilvl w:val="0"/>
          <w:numId w:val="190"/>
        </w:numPr>
        <w:rPr>
          <w:rFonts w:cs="Arial"/>
        </w:rPr>
      </w:pPr>
      <w:r w:rsidRPr="00422CA2">
        <w:rPr>
          <w:rFonts w:cs="Arial"/>
        </w:rPr>
        <w:t>Construcción de base de concreto de Anexo de Caja de Distribución,</w:t>
      </w:r>
    </w:p>
    <w:p w14:paraId="60BB8675" w14:textId="6681541E" w:rsidR="0079261E" w:rsidRPr="00422CA2" w:rsidRDefault="0079261E" w:rsidP="00BB5B7B">
      <w:pPr>
        <w:pStyle w:val="IFTnormal"/>
        <w:numPr>
          <w:ilvl w:val="0"/>
          <w:numId w:val="190"/>
        </w:numPr>
        <w:rPr>
          <w:rFonts w:cs="Arial"/>
        </w:rPr>
      </w:pPr>
      <w:r w:rsidRPr="00422CA2">
        <w:rPr>
          <w:rFonts w:cs="Arial"/>
        </w:rPr>
        <w:lastRenderedPageBreak/>
        <w:t>Instalación del Anexo de Caja de Distribución sobre la base de concreto previamente construida,</w:t>
      </w:r>
    </w:p>
    <w:p w14:paraId="15221464" w14:textId="77777777" w:rsidR="0079261E" w:rsidRPr="00422CA2" w:rsidRDefault="0079261E" w:rsidP="00BB5B7B">
      <w:pPr>
        <w:pStyle w:val="IFTnormal"/>
        <w:numPr>
          <w:ilvl w:val="0"/>
          <w:numId w:val="190"/>
        </w:numPr>
        <w:rPr>
          <w:rFonts w:cs="Arial"/>
          <w:strike/>
        </w:rPr>
      </w:pPr>
      <w:r w:rsidRPr="00422CA2">
        <w:rPr>
          <w:rFonts w:cs="Arial"/>
        </w:rPr>
        <w:t>Concluida con la instalación del Anexo de la CD, Telmex notificara al (los) CS(s) la terminación del mismo, con el objetivo de que todos los CS se coordinen y definan la ubicación del Pozo en el que entregara la acometida del cableado multipar.</w:t>
      </w:r>
    </w:p>
    <w:p w14:paraId="57750AA8" w14:textId="2679ABCF" w:rsidR="0079261E" w:rsidRPr="00422CA2" w:rsidRDefault="0079261E" w:rsidP="00BB5B7B">
      <w:pPr>
        <w:pStyle w:val="IFTnormal"/>
        <w:numPr>
          <w:ilvl w:val="0"/>
          <w:numId w:val="190"/>
        </w:numPr>
        <w:rPr>
          <w:rFonts w:cs="Arial"/>
        </w:rPr>
      </w:pPr>
      <w:r w:rsidRPr="00422CA2">
        <w:rPr>
          <w:rFonts w:cs="Arial"/>
        </w:rPr>
        <w:t>Una vez definida la construcción el Pozo de (los) CS (s) se realizará la construcción de la canalización de acometida (que consta de 2 tubos de PVC de 80 mm de diámetro) desde base de concreto del Anexo de Caja de Distribución hasta pozo de CS, hasta una distancia de 20 metros lineales.</w:t>
      </w:r>
    </w:p>
    <w:p w14:paraId="4026B010" w14:textId="77777777" w:rsidR="0079261E" w:rsidRPr="00422CA2" w:rsidRDefault="0079261E" w:rsidP="00BB5B7B">
      <w:pPr>
        <w:pStyle w:val="IFTnormal"/>
        <w:numPr>
          <w:ilvl w:val="0"/>
          <w:numId w:val="190"/>
        </w:numPr>
        <w:rPr>
          <w:rFonts w:cs="Arial"/>
        </w:rPr>
      </w:pPr>
      <w:r w:rsidRPr="00422CA2">
        <w:rPr>
          <w:rFonts w:cs="Arial"/>
        </w:rPr>
        <w:t xml:space="preserve">En caso de que la solicitud del CS exceda la longitud de los 20 metros, será necesario realizar adaptaciones y/o trabajos especiales, bajo solicitud explicita del CS, </w:t>
      </w:r>
      <w:r w:rsidRPr="00422CA2">
        <w:t>y en caso de que Telmex no tenga presencia</w:t>
      </w:r>
    </w:p>
    <w:p w14:paraId="273D3845" w14:textId="2CB13EDC" w:rsidR="0079261E" w:rsidRPr="00422CA2" w:rsidRDefault="0079261E" w:rsidP="00BB5B7B">
      <w:pPr>
        <w:pStyle w:val="IFTnormal"/>
        <w:numPr>
          <w:ilvl w:val="0"/>
          <w:numId w:val="190"/>
        </w:numPr>
        <w:rPr>
          <w:rFonts w:cs="Arial"/>
        </w:rPr>
      </w:pPr>
      <w:r w:rsidRPr="00422CA2">
        <w:rPr>
          <w:rFonts w:cs="Arial"/>
        </w:rPr>
        <w:t xml:space="preserve">Por otro lado el prerrequisito de instalación por parte del concesionario de un pozo, podrá ser sustituido por un pozo existente de Telmex previo análisis de factibilidad vía la </w:t>
      </w:r>
      <w:r w:rsidR="00CA026A">
        <w:rPr>
          <w:rFonts w:cs="Arial"/>
        </w:rPr>
        <w:t>O</w:t>
      </w:r>
      <w:r w:rsidRPr="00422CA2">
        <w:rPr>
          <w:rFonts w:cs="Arial"/>
        </w:rPr>
        <w:t xml:space="preserve">ferta de </w:t>
      </w:r>
      <w:r w:rsidR="00CA026A">
        <w:rPr>
          <w:rFonts w:cs="Arial"/>
        </w:rPr>
        <w:t>R</w:t>
      </w:r>
      <w:r w:rsidRPr="00422CA2">
        <w:rPr>
          <w:rFonts w:cs="Arial"/>
        </w:rPr>
        <w:t xml:space="preserve">eferencia para la </w:t>
      </w:r>
      <w:r w:rsidR="00CA026A">
        <w:rPr>
          <w:rFonts w:cs="Arial"/>
        </w:rPr>
        <w:t>C</w:t>
      </w:r>
      <w:r w:rsidRPr="00422CA2">
        <w:rPr>
          <w:rFonts w:cs="Arial"/>
        </w:rPr>
        <w:t xml:space="preserve">ompartición de la </w:t>
      </w:r>
      <w:r w:rsidR="00CA026A">
        <w:rPr>
          <w:rFonts w:cs="Arial"/>
        </w:rPr>
        <w:t>I</w:t>
      </w:r>
      <w:r w:rsidRPr="00422CA2">
        <w:rPr>
          <w:rFonts w:cs="Arial"/>
        </w:rPr>
        <w:t xml:space="preserve">nfraestructura </w:t>
      </w:r>
      <w:r w:rsidR="00CA026A">
        <w:rPr>
          <w:rFonts w:cs="Arial"/>
        </w:rPr>
        <w:t>P</w:t>
      </w:r>
      <w:r w:rsidRPr="00422CA2">
        <w:rPr>
          <w:rFonts w:cs="Arial"/>
        </w:rPr>
        <w:t>asiva. En este caso la gestión y pago de permisos es responsabilidad de Telmex.</w:t>
      </w:r>
    </w:p>
    <w:p w14:paraId="72A47C77" w14:textId="166F2A64" w:rsidR="0079261E" w:rsidRPr="00422CA2" w:rsidRDefault="0079261E" w:rsidP="00BB5B7B">
      <w:pPr>
        <w:pStyle w:val="IFTnormal"/>
        <w:numPr>
          <w:ilvl w:val="0"/>
          <w:numId w:val="190"/>
        </w:numPr>
        <w:rPr>
          <w:rFonts w:cs="Arial"/>
        </w:rPr>
      </w:pPr>
      <w:r w:rsidRPr="00422CA2">
        <w:rPr>
          <w:rFonts w:cs="Arial"/>
        </w:rPr>
        <w:t xml:space="preserve">Telmex es responsable del mantenimiento del </w:t>
      </w:r>
      <w:r w:rsidR="00775272" w:rsidRPr="00422CA2">
        <w:rPr>
          <w:rFonts w:cs="Arial"/>
        </w:rPr>
        <w:t>Anexo</w:t>
      </w:r>
      <w:r w:rsidRPr="00422CA2">
        <w:rPr>
          <w:rFonts w:cs="Arial"/>
        </w:rPr>
        <w:t xml:space="preserve"> de </w:t>
      </w:r>
      <w:r w:rsidR="00775272" w:rsidRPr="00422CA2">
        <w:rPr>
          <w:rFonts w:cs="Arial"/>
        </w:rPr>
        <w:t>Caja</w:t>
      </w:r>
      <w:r w:rsidRPr="00422CA2">
        <w:rPr>
          <w:rFonts w:cs="Arial"/>
        </w:rPr>
        <w:t xml:space="preserve"> de </w:t>
      </w:r>
      <w:r w:rsidR="00775272" w:rsidRPr="00422CA2">
        <w:rPr>
          <w:rFonts w:cs="Arial"/>
        </w:rPr>
        <w:t>Distribución</w:t>
      </w:r>
      <w:r w:rsidRPr="00422CA2">
        <w:rPr>
          <w:rFonts w:cs="Arial"/>
        </w:rPr>
        <w:t>, de la canalización de la acometida que interconecta al pozo del CS así como la gestión de los permisos ante las autoridades correspondientes para trabajos de obra civil.</w:t>
      </w:r>
    </w:p>
    <w:p w14:paraId="2B47D36C" w14:textId="17E841B5" w:rsidR="0079261E" w:rsidRPr="00422CA2" w:rsidRDefault="0079261E" w:rsidP="00BB5B7B">
      <w:pPr>
        <w:pStyle w:val="IFTnormal"/>
        <w:numPr>
          <w:ilvl w:val="0"/>
          <w:numId w:val="190"/>
        </w:numPr>
        <w:rPr>
          <w:rFonts w:cs="Arial"/>
        </w:rPr>
      </w:pPr>
      <w:r w:rsidRPr="00422CA2">
        <w:rPr>
          <w:rFonts w:cs="Arial"/>
        </w:rPr>
        <w:t xml:space="preserve">Colocación e instalación de las tablillas de interconexión dentro del Anexo de </w:t>
      </w:r>
      <w:r w:rsidR="00775272" w:rsidRPr="00422CA2">
        <w:rPr>
          <w:rFonts w:cs="Arial"/>
        </w:rPr>
        <w:t>Caja</w:t>
      </w:r>
      <w:r w:rsidRPr="00422CA2">
        <w:rPr>
          <w:rFonts w:cs="Arial"/>
        </w:rPr>
        <w:t xml:space="preserve"> de Distribución (debidamente etiquetadas), de acuerdo a la cantidad de servicios demandados por parte del CS.</w:t>
      </w:r>
    </w:p>
    <w:p w14:paraId="7D86A92D" w14:textId="77777777" w:rsidR="0079261E" w:rsidRPr="00422CA2" w:rsidRDefault="0079261E" w:rsidP="00BB5B7B">
      <w:pPr>
        <w:pStyle w:val="IFTnormal"/>
        <w:numPr>
          <w:ilvl w:val="0"/>
          <w:numId w:val="190"/>
        </w:numPr>
        <w:rPr>
          <w:rFonts w:cs="Arial"/>
        </w:rPr>
      </w:pPr>
      <w:r w:rsidRPr="00422CA2">
        <w:rPr>
          <w:rFonts w:cs="Arial"/>
        </w:rPr>
        <w:t>Cada tablilla está conformada por 10 conectores modulares con splitter.</w:t>
      </w:r>
    </w:p>
    <w:p w14:paraId="32152679" w14:textId="77777777" w:rsidR="0079261E" w:rsidRPr="00422CA2" w:rsidRDefault="0079261E" w:rsidP="00BB5B7B">
      <w:pPr>
        <w:pStyle w:val="IFTnormal"/>
        <w:numPr>
          <w:ilvl w:val="0"/>
          <w:numId w:val="190"/>
        </w:numPr>
        <w:rPr>
          <w:rFonts w:cs="Arial"/>
        </w:rPr>
      </w:pPr>
      <w:r w:rsidRPr="00422CA2">
        <w:rPr>
          <w:rFonts w:cs="Arial"/>
        </w:rPr>
        <w:t>Cada tablilla debe ser independiente, es decir, cada CS tendrá su propia tablilla.</w:t>
      </w:r>
    </w:p>
    <w:p w14:paraId="7071C4FF" w14:textId="1D994039" w:rsidR="0079261E" w:rsidRPr="00422CA2" w:rsidRDefault="0079261E" w:rsidP="00BB5B7B">
      <w:pPr>
        <w:pStyle w:val="IFTnormal"/>
        <w:numPr>
          <w:ilvl w:val="0"/>
          <w:numId w:val="190"/>
        </w:numPr>
        <w:rPr>
          <w:rFonts w:cs="Arial"/>
          <w:strike/>
        </w:rPr>
      </w:pPr>
      <w:r w:rsidRPr="00422CA2">
        <w:rPr>
          <w:rFonts w:cs="Arial"/>
        </w:rPr>
        <w:t>Instalación del cable multipar, comprendido entre las tablillas de conexión instaladas dentro del Anexo de Caja de Distribución, hasta el pozo del CS.</w:t>
      </w:r>
    </w:p>
    <w:p w14:paraId="579F710F" w14:textId="73BBC393" w:rsidR="0079261E" w:rsidRPr="00422CA2" w:rsidRDefault="0079261E" w:rsidP="00BB5B7B">
      <w:pPr>
        <w:pStyle w:val="IFTnormal"/>
        <w:numPr>
          <w:ilvl w:val="0"/>
          <w:numId w:val="190"/>
        </w:numPr>
        <w:rPr>
          <w:rFonts w:cs="Arial"/>
          <w:strike/>
        </w:rPr>
      </w:pPr>
      <w:r w:rsidRPr="00422CA2">
        <w:rPr>
          <w:rFonts w:cs="Arial"/>
        </w:rPr>
        <w:t xml:space="preserve">El cable multipar será de 50 pares calibre 0.41 y </w:t>
      </w:r>
      <w:r w:rsidR="00F26B64" w:rsidRPr="00422CA2">
        <w:rPr>
          <w:rFonts w:cs="Arial"/>
        </w:rPr>
        <w:t>sólo</w:t>
      </w:r>
      <w:r w:rsidRPr="00422CA2">
        <w:rPr>
          <w:rFonts w:cs="Arial"/>
        </w:rPr>
        <w:t xml:space="preserve"> atenderá hasta 5 tablillas (cada tablilla contiene 10 conectores modulares).</w:t>
      </w:r>
    </w:p>
    <w:p w14:paraId="1AC12132" w14:textId="39FA499A" w:rsidR="0079261E" w:rsidRPr="00422CA2" w:rsidRDefault="0079261E" w:rsidP="00BB5B7B">
      <w:pPr>
        <w:pStyle w:val="IFTnormal"/>
        <w:numPr>
          <w:ilvl w:val="0"/>
          <w:numId w:val="190"/>
        </w:numPr>
      </w:pPr>
      <w:r w:rsidRPr="00422CA2">
        <w:lastRenderedPageBreak/>
        <w:t xml:space="preserve">Como prueba para la entrega de tablillas en Anexo de Caja de </w:t>
      </w:r>
      <w:r w:rsidR="00775272" w:rsidRPr="00422CA2">
        <w:t>Distribución</w:t>
      </w:r>
      <w:r w:rsidRPr="00422CA2">
        <w:t xml:space="preserve"> se empleará un zumbador y lápiz inductor cada uno de los pares conectados para asegurar su continuidad, con cuando menos las mismas condiciones que aplica en su propia operación Telmex.</w:t>
      </w:r>
    </w:p>
    <w:p w14:paraId="7E233F58" w14:textId="287F16DA" w:rsidR="0079261E" w:rsidRPr="00422CA2" w:rsidRDefault="0079261E" w:rsidP="00BB5B7B">
      <w:pPr>
        <w:pStyle w:val="IFTnormal"/>
        <w:numPr>
          <w:ilvl w:val="0"/>
          <w:numId w:val="190"/>
        </w:numPr>
        <w:rPr>
          <w:rFonts w:cs="Arial"/>
          <w:strike/>
        </w:rPr>
      </w:pPr>
      <w:r w:rsidRPr="00422CA2">
        <w:rPr>
          <w:rFonts w:cs="Arial"/>
        </w:rPr>
        <w:t xml:space="preserve">Cuando sea requerida la instalación de más de 5 tablillas (máximo 10 por </w:t>
      </w:r>
      <w:r w:rsidR="00B92638" w:rsidRPr="00422CA2">
        <w:rPr>
          <w:rFonts w:cs="Arial"/>
        </w:rPr>
        <w:t>A</w:t>
      </w:r>
      <w:r w:rsidRPr="00422CA2">
        <w:rPr>
          <w:rFonts w:cs="Arial"/>
        </w:rPr>
        <w:t>nexo</w:t>
      </w:r>
      <w:r w:rsidR="00B92638" w:rsidRPr="00422CA2">
        <w:rPr>
          <w:rFonts w:cs="Arial"/>
        </w:rPr>
        <w:t xml:space="preserve"> de caja de distribución</w:t>
      </w:r>
      <w:r w:rsidRPr="00422CA2">
        <w:rPr>
          <w:rFonts w:cs="Arial"/>
        </w:rPr>
        <w:t>), se instalara un cable multipar</w:t>
      </w:r>
      <w:r w:rsidRPr="00422CA2">
        <w:t>, sin costo para el CS,</w:t>
      </w:r>
      <w:r w:rsidRPr="00422CA2">
        <w:rPr>
          <w:rFonts w:cs="Arial"/>
        </w:rPr>
        <w:t xml:space="preserve"> adicional de 50 pares calibre 0.41 para la conexión de las subsecuentes tablillas.</w:t>
      </w:r>
    </w:p>
    <w:p w14:paraId="29421E69" w14:textId="0EF9CFC6" w:rsidR="0079261E" w:rsidRPr="00422CA2" w:rsidRDefault="0079261E" w:rsidP="00BB5B7B">
      <w:pPr>
        <w:pStyle w:val="IFTnormal"/>
        <w:numPr>
          <w:ilvl w:val="0"/>
          <w:numId w:val="190"/>
        </w:numPr>
        <w:rPr>
          <w:rFonts w:cs="Arial"/>
          <w:i/>
        </w:rPr>
      </w:pPr>
      <w:r w:rsidRPr="00422CA2">
        <w:rPr>
          <w:rFonts w:cs="Arial"/>
        </w:rPr>
        <w:t xml:space="preserve">Colocación de Cierre de Empalme Relleno Subterráneo (1 Entrada / 4 Salidas) ubicado en pozo de concesionario, el cual tiene como función de repartir los pares rematados en cada una de las tablillas de conexión ubicada en el Anexo de </w:t>
      </w:r>
      <w:r w:rsidR="00775272" w:rsidRPr="00422CA2">
        <w:rPr>
          <w:rFonts w:cs="Arial"/>
        </w:rPr>
        <w:t>Caja</w:t>
      </w:r>
      <w:r w:rsidRPr="00422CA2">
        <w:rPr>
          <w:rFonts w:cs="Arial"/>
        </w:rPr>
        <w:t xml:space="preserve"> de </w:t>
      </w:r>
      <w:r w:rsidR="00775272" w:rsidRPr="00422CA2">
        <w:rPr>
          <w:rFonts w:cs="Arial"/>
        </w:rPr>
        <w:t>Distribución</w:t>
      </w:r>
      <w:r w:rsidRPr="00422CA2">
        <w:rPr>
          <w:rFonts w:cs="Arial"/>
        </w:rPr>
        <w:t>.</w:t>
      </w:r>
    </w:p>
    <w:p w14:paraId="68957D55" w14:textId="676E7079" w:rsidR="0079261E" w:rsidRPr="00422CA2" w:rsidRDefault="0079261E" w:rsidP="00BB5B7B">
      <w:pPr>
        <w:pStyle w:val="IFTnormal"/>
        <w:numPr>
          <w:ilvl w:val="0"/>
          <w:numId w:val="190"/>
        </w:numPr>
        <w:rPr>
          <w:rFonts w:cs="Arial"/>
        </w:rPr>
      </w:pPr>
      <w:r w:rsidRPr="00422CA2">
        <w:rPr>
          <w:rFonts w:cs="Arial"/>
        </w:rPr>
        <w:t xml:space="preserve">La instalación ó desmontaje de los puentes entre la Caja de Distribución Telmex hacia el Anexo de Caja de </w:t>
      </w:r>
      <w:r w:rsidR="00775272" w:rsidRPr="00422CA2">
        <w:rPr>
          <w:rFonts w:cs="Arial"/>
        </w:rPr>
        <w:t>Distribución</w:t>
      </w:r>
      <w:r w:rsidRPr="00422CA2">
        <w:rPr>
          <w:rFonts w:cs="Arial"/>
        </w:rPr>
        <w:t>, son responsabilidad de Telmex, y se realizarán en función a las solicitudes de Alta ó Baja debidamente documentadas (respetivamente).</w:t>
      </w:r>
    </w:p>
    <w:p w14:paraId="7DB363C3" w14:textId="77777777" w:rsidR="0079261E" w:rsidRPr="00422CA2" w:rsidRDefault="0079261E" w:rsidP="00BB5B7B">
      <w:pPr>
        <w:pStyle w:val="IFTnormal"/>
        <w:rPr>
          <w:rFonts w:cs="Arial"/>
          <w:u w:val="single"/>
        </w:rPr>
      </w:pPr>
      <w:r w:rsidRPr="00422CA2">
        <w:rPr>
          <w:rFonts w:cs="Arial"/>
          <w:u w:val="single"/>
        </w:rPr>
        <w:t>CS es responsable de:</w:t>
      </w:r>
    </w:p>
    <w:p w14:paraId="66072B2B" w14:textId="77777777" w:rsidR="0079261E" w:rsidRPr="00422CA2" w:rsidRDefault="0079261E" w:rsidP="00BB5B7B">
      <w:pPr>
        <w:pStyle w:val="IFTnormal"/>
        <w:numPr>
          <w:ilvl w:val="0"/>
          <w:numId w:val="191"/>
        </w:numPr>
        <w:rPr>
          <w:rFonts w:cs="Arial"/>
        </w:rPr>
      </w:pPr>
      <w:r w:rsidRPr="00422CA2">
        <w:rPr>
          <w:rFonts w:cs="Arial"/>
        </w:rPr>
        <w:t>Construcción del registro subterráneo (Pozo del CS).</w:t>
      </w:r>
    </w:p>
    <w:p w14:paraId="3C101039" w14:textId="77777777" w:rsidR="0079261E" w:rsidRPr="00422CA2" w:rsidRDefault="0079261E" w:rsidP="00BB5B7B">
      <w:pPr>
        <w:pStyle w:val="IFTnormal"/>
        <w:numPr>
          <w:ilvl w:val="0"/>
          <w:numId w:val="191"/>
        </w:numPr>
        <w:rPr>
          <w:rFonts w:cs="Arial"/>
        </w:rPr>
      </w:pPr>
      <w:r w:rsidRPr="00422CA2">
        <w:rPr>
          <w:rFonts w:cs="Arial"/>
        </w:rPr>
        <w:t xml:space="preserve">Las especificaciones técnicas del registro subterráneo indicados en el punto 7.- Especificaciones técnicas de un registro “tipo” ubicado en banqueta o arroyo, indica las especificaciones técnicas de un registro “tipo” ubicado en banqueta o arroyo (según sea el caso), con la capacidad de alojar hasta 2 cierres de empalme mismos que conectaran a los cables multipar de 50 pares calibre 0.41 para la conexión de las tablillas ubicadas en el anexo de la caja de distribución.  </w:t>
      </w:r>
    </w:p>
    <w:p w14:paraId="4F4B415C" w14:textId="77777777" w:rsidR="0079261E" w:rsidRPr="00422CA2" w:rsidRDefault="0079261E" w:rsidP="00BB5B7B">
      <w:pPr>
        <w:pStyle w:val="IFTnormal"/>
        <w:numPr>
          <w:ilvl w:val="0"/>
          <w:numId w:val="191"/>
        </w:numPr>
        <w:rPr>
          <w:rFonts w:cs="Arial"/>
        </w:rPr>
      </w:pPr>
      <w:r w:rsidRPr="00422CA2">
        <w:rPr>
          <w:rFonts w:cs="Arial"/>
        </w:rPr>
        <w:t>Puesto que la distancia de la acometida de canalización sobre vía pública está en función de la ubicación del pozo del CS, la gestión y pago de los permisos ante las autoridades correspondientes para la construcción de la obra civil es responsabilidad del CS.</w:t>
      </w:r>
    </w:p>
    <w:p w14:paraId="15173A6B" w14:textId="77777777" w:rsidR="0079261E" w:rsidRPr="00422CA2" w:rsidRDefault="0079261E" w:rsidP="00BB5B7B">
      <w:pPr>
        <w:pStyle w:val="IFTnormal"/>
        <w:numPr>
          <w:ilvl w:val="0"/>
          <w:numId w:val="191"/>
        </w:numPr>
        <w:rPr>
          <w:rFonts w:cs="Arial"/>
        </w:rPr>
      </w:pPr>
      <w:r w:rsidRPr="00422CA2">
        <w:rPr>
          <w:rFonts w:cs="Arial"/>
        </w:rPr>
        <w:t>El sistema de tierra físico para el aterrizaje de equipos instalados por parte de los CS, se deberá instalar en el pozo del CS.</w:t>
      </w:r>
    </w:p>
    <w:p w14:paraId="3728E61A" w14:textId="77777777" w:rsidR="0079261E" w:rsidRPr="00422CA2" w:rsidRDefault="0079261E" w:rsidP="00BB5B7B">
      <w:pPr>
        <w:pStyle w:val="IFTnormal"/>
        <w:rPr>
          <w:rFonts w:cs="Arial"/>
          <w:vanish/>
        </w:rPr>
      </w:pPr>
      <w:bookmarkStart w:id="785" w:name="_Toc428870619"/>
      <w:bookmarkStart w:id="786" w:name="_Toc428878067"/>
      <w:bookmarkStart w:id="787" w:name="_Toc428879922"/>
      <w:bookmarkStart w:id="788" w:name="_Toc433198850"/>
      <w:bookmarkStart w:id="789" w:name="_Toc434839943"/>
      <w:bookmarkStart w:id="790" w:name="_Toc434839955"/>
      <w:bookmarkEnd w:id="785"/>
      <w:bookmarkEnd w:id="786"/>
      <w:bookmarkEnd w:id="787"/>
      <w:bookmarkEnd w:id="788"/>
      <w:bookmarkEnd w:id="789"/>
      <w:bookmarkEnd w:id="790"/>
    </w:p>
    <w:p w14:paraId="03CE6519" w14:textId="79C8846D" w:rsidR="0079261E" w:rsidRPr="00422CA2" w:rsidRDefault="0079261E" w:rsidP="00BB5B7B">
      <w:pPr>
        <w:pStyle w:val="IFTnormal"/>
        <w:rPr>
          <w:rFonts w:cs="Arial"/>
        </w:rPr>
      </w:pPr>
      <w:r w:rsidRPr="00422CA2">
        <w:rPr>
          <w:rFonts w:cs="Arial"/>
        </w:rPr>
        <w:t xml:space="preserve">Antes de iniciar con la instalación del Anexo de </w:t>
      </w:r>
      <w:r w:rsidR="00775272" w:rsidRPr="00422CA2">
        <w:rPr>
          <w:rFonts w:cs="Arial"/>
        </w:rPr>
        <w:t>Caja de Distribución</w:t>
      </w:r>
      <w:r w:rsidRPr="00422CA2">
        <w:rPr>
          <w:rFonts w:cs="Arial"/>
        </w:rPr>
        <w:t xml:space="preserve">, el área de Ingeniería de la DD deberá validar físicamente la factibilidad técnica de </w:t>
      </w:r>
      <w:r w:rsidRPr="00422CA2">
        <w:rPr>
          <w:rFonts w:cs="Arial"/>
        </w:rPr>
        <w:lastRenderedPageBreak/>
        <w:t xml:space="preserve">adecuación en Caja de Distribución para la posterior instalación del Anexo de Caja de </w:t>
      </w:r>
      <w:r w:rsidR="00775272" w:rsidRPr="00422CA2">
        <w:rPr>
          <w:rFonts w:cs="Arial"/>
        </w:rPr>
        <w:t>Distribución</w:t>
      </w:r>
      <w:r w:rsidRPr="00422CA2">
        <w:rPr>
          <w:rFonts w:cs="Arial"/>
        </w:rPr>
        <w:t xml:space="preserve">. Para ello deberá considerar lo siguiente: </w:t>
      </w:r>
    </w:p>
    <w:p w14:paraId="20091B9E" w14:textId="713B8753" w:rsidR="0079261E" w:rsidRPr="00422CA2" w:rsidRDefault="0079261E" w:rsidP="000F56D4">
      <w:pPr>
        <w:pStyle w:val="IFTnormal"/>
        <w:numPr>
          <w:ilvl w:val="0"/>
          <w:numId w:val="192"/>
        </w:numPr>
        <w:rPr>
          <w:rFonts w:cs="Arial"/>
        </w:rPr>
      </w:pPr>
      <w:r w:rsidRPr="00422CA2">
        <w:rPr>
          <w:rFonts w:cs="Arial"/>
        </w:rPr>
        <w:t xml:space="preserve">El </w:t>
      </w:r>
      <w:r w:rsidR="00775272" w:rsidRPr="00422CA2">
        <w:rPr>
          <w:rFonts w:cs="Arial"/>
        </w:rPr>
        <w:t>Anexo</w:t>
      </w:r>
      <w:r w:rsidRPr="00422CA2">
        <w:rPr>
          <w:rFonts w:cs="Arial"/>
        </w:rPr>
        <w:t xml:space="preserve"> de Caja de </w:t>
      </w:r>
      <w:r w:rsidR="00775272" w:rsidRPr="00422CA2">
        <w:rPr>
          <w:rFonts w:cs="Arial"/>
        </w:rPr>
        <w:t>Distribución</w:t>
      </w:r>
      <w:r w:rsidRPr="00422CA2">
        <w:rPr>
          <w:rFonts w:cs="Arial"/>
        </w:rPr>
        <w:t xml:space="preserve"> consta de una envolvente (caja) de lámina capaz de proteger de la intemperie (polvo e ingreso de agua) en su interior, misma que cumple con la Norma IP55.</w:t>
      </w:r>
    </w:p>
    <w:p w14:paraId="18754455" w14:textId="4DD03ED6" w:rsidR="0079261E" w:rsidRPr="00422CA2" w:rsidRDefault="0079261E" w:rsidP="000F56D4">
      <w:pPr>
        <w:pStyle w:val="IFTnormal"/>
        <w:numPr>
          <w:ilvl w:val="0"/>
          <w:numId w:val="192"/>
        </w:numPr>
        <w:rPr>
          <w:rFonts w:cs="Arial"/>
        </w:rPr>
      </w:pPr>
      <w:r w:rsidRPr="00422CA2">
        <w:rPr>
          <w:rFonts w:cs="Arial"/>
        </w:rPr>
        <w:t xml:space="preserve">Para las Cajas de Distribución que técnicamente no sean factibles la instalación del </w:t>
      </w:r>
      <w:r w:rsidR="00775272" w:rsidRPr="00422CA2">
        <w:rPr>
          <w:rFonts w:cs="Arial"/>
        </w:rPr>
        <w:t>Anexo</w:t>
      </w:r>
      <w:r w:rsidRPr="00422CA2">
        <w:rPr>
          <w:rFonts w:cs="Arial"/>
        </w:rPr>
        <w:t xml:space="preserve"> de </w:t>
      </w:r>
      <w:r w:rsidR="00775272" w:rsidRPr="00422CA2">
        <w:rPr>
          <w:rFonts w:cs="Arial"/>
        </w:rPr>
        <w:t>Caja</w:t>
      </w:r>
      <w:r w:rsidRPr="00422CA2">
        <w:rPr>
          <w:rFonts w:cs="Arial"/>
        </w:rPr>
        <w:t xml:space="preserve"> de </w:t>
      </w:r>
      <w:r w:rsidR="00775272" w:rsidRPr="00422CA2">
        <w:rPr>
          <w:rFonts w:cs="Arial"/>
        </w:rPr>
        <w:t>Distribución</w:t>
      </w:r>
      <w:r w:rsidRPr="00422CA2">
        <w:rPr>
          <w:rFonts w:cs="Arial"/>
        </w:rPr>
        <w:t>, se elaborará un reporte y se notificará a los Concesionarios Solicitantes (CS) la no factibilidad para prestar el servicio.</w:t>
      </w:r>
    </w:p>
    <w:p w14:paraId="3F666FE6" w14:textId="77777777" w:rsidR="0079261E" w:rsidRPr="00422CA2" w:rsidRDefault="0079261E" w:rsidP="00BB5B7B">
      <w:pPr>
        <w:pStyle w:val="IFTnormal"/>
        <w:rPr>
          <w:rFonts w:cs="Arial"/>
        </w:rPr>
      </w:pPr>
      <w:r w:rsidRPr="00422CA2">
        <w:rPr>
          <w:rFonts w:cs="Arial"/>
        </w:rPr>
        <w:t>El anexo a la Caja de Distribución consta de los siguientes elementos:</w:t>
      </w:r>
    </w:p>
    <w:p w14:paraId="57DFB254" w14:textId="77777777" w:rsidR="0079261E" w:rsidRPr="00422CA2" w:rsidRDefault="0079261E" w:rsidP="000F56D4">
      <w:pPr>
        <w:pStyle w:val="IFTnormal"/>
        <w:numPr>
          <w:ilvl w:val="0"/>
          <w:numId w:val="193"/>
        </w:numPr>
        <w:rPr>
          <w:rFonts w:cs="Arial"/>
        </w:rPr>
      </w:pPr>
      <w:r w:rsidRPr="00422CA2">
        <w:rPr>
          <w:rFonts w:cs="Arial"/>
        </w:rPr>
        <w:t>Base de concreto,</w:t>
      </w:r>
    </w:p>
    <w:p w14:paraId="3BC9304F" w14:textId="3E8BC811" w:rsidR="0079261E" w:rsidRPr="00422CA2" w:rsidRDefault="0079261E" w:rsidP="000F56D4">
      <w:pPr>
        <w:pStyle w:val="IFTnormal"/>
        <w:numPr>
          <w:ilvl w:val="0"/>
          <w:numId w:val="193"/>
        </w:numPr>
        <w:rPr>
          <w:rFonts w:cs="Arial"/>
        </w:rPr>
      </w:pPr>
      <w:r w:rsidRPr="00422CA2">
        <w:rPr>
          <w:rFonts w:cs="Arial"/>
        </w:rPr>
        <w:t>Anexo de Caja de Distribución (envolvente metálica),</w:t>
      </w:r>
    </w:p>
    <w:p w14:paraId="304F20D7" w14:textId="77777777" w:rsidR="0079261E" w:rsidRPr="00422CA2" w:rsidRDefault="0079261E" w:rsidP="000F56D4">
      <w:pPr>
        <w:pStyle w:val="IFTnormal"/>
        <w:numPr>
          <w:ilvl w:val="0"/>
          <w:numId w:val="193"/>
        </w:numPr>
        <w:rPr>
          <w:rFonts w:cs="Arial"/>
        </w:rPr>
      </w:pPr>
      <w:r w:rsidRPr="00422CA2">
        <w:rPr>
          <w:rFonts w:cs="Arial"/>
        </w:rPr>
        <w:t>Tubos de PVC (2 tubos de 80 mm de diámetro) que interconectan a la base de concreto y el registro subterráneo (pozo del CS),</w:t>
      </w:r>
    </w:p>
    <w:p w14:paraId="66AB9F49" w14:textId="77777777" w:rsidR="0079261E" w:rsidRPr="00422CA2" w:rsidRDefault="0079261E" w:rsidP="000F56D4">
      <w:pPr>
        <w:pStyle w:val="IFTnormal"/>
        <w:numPr>
          <w:ilvl w:val="0"/>
          <w:numId w:val="193"/>
        </w:numPr>
        <w:rPr>
          <w:rFonts w:cs="Arial"/>
        </w:rPr>
      </w:pPr>
      <w:r w:rsidRPr="00422CA2">
        <w:rPr>
          <w:rFonts w:cs="Arial"/>
        </w:rPr>
        <w:t>Registro subterráneo (pozo del CS).</w:t>
      </w:r>
    </w:p>
    <w:p w14:paraId="7013EF1B" w14:textId="3F9BDC57" w:rsidR="0079261E" w:rsidRPr="00422CA2" w:rsidRDefault="0079261E" w:rsidP="00BB5B7B">
      <w:pPr>
        <w:pStyle w:val="IFTnormal"/>
      </w:pPr>
      <w:bookmarkStart w:id="791" w:name="_Toc434839956"/>
      <w:r w:rsidRPr="00422CA2">
        <w:t>IDENTIFICACIÓN DE LAS TABLILLAS EN EL ANEXO DE CAJA DE DISTRIBUCIÓN.</w:t>
      </w:r>
      <w:bookmarkEnd w:id="791"/>
    </w:p>
    <w:p w14:paraId="7BE77876" w14:textId="77777777" w:rsidR="0079261E" w:rsidRPr="00422CA2" w:rsidRDefault="0079261E" w:rsidP="00BB5B7B">
      <w:pPr>
        <w:pStyle w:val="IFTnormal"/>
        <w:rPr>
          <w:rFonts w:cs="Arial"/>
        </w:rPr>
      </w:pPr>
      <w:r w:rsidRPr="00422CA2">
        <w:rPr>
          <w:rFonts w:cs="Arial"/>
        </w:rPr>
        <w:t>Tomando como referencia la ventana en la Caja de distribución que permita el paso de los cables entre el Anexo y la Caja de Distribución, el orden de ubicación de las tablillas de interconexión debe ser el que se indica en la siguiente figura:</w:t>
      </w:r>
    </w:p>
    <w:p w14:paraId="7A053635" w14:textId="77777777" w:rsidR="0079261E" w:rsidRPr="00422CA2" w:rsidRDefault="0079261E" w:rsidP="000F56D4">
      <w:pPr>
        <w:pStyle w:val="IFTnormal"/>
        <w:jc w:val="center"/>
        <w:rPr>
          <w:rFonts w:cs="Arial"/>
        </w:rPr>
      </w:pPr>
      <w:r w:rsidRPr="00422CA2">
        <w:rPr>
          <w:noProof/>
          <w:lang w:eastAsia="es-MX"/>
        </w:rPr>
        <w:lastRenderedPageBreak/>
        <w:drawing>
          <wp:inline distT="0" distB="0" distL="0" distR="0" wp14:anchorId="0355CA4E" wp14:editId="0D3EC5F7">
            <wp:extent cx="4104624" cy="3132814"/>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104624" cy="3132814"/>
                    </a:xfrm>
                    <a:prstGeom prst="rect">
                      <a:avLst/>
                    </a:prstGeom>
                    <a:noFill/>
                    <a:ln>
                      <a:noFill/>
                    </a:ln>
                  </pic:spPr>
                </pic:pic>
              </a:graphicData>
            </a:graphic>
          </wp:inline>
        </w:drawing>
      </w:r>
    </w:p>
    <w:p w14:paraId="34FD8C76" w14:textId="07BD1EFF" w:rsidR="0079261E" w:rsidRPr="00422CA2" w:rsidRDefault="0079261E" w:rsidP="00BF2AEC">
      <w:pPr>
        <w:pStyle w:val="IFTnormal"/>
        <w:jc w:val="center"/>
        <w:rPr>
          <w:rFonts w:cs="Arial"/>
          <w:i/>
          <w:sz w:val="18"/>
          <w:szCs w:val="18"/>
        </w:rPr>
      </w:pPr>
      <w:r w:rsidRPr="00422CA2">
        <w:rPr>
          <w:rFonts w:cs="Arial"/>
          <w:i/>
          <w:sz w:val="18"/>
          <w:szCs w:val="18"/>
        </w:rPr>
        <w:t>Ordenamiento de Tablillas en el Anexo de Caja de Distribución.</w:t>
      </w:r>
    </w:p>
    <w:p w14:paraId="3A20E4FB" w14:textId="77777777" w:rsidR="0079261E" w:rsidRPr="00422CA2" w:rsidRDefault="0079261E" w:rsidP="000F56D4">
      <w:pPr>
        <w:pStyle w:val="IFTnormal"/>
        <w:numPr>
          <w:ilvl w:val="0"/>
          <w:numId w:val="194"/>
        </w:numPr>
        <w:rPr>
          <w:rFonts w:cs="Arial"/>
        </w:rPr>
      </w:pPr>
      <w:r w:rsidRPr="00422CA2">
        <w:rPr>
          <w:rFonts w:cs="Arial"/>
        </w:rPr>
        <w:t>El orden de ubicación de las tablillas así como sus crecimientos será de “Arriba hacia abajo”, tal y como se ilustra en la figura anterior.</w:t>
      </w:r>
    </w:p>
    <w:p w14:paraId="1AFD52D1" w14:textId="77777777" w:rsidR="0079261E" w:rsidRPr="00422CA2" w:rsidRDefault="0079261E" w:rsidP="000F56D4">
      <w:pPr>
        <w:pStyle w:val="IFTnormal"/>
        <w:numPr>
          <w:ilvl w:val="0"/>
          <w:numId w:val="194"/>
        </w:numPr>
        <w:rPr>
          <w:rFonts w:cs="Arial"/>
        </w:rPr>
      </w:pPr>
      <w:r w:rsidRPr="00422CA2">
        <w:rPr>
          <w:rFonts w:cs="Arial"/>
        </w:rPr>
        <w:t>Cada tablilla está conformada por 10 conectores modulares con splitter.</w:t>
      </w:r>
    </w:p>
    <w:p w14:paraId="035EE968" w14:textId="77777777" w:rsidR="0079261E" w:rsidRPr="00422CA2" w:rsidRDefault="0079261E" w:rsidP="000F56D4">
      <w:pPr>
        <w:pStyle w:val="IFTnormal"/>
        <w:numPr>
          <w:ilvl w:val="0"/>
          <w:numId w:val="194"/>
        </w:numPr>
        <w:rPr>
          <w:rFonts w:cs="Arial"/>
        </w:rPr>
      </w:pPr>
      <w:r w:rsidRPr="00422CA2">
        <w:rPr>
          <w:rFonts w:cs="Arial"/>
        </w:rPr>
        <w:t>Cada tablilla debe ser independiente, es decir, cada CS tendrá su propia tablilla.</w:t>
      </w:r>
    </w:p>
    <w:p w14:paraId="6B2CE736" w14:textId="1EF4A576" w:rsidR="0079261E" w:rsidRPr="00422CA2" w:rsidRDefault="0079261E" w:rsidP="000F56D4">
      <w:pPr>
        <w:pStyle w:val="IFTnormal"/>
        <w:numPr>
          <w:ilvl w:val="0"/>
          <w:numId w:val="194"/>
        </w:numPr>
        <w:rPr>
          <w:rFonts w:cs="Arial"/>
        </w:rPr>
      </w:pPr>
      <w:r w:rsidRPr="00422CA2">
        <w:rPr>
          <w:rFonts w:cs="Arial"/>
        </w:rPr>
        <w:t xml:space="preserve">El </w:t>
      </w:r>
      <w:r w:rsidR="00775272" w:rsidRPr="00422CA2">
        <w:rPr>
          <w:rFonts w:cs="Arial"/>
        </w:rPr>
        <w:t>Anexo</w:t>
      </w:r>
      <w:r w:rsidRPr="00422CA2">
        <w:rPr>
          <w:rFonts w:cs="Arial"/>
        </w:rPr>
        <w:t xml:space="preserve"> de Caja de </w:t>
      </w:r>
      <w:r w:rsidR="00775272" w:rsidRPr="00422CA2">
        <w:rPr>
          <w:rFonts w:cs="Arial"/>
        </w:rPr>
        <w:t>Distribución</w:t>
      </w:r>
      <w:r w:rsidRPr="00422CA2">
        <w:rPr>
          <w:rFonts w:cs="Arial"/>
        </w:rPr>
        <w:t xml:space="preserve"> permite alojar hasta 10 tablillas (10 conectores modulares por cada tablilla).</w:t>
      </w:r>
    </w:p>
    <w:p w14:paraId="34AEF7CE" w14:textId="54857F32" w:rsidR="0079261E" w:rsidRPr="00422CA2" w:rsidRDefault="0079261E" w:rsidP="000F56D4">
      <w:pPr>
        <w:pStyle w:val="IFTnormal"/>
        <w:numPr>
          <w:ilvl w:val="0"/>
          <w:numId w:val="194"/>
        </w:numPr>
        <w:rPr>
          <w:rFonts w:cs="Arial"/>
        </w:rPr>
      </w:pPr>
      <w:r w:rsidRPr="00422CA2">
        <w:rPr>
          <w:rFonts w:cs="Arial"/>
        </w:rPr>
        <w:t xml:space="preserve">Cuando la demanda de los servicios de desagregación en el sub bucle local supere las 10 tablillas (100 conectores modulares por </w:t>
      </w:r>
      <w:r w:rsidR="00775272" w:rsidRPr="00422CA2">
        <w:rPr>
          <w:rFonts w:cs="Arial"/>
        </w:rPr>
        <w:t>Anexo</w:t>
      </w:r>
      <w:r w:rsidRPr="00422CA2">
        <w:rPr>
          <w:rFonts w:cs="Arial"/>
        </w:rPr>
        <w:t xml:space="preserve"> de </w:t>
      </w:r>
      <w:r w:rsidR="00775272" w:rsidRPr="00422CA2">
        <w:rPr>
          <w:rFonts w:cs="Arial"/>
        </w:rPr>
        <w:t>Caja</w:t>
      </w:r>
      <w:r w:rsidRPr="00422CA2">
        <w:rPr>
          <w:rFonts w:cs="Arial"/>
        </w:rPr>
        <w:t xml:space="preserve"> de </w:t>
      </w:r>
      <w:r w:rsidR="00775272" w:rsidRPr="00422CA2">
        <w:rPr>
          <w:rFonts w:cs="Arial"/>
        </w:rPr>
        <w:t>Distribución</w:t>
      </w:r>
      <w:r w:rsidRPr="00422CA2">
        <w:rPr>
          <w:rFonts w:cs="Arial"/>
        </w:rPr>
        <w:t xml:space="preserve">), se procederá con la instalación de un segundo </w:t>
      </w:r>
      <w:r w:rsidR="00775272" w:rsidRPr="00422CA2">
        <w:rPr>
          <w:rFonts w:cs="Arial"/>
        </w:rPr>
        <w:t>Anexo</w:t>
      </w:r>
      <w:r w:rsidRPr="00422CA2">
        <w:rPr>
          <w:rFonts w:cs="Arial"/>
        </w:rPr>
        <w:t xml:space="preserve"> de </w:t>
      </w:r>
      <w:r w:rsidR="00775272" w:rsidRPr="00422CA2">
        <w:rPr>
          <w:rFonts w:cs="Arial"/>
        </w:rPr>
        <w:t>Caja</w:t>
      </w:r>
      <w:r w:rsidRPr="00422CA2">
        <w:rPr>
          <w:rFonts w:cs="Arial"/>
        </w:rPr>
        <w:t xml:space="preserve"> de </w:t>
      </w:r>
      <w:r w:rsidR="00775272" w:rsidRPr="00422CA2">
        <w:rPr>
          <w:rFonts w:cs="Arial"/>
        </w:rPr>
        <w:t>Distribución</w:t>
      </w:r>
      <w:r w:rsidRPr="00422CA2">
        <w:rPr>
          <w:rFonts w:cs="Arial"/>
        </w:rPr>
        <w:t>, ubicado a un costado de la caja de distribución y en lado contrario al primer anexo ya saturado, bajo las mismas condiciones establecidas en este documento.</w:t>
      </w:r>
    </w:p>
    <w:p w14:paraId="376576F9" w14:textId="23E95D78" w:rsidR="0079261E" w:rsidRPr="00422CA2" w:rsidRDefault="0079261E" w:rsidP="000F56D4">
      <w:pPr>
        <w:pStyle w:val="IFTnormal"/>
        <w:numPr>
          <w:ilvl w:val="0"/>
          <w:numId w:val="194"/>
        </w:numPr>
        <w:rPr>
          <w:rFonts w:cs="Arial"/>
        </w:rPr>
      </w:pPr>
      <w:r w:rsidRPr="00422CA2">
        <w:rPr>
          <w:rFonts w:cs="Arial"/>
        </w:rPr>
        <w:t>La información de cada uno de los puertos de las tablillas, deberá estar debidamente identificado de acuerdo a la figura anterior, y debe colocarse en el interior de la puerta del Anexo de Caja de Distribución.</w:t>
      </w:r>
    </w:p>
    <w:p w14:paraId="5E104BE5" w14:textId="77777777" w:rsidR="0079261E" w:rsidRPr="00422CA2" w:rsidRDefault="0079261E" w:rsidP="000F56D4">
      <w:pPr>
        <w:pStyle w:val="IFTnormal"/>
        <w:jc w:val="center"/>
        <w:rPr>
          <w:rFonts w:cs="Arial"/>
        </w:rPr>
      </w:pPr>
      <w:r w:rsidRPr="00422CA2">
        <w:rPr>
          <w:noProof/>
          <w:lang w:eastAsia="es-MX"/>
        </w:rPr>
        <w:lastRenderedPageBreak/>
        <w:drawing>
          <wp:inline distT="0" distB="0" distL="0" distR="0" wp14:anchorId="3C3D4DFA" wp14:editId="16E540F8">
            <wp:extent cx="5707453" cy="2973788"/>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07453" cy="2973788"/>
                    </a:xfrm>
                    <a:prstGeom prst="rect">
                      <a:avLst/>
                    </a:prstGeom>
                    <a:noFill/>
                    <a:ln>
                      <a:noFill/>
                    </a:ln>
                  </pic:spPr>
                </pic:pic>
              </a:graphicData>
            </a:graphic>
          </wp:inline>
        </w:drawing>
      </w:r>
    </w:p>
    <w:p w14:paraId="323C6EE7" w14:textId="624B999F" w:rsidR="0079261E" w:rsidRPr="00422CA2" w:rsidRDefault="0079261E" w:rsidP="000F56D4">
      <w:pPr>
        <w:pStyle w:val="IFTnormal"/>
        <w:jc w:val="center"/>
        <w:rPr>
          <w:rFonts w:cs="Arial"/>
          <w:i/>
          <w:sz w:val="18"/>
          <w:szCs w:val="18"/>
        </w:rPr>
      </w:pPr>
      <w:r w:rsidRPr="00422CA2">
        <w:rPr>
          <w:rFonts w:cs="Arial"/>
          <w:i/>
          <w:sz w:val="18"/>
          <w:szCs w:val="18"/>
        </w:rPr>
        <w:t>Identificación de Tablillas en el Anexo de Caja de Distribución.</w:t>
      </w:r>
    </w:p>
    <w:p w14:paraId="2564980D" w14:textId="77777777" w:rsidR="0079261E" w:rsidRPr="00422CA2" w:rsidRDefault="0079261E" w:rsidP="00BB5B7B">
      <w:pPr>
        <w:pStyle w:val="IFTnormal"/>
      </w:pPr>
      <w:r w:rsidRPr="00422CA2">
        <w:t>El tipo de tablillas serán de dos tipos: Con splitter multi-DSL integrado y sin splitter, esto en función al tipo de desagregación proporcionado:</w:t>
      </w:r>
    </w:p>
    <w:p w14:paraId="1F29EAF0" w14:textId="77777777" w:rsidR="0079261E" w:rsidRPr="00422CA2" w:rsidRDefault="0079261E" w:rsidP="000F56D4">
      <w:pPr>
        <w:pStyle w:val="IFTnormal"/>
        <w:numPr>
          <w:ilvl w:val="0"/>
          <w:numId w:val="195"/>
        </w:numPr>
      </w:pPr>
      <w:r w:rsidRPr="00422CA2">
        <w:t>Tablillas con splitter para servicio compartido (SDCSB).</w:t>
      </w:r>
    </w:p>
    <w:p w14:paraId="2626C637" w14:textId="77777777" w:rsidR="0079261E" w:rsidRPr="00422CA2" w:rsidRDefault="0079261E" w:rsidP="000F56D4">
      <w:pPr>
        <w:pStyle w:val="IFTnormal"/>
        <w:numPr>
          <w:ilvl w:val="0"/>
          <w:numId w:val="195"/>
        </w:numPr>
      </w:pPr>
      <w:r w:rsidRPr="00422CA2">
        <w:t>Tablillas sin splitter para servicio total (SDTSB).</w:t>
      </w:r>
    </w:p>
    <w:p w14:paraId="604CAD11" w14:textId="1AEE233B" w:rsidR="0079261E" w:rsidRPr="00422CA2" w:rsidRDefault="00E12D30" w:rsidP="00BB5B7B">
      <w:pPr>
        <w:pStyle w:val="IFTnormal"/>
      </w:pPr>
      <w:bookmarkStart w:id="792" w:name="_Toc434839957"/>
      <w:r w:rsidRPr="00422CA2">
        <w:rPr>
          <w:noProof/>
          <w:lang w:eastAsia="es-MX"/>
        </w:rPr>
        <w:lastRenderedPageBreak/>
        <w:drawing>
          <wp:anchor distT="0" distB="0" distL="114300" distR="114300" simplePos="0" relativeHeight="251657216" behindDoc="0" locked="0" layoutInCell="1" allowOverlap="1" wp14:anchorId="73FA3911" wp14:editId="7FDF2275">
            <wp:simplePos x="0" y="0"/>
            <wp:positionH relativeFrom="column">
              <wp:posOffset>-568465</wp:posOffset>
            </wp:positionH>
            <wp:positionV relativeFrom="paragraph">
              <wp:posOffset>1806822</wp:posOffset>
            </wp:positionV>
            <wp:extent cx="6653530" cy="4324985"/>
            <wp:effectExtent l="0" t="1162050" r="0" b="1142365"/>
            <wp:wrapTopAndBottom/>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5" cstate="print"/>
                    <a:srcRect l="3407" t="14607" r="1958" b="8324"/>
                    <a:stretch>
                      <a:fillRect/>
                    </a:stretch>
                  </pic:blipFill>
                  <pic:spPr bwMode="auto">
                    <a:xfrm rot="16200000">
                      <a:off x="0" y="0"/>
                      <a:ext cx="6653530" cy="43249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9261E" w:rsidRPr="00422CA2">
        <w:t xml:space="preserve">ESPECIFICACIONES TÉCNICAS DE UN REGISTRO “TIPO” UBICADO EN BANQUETA O </w:t>
      </w:r>
      <w:r w:rsidR="0079261E" w:rsidRPr="00422CA2">
        <w:lastRenderedPageBreak/>
        <w:t>ARROYO.</w:t>
      </w:r>
      <w:bookmarkEnd w:id="792"/>
    </w:p>
    <w:p w14:paraId="0838F62D" w14:textId="769DB322" w:rsidR="00E12D30" w:rsidRPr="00422CA2" w:rsidRDefault="00E12D30" w:rsidP="0079261E">
      <w:pPr>
        <w:jc w:val="both"/>
        <w:rPr>
          <w:rFonts w:ascii="ITC Avant Garde" w:hAnsi="ITC Avant Garde"/>
        </w:rPr>
      </w:pPr>
    </w:p>
    <w:p w14:paraId="0C48C749" w14:textId="77777777" w:rsidR="00E12D30" w:rsidRPr="00422CA2" w:rsidRDefault="00E12D30" w:rsidP="0079261E">
      <w:pPr>
        <w:jc w:val="both"/>
        <w:rPr>
          <w:rFonts w:ascii="ITC Avant Garde" w:hAnsi="ITC Avant Garde"/>
        </w:rPr>
      </w:pPr>
    </w:p>
    <w:p w14:paraId="75462420" w14:textId="52A27183" w:rsidR="0079261E" w:rsidRPr="00422CA2" w:rsidRDefault="0079261E" w:rsidP="0079261E">
      <w:pPr>
        <w:jc w:val="both"/>
        <w:rPr>
          <w:rFonts w:ascii="ITC Avant Garde" w:hAnsi="ITC Avant Garde"/>
        </w:rPr>
      </w:pPr>
    </w:p>
    <w:p w14:paraId="14A70F87" w14:textId="77777777" w:rsidR="00E12D30" w:rsidRPr="00422CA2" w:rsidRDefault="00E12D30" w:rsidP="0079261E">
      <w:pPr>
        <w:jc w:val="both"/>
        <w:rPr>
          <w:rFonts w:ascii="ITC Avant Garde" w:hAnsi="ITC Avant Garde"/>
        </w:rPr>
      </w:pPr>
    </w:p>
    <w:p w14:paraId="03A1839C" w14:textId="77777777" w:rsidR="00E12D30" w:rsidRPr="00422CA2" w:rsidRDefault="00E12D30" w:rsidP="0079261E">
      <w:pPr>
        <w:jc w:val="both"/>
        <w:rPr>
          <w:rFonts w:ascii="ITC Avant Garde" w:hAnsi="ITC Avant Garde"/>
        </w:rPr>
      </w:pPr>
    </w:p>
    <w:p w14:paraId="1EE4E47A" w14:textId="77777777" w:rsidR="0079261E" w:rsidRPr="00422CA2" w:rsidRDefault="0079261E" w:rsidP="0079261E">
      <w:pPr>
        <w:jc w:val="both"/>
        <w:rPr>
          <w:rFonts w:ascii="ITC Avant Garde" w:hAnsi="ITC Avant Garde"/>
        </w:rPr>
      </w:pPr>
      <w:r w:rsidRPr="00422CA2">
        <w:rPr>
          <w:rFonts w:ascii="ITC Avant Garde" w:hAnsi="ITC Avant Garde"/>
          <w:noProof/>
          <w:lang w:val="es-MX" w:eastAsia="es-MX"/>
        </w:rPr>
        <w:drawing>
          <wp:inline distT="0" distB="0" distL="0" distR="0" wp14:anchorId="0DEA5C75" wp14:editId="72E9B9BC">
            <wp:extent cx="6126841" cy="4597400"/>
            <wp:effectExtent l="0" t="0" r="7620" b="0"/>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6" cstate="print"/>
                    <a:srcRect/>
                    <a:stretch>
                      <a:fillRect/>
                    </a:stretch>
                  </pic:blipFill>
                  <pic:spPr bwMode="auto">
                    <a:xfrm>
                      <a:off x="0" y="0"/>
                      <a:ext cx="6129173" cy="4599150"/>
                    </a:xfrm>
                    <a:prstGeom prst="rect">
                      <a:avLst/>
                    </a:prstGeom>
                    <a:noFill/>
                    <a:ln w="9525">
                      <a:noFill/>
                      <a:miter lim="800000"/>
                      <a:headEnd/>
                      <a:tailEnd/>
                    </a:ln>
                  </pic:spPr>
                </pic:pic>
              </a:graphicData>
            </a:graphic>
          </wp:inline>
        </w:drawing>
      </w:r>
    </w:p>
    <w:p w14:paraId="4E1DD1BE" w14:textId="77777777" w:rsidR="0079261E" w:rsidRPr="00422CA2" w:rsidRDefault="0079261E" w:rsidP="0079261E">
      <w:pPr>
        <w:jc w:val="both"/>
        <w:rPr>
          <w:rFonts w:ascii="ITC Avant Garde" w:hAnsi="ITC Avant Garde"/>
          <w:noProof/>
          <w:lang w:val="es-ES"/>
        </w:rPr>
      </w:pPr>
    </w:p>
    <w:p w14:paraId="6904536B" w14:textId="77777777" w:rsidR="0079261E" w:rsidRPr="00422CA2" w:rsidRDefault="0079261E" w:rsidP="0079261E">
      <w:pPr>
        <w:jc w:val="both"/>
        <w:rPr>
          <w:rFonts w:ascii="ITC Avant Garde" w:hAnsi="ITC Avant Garde"/>
          <w:noProof/>
          <w:lang w:val="es-ES"/>
        </w:rPr>
      </w:pPr>
    </w:p>
    <w:p w14:paraId="66011133" w14:textId="77777777" w:rsidR="0079261E" w:rsidRPr="00422CA2" w:rsidRDefault="0079261E" w:rsidP="0079261E">
      <w:pPr>
        <w:jc w:val="both"/>
        <w:rPr>
          <w:rFonts w:ascii="ITC Avant Garde" w:hAnsi="ITC Avant Garde"/>
          <w:noProof/>
          <w:lang w:val="es-ES"/>
        </w:rPr>
      </w:pPr>
    </w:p>
    <w:p w14:paraId="51FDCFDB" w14:textId="77777777" w:rsidR="0079261E" w:rsidRPr="00422CA2" w:rsidRDefault="0079261E" w:rsidP="0079261E">
      <w:pPr>
        <w:jc w:val="both"/>
        <w:rPr>
          <w:rFonts w:ascii="ITC Avant Garde" w:hAnsi="ITC Avant Garde"/>
        </w:rPr>
      </w:pPr>
      <w:r w:rsidRPr="00422CA2">
        <w:rPr>
          <w:rFonts w:ascii="ITC Avant Garde" w:hAnsi="ITC Avant Garde"/>
          <w:noProof/>
          <w:lang w:val="es-MX" w:eastAsia="es-MX"/>
        </w:rPr>
        <w:lastRenderedPageBreak/>
        <w:drawing>
          <wp:anchor distT="0" distB="0" distL="114300" distR="114300" simplePos="0" relativeHeight="251659264" behindDoc="0" locked="0" layoutInCell="1" allowOverlap="1" wp14:anchorId="0B875B35" wp14:editId="4E5EF50D">
            <wp:simplePos x="0" y="0"/>
            <wp:positionH relativeFrom="column">
              <wp:posOffset>-912305</wp:posOffset>
            </wp:positionH>
            <wp:positionV relativeFrom="paragraph">
              <wp:posOffset>1520331</wp:posOffset>
            </wp:positionV>
            <wp:extent cx="7887970" cy="5264150"/>
            <wp:effectExtent l="0" t="1314450" r="0" b="128905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7" cstate="print"/>
                    <a:srcRect l="3432" t="12575" r="2141" b="3728"/>
                    <a:stretch>
                      <a:fillRect/>
                    </a:stretch>
                  </pic:blipFill>
                  <pic:spPr bwMode="auto">
                    <a:xfrm rot="16200000">
                      <a:off x="0" y="0"/>
                      <a:ext cx="7887970" cy="5264150"/>
                    </a:xfrm>
                    <a:prstGeom prst="rect">
                      <a:avLst/>
                    </a:prstGeom>
                    <a:noFill/>
                    <a:ln w="9525">
                      <a:noFill/>
                      <a:miter lim="800000"/>
                      <a:headEnd/>
                      <a:tailEnd/>
                    </a:ln>
                  </pic:spPr>
                </pic:pic>
              </a:graphicData>
            </a:graphic>
          </wp:anchor>
        </w:drawing>
      </w:r>
    </w:p>
    <w:p w14:paraId="111BE7D7" w14:textId="77777777" w:rsidR="0079261E" w:rsidRPr="00422CA2" w:rsidRDefault="0079261E" w:rsidP="0079261E">
      <w:pPr>
        <w:jc w:val="both"/>
        <w:rPr>
          <w:rFonts w:ascii="ITC Avant Garde" w:hAnsi="ITC Avant Garde"/>
        </w:rPr>
      </w:pPr>
      <w:r w:rsidRPr="00422CA2">
        <w:rPr>
          <w:rFonts w:ascii="ITC Avant Garde" w:hAnsi="ITC Avant Garde"/>
          <w:noProof/>
          <w:lang w:val="es-MX" w:eastAsia="es-MX"/>
        </w:rPr>
        <w:lastRenderedPageBreak/>
        <w:drawing>
          <wp:inline distT="0" distB="0" distL="0" distR="0" wp14:anchorId="6583BB6D" wp14:editId="09BA3BF6">
            <wp:extent cx="5816721" cy="6232368"/>
            <wp:effectExtent l="19050" t="0" r="0" b="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8" cstate="print"/>
                    <a:srcRect l="17998" t="3564" r="20197" b="8127"/>
                    <a:stretch>
                      <a:fillRect/>
                    </a:stretch>
                  </pic:blipFill>
                  <pic:spPr bwMode="auto">
                    <a:xfrm>
                      <a:off x="0" y="0"/>
                      <a:ext cx="5819122" cy="6234941"/>
                    </a:xfrm>
                    <a:prstGeom prst="rect">
                      <a:avLst/>
                    </a:prstGeom>
                    <a:noFill/>
                    <a:ln w="9525">
                      <a:noFill/>
                      <a:miter lim="800000"/>
                      <a:headEnd/>
                      <a:tailEnd/>
                    </a:ln>
                  </pic:spPr>
                </pic:pic>
              </a:graphicData>
            </a:graphic>
          </wp:inline>
        </w:drawing>
      </w:r>
    </w:p>
    <w:p w14:paraId="7699F06E" w14:textId="77777777" w:rsidR="0079261E" w:rsidRPr="00422CA2" w:rsidRDefault="0079261E" w:rsidP="0079261E">
      <w:pPr>
        <w:jc w:val="both"/>
        <w:rPr>
          <w:rFonts w:ascii="ITC Avant Garde" w:hAnsi="ITC Avant Garde"/>
        </w:rPr>
      </w:pPr>
    </w:p>
    <w:p w14:paraId="0AA99730" w14:textId="77777777" w:rsidR="0079261E" w:rsidRPr="00422CA2" w:rsidRDefault="0079261E" w:rsidP="0079261E">
      <w:pPr>
        <w:jc w:val="both"/>
        <w:rPr>
          <w:rFonts w:ascii="ITC Avant Garde" w:hAnsi="ITC Avant Garde"/>
        </w:rPr>
      </w:pPr>
    </w:p>
    <w:p w14:paraId="2719BD38" w14:textId="77777777" w:rsidR="0079261E" w:rsidRPr="00422CA2" w:rsidRDefault="0079261E" w:rsidP="0079261E">
      <w:pPr>
        <w:jc w:val="both"/>
        <w:rPr>
          <w:rFonts w:ascii="ITC Avant Garde" w:hAnsi="ITC Avant Garde"/>
        </w:rPr>
      </w:pPr>
    </w:p>
    <w:p w14:paraId="217CCA56" w14:textId="77777777" w:rsidR="0079261E" w:rsidRPr="00422CA2" w:rsidRDefault="0079261E" w:rsidP="0079261E">
      <w:pPr>
        <w:jc w:val="both"/>
        <w:rPr>
          <w:rFonts w:ascii="ITC Avant Garde" w:hAnsi="ITC Avant Garde"/>
        </w:rPr>
      </w:pPr>
    </w:p>
    <w:p w14:paraId="4B6B1989" w14:textId="77777777" w:rsidR="0079261E" w:rsidRPr="00422CA2" w:rsidRDefault="0079261E" w:rsidP="0079261E">
      <w:pPr>
        <w:jc w:val="both"/>
        <w:rPr>
          <w:rFonts w:ascii="ITC Avant Garde" w:hAnsi="ITC Avant Garde"/>
        </w:rPr>
      </w:pPr>
    </w:p>
    <w:p w14:paraId="66BF83DE" w14:textId="77777777" w:rsidR="0079261E" w:rsidRPr="00422CA2" w:rsidRDefault="0079261E" w:rsidP="0079261E">
      <w:pPr>
        <w:jc w:val="both"/>
        <w:rPr>
          <w:rFonts w:ascii="ITC Avant Garde" w:hAnsi="ITC Avant Garde"/>
        </w:rPr>
      </w:pPr>
    </w:p>
    <w:p w14:paraId="5C32D974" w14:textId="77777777" w:rsidR="0079261E" w:rsidRPr="00422CA2" w:rsidRDefault="0079261E" w:rsidP="0079261E">
      <w:pPr>
        <w:jc w:val="both"/>
        <w:rPr>
          <w:rFonts w:ascii="ITC Avant Garde" w:hAnsi="ITC Avant Garde"/>
        </w:rPr>
      </w:pPr>
    </w:p>
    <w:p w14:paraId="25CD1002" w14:textId="77777777" w:rsidR="0079261E" w:rsidRPr="00422CA2" w:rsidRDefault="0079261E" w:rsidP="0079261E">
      <w:pPr>
        <w:jc w:val="both"/>
        <w:rPr>
          <w:rFonts w:ascii="ITC Avant Garde" w:hAnsi="ITC Avant Garde"/>
        </w:rPr>
      </w:pPr>
      <w:r w:rsidRPr="00422CA2">
        <w:rPr>
          <w:rFonts w:ascii="ITC Avant Garde" w:hAnsi="ITC Avant Garde"/>
          <w:noProof/>
          <w:lang w:val="es-MX" w:eastAsia="es-MX"/>
        </w:rPr>
        <w:lastRenderedPageBreak/>
        <w:drawing>
          <wp:anchor distT="0" distB="0" distL="114300" distR="114300" simplePos="0" relativeHeight="251661312" behindDoc="0" locked="0" layoutInCell="1" allowOverlap="1" wp14:anchorId="489B0D68" wp14:editId="4C28050C">
            <wp:simplePos x="0" y="0"/>
            <wp:positionH relativeFrom="column">
              <wp:posOffset>-807275</wp:posOffset>
            </wp:positionH>
            <wp:positionV relativeFrom="paragraph">
              <wp:posOffset>1517023</wp:posOffset>
            </wp:positionV>
            <wp:extent cx="7887970" cy="5264150"/>
            <wp:effectExtent l="0" t="1314450" r="0" b="1289050"/>
            <wp:wrapSquare wrapText="bothSides"/>
            <wp:docPr id="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7" cstate="print"/>
                    <a:srcRect l="3432" t="12575" r="2141" b="3728"/>
                    <a:stretch>
                      <a:fillRect/>
                    </a:stretch>
                  </pic:blipFill>
                  <pic:spPr bwMode="auto">
                    <a:xfrm rot="16200000">
                      <a:off x="0" y="0"/>
                      <a:ext cx="7887970" cy="5264150"/>
                    </a:xfrm>
                    <a:prstGeom prst="rect">
                      <a:avLst/>
                    </a:prstGeom>
                    <a:noFill/>
                    <a:ln w="9525">
                      <a:noFill/>
                      <a:miter lim="800000"/>
                      <a:headEnd/>
                      <a:tailEnd/>
                    </a:ln>
                  </pic:spPr>
                </pic:pic>
              </a:graphicData>
            </a:graphic>
          </wp:anchor>
        </w:drawing>
      </w:r>
    </w:p>
    <w:p w14:paraId="46EBE089" w14:textId="77777777" w:rsidR="0079261E" w:rsidRPr="00422CA2" w:rsidRDefault="0079261E" w:rsidP="0079261E">
      <w:pPr>
        <w:jc w:val="both"/>
        <w:rPr>
          <w:rFonts w:ascii="ITC Avant Garde" w:hAnsi="ITC Avant Garde"/>
        </w:rPr>
      </w:pPr>
    </w:p>
    <w:p w14:paraId="6211D05E" w14:textId="77777777" w:rsidR="0079261E" w:rsidRPr="00422CA2" w:rsidRDefault="0079261E" w:rsidP="0079261E">
      <w:pPr>
        <w:jc w:val="both"/>
        <w:rPr>
          <w:rFonts w:ascii="ITC Avant Garde" w:hAnsi="ITC Avant Garde"/>
        </w:rPr>
      </w:pPr>
    </w:p>
    <w:p w14:paraId="607395DD" w14:textId="77777777" w:rsidR="0079261E" w:rsidRPr="00422CA2" w:rsidRDefault="0079261E" w:rsidP="0079261E">
      <w:pPr>
        <w:jc w:val="both"/>
        <w:rPr>
          <w:rFonts w:ascii="ITC Avant Garde" w:hAnsi="ITC Avant Garde"/>
        </w:rPr>
      </w:pPr>
    </w:p>
    <w:p w14:paraId="4D4938D1" w14:textId="77777777" w:rsidR="0079261E" w:rsidRPr="00422CA2" w:rsidRDefault="0079261E" w:rsidP="0079261E">
      <w:pPr>
        <w:jc w:val="both"/>
        <w:rPr>
          <w:rFonts w:ascii="ITC Avant Garde" w:hAnsi="ITC Avant Garde"/>
        </w:rPr>
      </w:pPr>
    </w:p>
    <w:p w14:paraId="0D159B98" w14:textId="77777777" w:rsidR="0079261E" w:rsidRPr="00422CA2" w:rsidRDefault="0079261E" w:rsidP="0079261E">
      <w:pPr>
        <w:jc w:val="center"/>
        <w:rPr>
          <w:rFonts w:ascii="ITC Avant Garde" w:hAnsi="ITC Avant Garde"/>
        </w:rPr>
      </w:pPr>
      <w:r w:rsidRPr="00422CA2">
        <w:rPr>
          <w:rFonts w:ascii="ITC Avant Garde" w:hAnsi="ITC Avant Garde"/>
          <w:noProof/>
          <w:lang w:val="es-MX" w:eastAsia="es-MX"/>
        </w:rPr>
        <w:drawing>
          <wp:inline distT="0" distB="0" distL="0" distR="0" wp14:anchorId="585AC3AD" wp14:editId="2D11AFAC">
            <wp:extent cx="6195812" cy="5073650"/>
            <wp:effectExtent l="0" t="0" r="0" b="0"/>
            <wp:docPr id="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9" cstate="print"/>
                    <a:srcRect l="7303" t="2266" r="7539" b="4547"/>
                    <a:stretch>
                      <a:fillRect/>
                    </a:stretch>
                  </pic:blipFill>
                  <pic:spPr bwMode="auto">
                    <a:xfrm>
                      <a:off x="0" y="0"/>
                      <a:ext cx="6205624" cy="5081685"/>
                    </a:xfrm>
                    <a:prstGeom prst="rect">
                      <a:avLst/>
                    </a:prstGeom>
                    <a:noFill/>
                    <a:ln w="9525">
                      <a:noFill/>
                      <a:miter lim="800000"/>
                      <a:headEnd/>
                      <a:tailEnd/>
                    </a:ln>
                  </pic:spPr>
                </pic:pic>
              </a:graphicData>
            </a:graphic>
          </wp:inline>
        </w:drawing>
      </w:r>
    </w:p>
    <w:p w14:paraId="10FEDEC1" w14:textId="77777777" w:rsidR="0079261E" w:rsidRPr="00422CA2" w:rsidRDefault="0079261E" w:rsidP="00E12D30">
      <w:pPr>
        <w:ind w:left="-1418"/>
        <w:jc w:val="center"/>
        <w:rPr>
          <w:rFonts w:ascii="ITC Avant Garde" w:hAnsi="ITC Avant Garde"/>
          <w:noProof/>
          <w:lang w:eastAsia="es-MX"/>
        </w:rPr>
      </w:pPr>
      <w:r w:rsidRPr="00422CA2">
        <w:rPr>
          <w:rFonts w:ascii="ITC Avant Garde" w:hAnsi="ITC Avant Garde"/>
          <w:noProof/>
          <w:lang w:val="es-MX" w:eastAsia="es-MX"/>
        </w:rPr>
        <w:lastRenderedPageBreak/>
        <w:drawing>
          <wp:inline distT="0" distB="0" distL="0" distR="0" wp14:anchorId="1A8D1B93" wp14:editId="26FCF28A">
            <wp:extent cx="7386294" cy="5881787"/>
            <wp:effectExtent l="0" t="742950" r="0" b="728980"/>
            <wp:docPr id="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0" cstate="print"/>
                    <a:srcRect l="9679" t="6062" r="5565" b="4042"/>
                    <a:stretch>
                      <a:fillRect/>
                    </a:stretch>
                  </pic:blipFill>
                  <pic:spPr bwMode="auto">
                    <a:xfrm rot="16200000">
                      <a:off x="0" y="0"/>
                      <a:ext cx="7386294" cy="5881787"/>
                    </a:xfrm>
                    <a:prstGeom prst="rect">
                      <a:avLst/>
                    </a:prstGeom>
                    <a:noFill/>
                    <a:ln w="9525">
                      <a:noFill/>
                      <a:miter lim="800000"/>
                      <a:headEnd/>
                      <a:tailEnd/>
                    </a:ln>
                  </pic:spPr>
                </pic:pic>
              </a:graphicData>
            </a:graphic>
          </wp:inline>
        </w:drawing>
      </w:r>
    </w:p>
    <w:p w14:paraId="1CB43EFF" w14:textId="77777777" w:rsidR="0079261E" w:rsidRPr="00422CA2" w:rsidRDefault="0079261E" w:rsidP="000F56D4">
      <w:pPr>
        <w:ind w:left="-567"/>
        <w:jc w:val="center"/>
        <w:rPr>
          <w:rFonts w:ascii="ITC Avant Garde" w:hAnsi="ITC Avant Garde"/>
        </w:rPr>
      </w:pPr>
      <w:r w:rsidRPr="00422CA2">
        <w:rPr>
          <w:rFonts w:ascii="ITC Avant Garde" w:hAnsi="ITC Avant Garde"/>
          <w:noProof/>
          <w:lang w:val="es-MX" w:eastAsia="es-MX"/>
        </w:rPr>
        <w:lastRenderedPageBreak/>
        <w:drawing>
          <wp:inline distT="0" distB="0" distL="0" distR="0" wp14:anchorId="4A5200B4" wp14:editId="46F1C3F2">
            <wp:extent cx="6398544" cy="6232358"/>
            <wp:effectExtent l="19050" t="0" r="2256"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1" cstate="print"/>
                    <a:srcRect l="10712" r="12396"/>
                    <a:stretch>
                      <a:fillRect/>
                    </a:stretch>
                  </pic:blipFill>
                  <pic:spPr bwMode="auto">
                    <a:xfrm>
                      <a:off x="0" y="0"/>
                      <a:ext cx="6400725" cy="6234483"/>
                    </a:xfrm>
                    <a:prstGeom prst="rect">
                      <a:avLst/>
                    </a:prstGeom>
                    <a:noFill/>
                    <a:ln w="9525">
                      <a:noFill/>
                      <a:miter lim="800000"/>
                      <a:headEnd/>
                      <a:tailEnd/>
                    </a:ln>
                  </pic:spPr>
                </pic:pic>
              </a:graphicData>
            </a:graphic>
          </wp:inline>
        </w:drawing>
      </w:r>
    </w:p>
    <w:p w14:paraId="49E18EE8" w14:textId="77777777" w:rsidR="0079261E" w:rsidRPr="00422CA2" w:rsidRDefault="0079261E" w:rsidP="000F56D4">
      <w:pPr>
        <w:ind w:left="-851"/>
        <w:jc w:val="both"/>
        <w:rPr>
          <w:rFonts w:ascii="ITC Avant Garde" w:hAnsi="ITC Avant Garde"/>
        </w:rPr>
      </w:pPr>
      <w:r w:rsidRPr="00422CA2">
        <w:rPr>
          <w:rFonts w:ascii="ITC Avant Garde" w:hAnsi="ITC Avant Garde"/>
          <w:noProof/>
          <w:lang w:val="es-MX" w:eastAsia="es-MX"/>
        </w:rPr>
        <w:lastRenderedPageBreak/>
        <w:drawing>
          <wp:inline distT="0" distB="0" distL="0" distR="0" wp14:anchorId="43F6EA7D" wp14:editId="728E9380">
            <wp:extent cx="6411937" cy="6232358"/>
            <wp:effectExtent l="19050" t="0" r="7913" b="0"/>
            <wp:docPr id="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2" cstate="print"/>
                    <a:srcRect l="12170" r="10698"/>
                    <a:stretch>
                      <a:fillRect/>
                    </a:stretch>
                  </pic:blipFill>
                  <pic:spPr bwMode="auto">
                    <a:xfrm>
                      <a:off x="0" y="0"/>
                      <a:ext cx="6421052" cy="6241218"/>
                    </a:xfrm>
                    <a:prstGeom prst="rect">
                      <a:avLst/>
                    </a:prstGeom>
                    <a:noFill/>
                    <a:ln w="9525">
                      <a:noFill/>
                      <a:miter lim="800000"/>
                      <a:headEnd/>
                      <a:tailEnd/>
                    </a:ln>
                  </pic:spPr>
                </pic:pic>
              </a:graphicData>
            </a:graphic>
          </wp:inline>
        </w:drawing>
      </w:r>
    </w:p>
    <w:p w14:paraId="6D34450D" w14:textId="77777777" w:rsidR="0079261E" w:rsidRPr="00422CA2" w:rsidRDefault="0079261E" w:rsidP="0079261E">
      <w:pPr>
        <w:jc w:val="both"/>
        <w:rPr>
          <w:rFonts w:ascii="ITC Avant Garde" w:hAnsi="ITC Avant Garde" w:cs="Arial"/>
          <w:b/>
        </w:rPr>
      </w:pPr>
    </w:p>
    <w:p w14:paraId="0949FDB6" w14:textId="77777777" w:rsidR="0079261E" w:rsidRPr="00422CA2" w:rsidRDefault="0079261E" w:rsidP="0079261E">
      <w:pPr>
        <w:jc w:val="both"/>
        <w:rPr>
          <w:rFonts w:ascii="ITC Avant Garde" w:hAnsi="ITC Avant Garde" w:cs="Arial"/>
        </w:rPr>
      </w:pPr>
    </w:p>
    <w:p w14:paraId="7696D780" w14:textId="77777777" w:rsidR="0079261E" w:rsidRPr="00422CA2" w:rsidRDefault="0079261E" w:rsidP="0079261E">
      <w:pPr>
        <w:jc w:val="both"/>
        <w:rPr>
          <w:rFonts w:ascii="ITC Avant Garde" w:hAnsi="ITC Avant Garde"/>
        </w:rPr>
      </w:pPr>
    </w:p>
    <w:p w14:paraId="69F6519A" w14:textId="2733099A" w:rsidR="0079261E" w:rsidRPr="00422CA2" w:rsidRDefault="0079261E" w:rsidP="0079261E">
      <w:pPr>
        <w:jc w:val="both"/>
        <w:rPr>
          <w:rFonts w:ascii="ITC Avant Garde" w:hAnsi="ITC Avant Garde"/>
        </w:rPr>
      </w:pPr>
    </w:p>
    <w:p w14:paraId="6490EF23" w14:textId="77777777" w:rsidR="00271BFC" w:rsidRPr="00422CA2" w:rsidRDefault="00271BFC" w:rsidP="0079261E">
      <w:pPr>
        <w:jc w:val="both"/>
        <w:rPr>
          <w:rFonts w:ascii="ITC Avant Garde" w:hAnsi="ITC Avant Garde"/>
        </w:rPr>
      </w:pPr>
    </w:p>
    <w:p w14:paraId="0863DA6A" w14:textId="77777777" w:rsidR="00271BFC" w:rsidRPr="00422CA2" w:rsidRDefault="00271BFC" w:rsidP="0079261E">
      <w:pPr>
        <w:jc w:val="both"/>
        <w:rPr>
          <w:rFonts w:ascii="ITC Avant Garde" w:hAnsi="ITC Avant Garde"/>
        </w:rPr>
      </w:pPr>
    </w:p>
    <w:p w14:paraId="4D9320C2" w14:textId="77777777" w:rsidR="00271BFC" w:rsidRPr="00422CA2" w:rsidRDefault="00271BFC" w:rsidP="0079261E">
      <w:pPr>
        <w:jc w:val="both"/>
        <w:rPr>
          <w:rFonts w:ascii="ITC Avant Garde" w:hAnsi="ITC Avant Garde"/>
        </w:rPr>
      </w:pPr>
    </w:p>
    <w:p w14:paraId="7EA42251" w14:textId="77777777" w:rsidR="00271BFC" w:rsidRPr="00422CA2" w:rsidRDefault="00271BFC" w:rsidP="0079261E">
      <w:pPr>
        <w:jc w:val="both"/>
        <w:rPr>
          <w:rFonts w:ascii="ITC Avant Garde" w:hAnsi="ITC Avant Garde"/>
        </w:rPr>
      </w:pPr>
    </w:p>
    <w:p w14:paraId="2F4EA00F" w14:textId="77777777" w:rsidR="00271BFC" w:rsidRPr="00422CA2" w:rsidRDefault="00271BFC" w:rsidP="0079261E">
      <w:pPr>
        <w:jc w:val="both"/>
        <w:rPr>
          <w:rFonts w:ascii="ITC Avant Garde" w:hAnsi="ITC Avant Garde"/>
        </w:rPr>
      </w:pPr>
    </w:p>
    <w:p w14:paraId="7366C99E" w14:textId="054AC9A1" w:rsidR="00266B26" w:rsidRPr="00422CA2" w:rsidRDefault="00266B26" w:rsidP="00586B55">
      <w:pPr>
        <w:pStyle w:val="Ttulo1"/>
      </w:pPr>
      <w:bookmarkStart w:id="793" w:name="_Toc436840939"/>
      <w:bookmarkStart w:id="794" w:name="_Toc436846376"/>
      <w:bookmarkStart w:id="795" w:name="_Toc436848326"/>
      <w:bookmarkStart w:id="796" w:name="_Toc436856574"/>
      <w:bookmarkStart w:id="797" w:name="_Toc436862720"/>
      <w:bookmarkStart w:id="798" w:name="_Toc436866370"/>
      <w:bookmarkStart w:id="799" w:name="_Toc436870949"/>
      <w:bookmarkStart w:id="800" w:name="_Toc436875941"/>
      <w:bookmarkStart w:id="801" w:name="_Toc437602136"/>
      <w:r w:rsidRPr="00422CA2">
        <w:lastRenderedPageBreak/>
        <w:t>9.7</w:t>
      </w:r>
      <w:r w:rsidRPr="00422CA2">
        <w:tab/>
        <w:t xml:space="preserve">Formato </w:t>
      </w:r>
      <w:bookmarkEnd w:id="793"/>
      <w:bookmarkEnd w:id="794"/>
      <w:bookmarkEnd w:id="795"/>
      <w:bookmarkEnd w:id="796"/>
      <w:bookmarkEnd w:id="797"/>
      <w:bookmarkEnd w:id="798"/>
      <w:bookmarkEnd w:id="799"/>
      <w:bookmarkEnd w:id="800"/>
      <w:r w:rsidR="00724B15" w:rsidRPr="00422CA2">
        <w:t>de Anexo de Caja</w:t>
      </w:r>
      <w:bookmarkEnd w:id="801"/>
    </w:p>
    <w:p w14:paraId="4B8B627B" w14:textId="48AEA304" w:rsidR="0015192E" w:rsidRPr="00422CA2" w:rsidRDefault="00E566FA" w:rsidP="000F5EB9">
      <w:pPr>
        <w:rPr>
          <w:rFonts w:ascii="ITC Avant Garde" w:hAnsi="ITC Avant Garde"/>
          <w:lang w:val="es-ES" w:eastAsia="es-MX"/>
        </w:rPr>
      </w:pPr>
      <w:r w:rsidRPr="00422CA2">
        <w:rPr>
          <w:rFonts w:ascii="ITC Avant Garde" w:hAnsi="ITC Avant Garde"/>
          <w:noProof/>
          <w:lang w:val="es-MX" w:eastAsia="es-MX"/>
        </w:rPr>
        <w:drawing>
          <wp:inline distT="0" distB="0" distL="0" distR="0" wp14:anchorId="1E2F6421" wp14:editId="24A8B86C">
            <wp:extent cx="5613400" cy="6915261"/>
            <wp:effectExtent l="19050" t="1905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13400" cy="6915261"/>
                    </a:xfrm>
                    <a:prstGeom prst="rect">
                      <a:avLst/>
                    </a:prstGeom>
                    <a:noFill/>
                    <a:ln>
                      <a:solidFill>
                        <a:schemeClr val="tx1"/>
                      </a:solidFill>
                    </a:ln>
                  </pic:spPr>
                </pic:pic>
              </a:graphicData>
            </a:graphic>
          </wp:inline>
        </w:drawing>
      </w:r>
      <w:r w:rsidR="00271BFC" w:rsidRPr="00422CA2">
        <w:rPr>
          <w:rFonts w:ascii="ITC Avant Garde" w:hAnsi="ITC Avant Garde"/>
        </w:rPr>
        <w:t xml:space="preserve"> </w:t>
      </w:r>
      <w:r w:rsidR="00271BFC" w:rsidRPr="00422CA2">
        <w:rPr>
          <w:rFonts w:ascii="ITC Avant Garde" w:hAnsi="ITC Avant Garde"/>
          <w:lang w:val="es-ES" w:eastAsia="es-MX"/>
        </w:rPr>
        <w:br w:type="page"/>
      </w:r>
    </w:p>
    <w:p w14:paraId="2D546635" w14:textId="21DC451C" w:rsidR="00F51B07" w:rsidRPr="00422CA2" w:rsidRDefault="00F51B07" w:rsidP="00586B55">
      <w:pPr>
        <w:pStyle w:val="Ttulo1"/>
      </w:pPr>
      <w:bookmarkStart w:id="802" w:name="_Toc436840940"/>
      <w:bookmarkStart w:id="803" w:name="_Toc436846377"/>
      <w:bookmarkStart w:id="804" w:name="_Toc436848327"/>
      <w:bookmarkStart w:id="805" w:name="_Toc436856575"/>
      <w:bookmarkStart w:id="806" w:name="_Toc436862721"/>
      <w:bookmarkStart w:id="807" w:name="_Toc436866371"/>
      <w:bookmarkStart w:id="808" w:name="_Toc436870950"/>
      <w:bookmarkStart w:id="809" w:name="_Toc436875942"/>
      <w:bookmarkStart w:id="810" w:name="_Toc437602137"/>
      <w:r w:rsidRPr="00422CA2">
        <w:lastRenderedPageBreak/>
        <w:t xml:space="preserve">10. Servicio </w:t>
      </w:r>
      <w:r w:rsidR="00EA2DBA" w:rsidRPr="00422CA2">
        <w:t>Auxiliar</w:t>
      </w:r>
      <w:r w:rsidRPr="00422CA2">
        <w:t xml:space="preserve"> de Concentración y Distribución</w:t>
      </w:r>
      <w:bookmarkEnd w:id="802"/>
      <w:bookmarkEnd w:id="803"/>
      <w:bookmarkEnd w:id="804"/>
      <w:bookmarkEnd w:id="805"/>
      <w:bookmarkEnd w:id="806"/>
      <w:bookmarkEnd w:id="807"/>
      <w:bookmarkEnd w:id="808"/>
      <w:bookmarkEnd w:id="809"/>
      <w:bookmarkEnd w:id="810"/>
      <w:r w:rsidRPr="00422CA2">
        <w:t xml:space="preserve"> </w:t>
      </w:r>
    </w:p>
    <w:p w14:paraId="485DA110" w14:textId="66E5EBC9"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Servicio de Concentración y Distribución </w:t>
      </w:r>
      <w:r w:rsidRPr="00422CA2">
        <w:rPr>
          <w:rFonts w:ascii="ITC Avant Garde" w:hAnsi="ITC Avant Garde"/>
          <w:sz w:val="22"/>
          <w:szCs w:val="22"/>
        </w:rPr>
        <w:t xml:space="preserve">(SCyD </w:t>
      </w:r>
      <w:r w:rsidRPr="00422CA2">
        <w:rPr>
          <w:rFonts w:ascii="ITC Avant Garde" w:hAnsi="ITC Avant Garde"/>
          <w:sz w:val="22"/>
          <w:szCs w:val="22"/>
          <w:lang w:val="es-MX"/>
        </w:rPr>
        <w:t xml:space="preserve">permite la agregación del tráfico de SAIB generado por los usuarios y la entrega del mismo a los CS. Dicha agregación se lleva a cabo en tres niveles: local, regional y nacional. </w:t>
      </w:r>
    </w:p>
    <w:p w14:paraId="4AF8C259"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Un nivel de agregación dispone de al menos un NCAI desde el que se accede a todos los usuarios del nivel de referencia:</w:t>
      </w:r>
    </w:p>
    <w:p w14:paraId="16E866B0" w14:textId="1D937EF9" w:rsidR="00F51B07" w:rsidRPr="00422CA2" w:rsidRDefault="00F51B07" w:rsidP="002B6509">
      <w:pPr>
        <w:pStyle w:val="Prrafodelista"/>
        <w:numPr>
          <w:ilvl w:val="0"/>
          <w:numId w:val="220"/>
        </w:numPr>
        <w:spacing w:after="200" w:line="276" w:lineRule="auto"/>
        <w:jc w:val="both"/>
        <w:rPr>
          <w:rFonts w:ascii="ITC Avant Garde" w:hAnsi="ITC Avant Garde"/>
          <w:sz w:val="22"/>
          <w:szCs w:val="22"/>
        </w:rPr>
      </w:pPr>
      <w:r w:rsidRPr="00422CA2">
        <w:rPr>
          <w:rFonts w:ascii="ITC Avant Garde" w:hAnsi="ITC Avant Garde"/>
          <w:sz w:val="22"/>
          <w:szCs w:val="22"/>
        </w:rPr>
        <w:t>Un nivel de agregación local es el territorio asociado a una o varias centrales locales con equipos de acceso susceptibles de ofrecer el servicio de acceso a internet a los usuarios del T</w:t>
      </w:r>
      <w:r w:rsidR="009C4AC5" w:rsidRPr="00422CA2">
        <w:rPr>
          <w:rFonts w:ascii="ITC Avant Garde" w:hAnsi="ITC Avant Garde"/>
          <w:sz w:val="22"/>
          <w:szCs w:val="22"/>
        </w:rPr>
        <w:t>elmex</w:t>
      </w:r>
      <w:r w:rsidRPr="00422CA2">
        <w:rPr>
          <w:rFonts w:ascii="ITC Avant Garde" w:hAnsi="ITC Avant Garde"/>
          <w:sz w:val="22"/>
          <w:szCs w:val="22"/>
        </w:rPr>
        <w:t>.</w:t>
      </w:r>
    </w:p>
    <w:p w14:paraId="716D7414" w14:textId="77777777" w:rsidR="00F51B07" w:rsidRPr="00422CA2" w:rsidRDefault="00F51B07" w:rsidP="002B6509">
      <w:pPr>
        <w:pStyle w:val="Prrafodelista"/>
        <w:numPr>
          <w:ilvl w:val="0"/>
          <w:numId w:val="220"/>
        </w:numPr>
        <w:spacing w:after="200" w:line="276" w:lineRule="auto"/>
        <w:jc w:val="both"/>
        <w:rPr>
          <w:rFonts w:ascii="ITC Avant Garde" w:hAnsi="ITC Avant Garde"/>
          <w:sz w:val="22"/>
          <w:szCs w:val="22"/>
        </w:rPr>
      </w:pPr>
      <w:r w:rsidRPr="00422CA2">
        <w:rPr>
          <w:rFonts w:ascii="ITC Avant Garde" w:hAnsi="ITC Avant Garde"/>
          <w:sz w:val="22"/>
          <w:szCs w:val="22"/>
        </w:rPr>
        <w:t>Un nivel de agregación regional es el territorio asociado a dos o más niveles de agregación local.</w:t>
      </w:r>
    </w:p>
    <w:p w14:paraId="3854103D" w14:textId="67F93EDD" w:rsidR="00F51B07" w:rsidRPr="00422CA2" w:rsidRDefault="00F51B07" w:rsidP="002B6509">
      <w:pPr>
        <w:pStyle w:val="Prrafodelista"/>
        <w:spacing w:after="200" w:line="276" w:lineRule="auto"/>
        <w:ind w:left="720"/>
        <w:jc w:val="both"/>
        <w:rPr>
          <w:rFonts w:ascii="ITC Avant Garde" w:hAnsi="ITC Avant Garde"/>
          <w:sz w:val="22"/>
          <w:szCs w:val="22"/>
        </w:rPr>
      </w:pPr>
      <w:r w:rsidRPr="00422CA2">
        <w:rPr>
          <w:rFonts w:ascii="ITC Avant Garde" w:hAnsi="ITC Avant Garde"/>
          <w:sz w:val="22"/>
          <w:szCs w:val="22"/>
        </w:rPr>
        <w:t xml:space="preserve"> El nivel de agregación nacional es el territorio asociado a dos o más niveles de agregación regional.</w:t>
      </w:r>
    </w:p>
    <w:p w14:paraId="6FDC442D" w14:textId="77777777"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Servicio de Concentración y Distribución está compuesto por un conjunto de funcionalidades que permiten la administración del tráfico, al menos un Nodo de Concentración de Acceso Indirecto (NCAI), y al menos un puerto de Conexión de Acceso Indirecto (pCAI) que físicamente se ubica en un Punto de Concentración local, regional o nacional, así como las VLAN’s respectivas por cada pCAI habilitado en el punto de concentración. </w:t>
      </w:r>
    </w:p>
    <w:p w14:paraId="0E28B714" w14:textId="1CA75D4D"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NCAI (Nodo de </w:t>
      </w:r>
      <w:r w:rsidR="009B77EC" w:rsidRPr="00422CA2">
        <w:rPr>
          <w:rFonts w:ascii="ITC Avant Garde" w:hAnsi="ITC Avant Garde"/>
          <w:sz w:val="22"/>
          <w:szCs w:val="22"/>
          <w:lang w:val="es-MX"/>
        </w:rPr>
        <w:t>Conexión de Acceso Indirecto): N</w:t>
      </w:r>
      <w:r w:rsidRPr="00422CA2">
        <w:rPr>
          <w:rFonts w:ascii="ITC Avant Garde" w:hAnsi="ITC Avant Garde"/>
          <w:sz w:val="22"/>
          <w:szCs w:val="22"/>
          <w:lang w:val="es-MX"/>
        </w:rPr>
        <w:t>odos de entrega del servicio a nivel local, regional o nacional. En ellos se localizan los puertos (pCAI) o interfaces lógicas de entrega del servicio.</w:t>
      </w:r>
    </w:p>
    <w:p w14:paraId="7B419959" w14:textId="3E7AE116" w:rsidR="00F51B07" w:rsidRPr="00422CA2" w:rsidRDefault="009B77EC"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pCAI: P</w:t>
      </w:r>
      <w:r w:rsidR="00F51B07" w:rsidRPr="00422CA2">
        <w:rPr>
          <w:rFonts w:ascii="ITC Avant Garde" w:hAnsi="ITC Avant Garde"/>
          <w:sz w:val="22"/>
          <w:szCs w:val="22"/>
          <w:lang w:val="es-MX"/>
        </w:rPr>
        <w:t>uerto de un NCAI. Es la interfaz física (puerto) en la que se entrega el tráfico de un CS correspondiente a un determinado conjunto de equipos de acceso (DSLAM/OLT).</w:t>
      </w:r>
      <w:r w:rsidR="000D771D" w:rsidRPr="00422CA2">
        <w:rPr>
          <w:rStyle w:val="Refdenotaalpie"/>
          <w:rFonts w:ascii="ITC Avant Garde" w:hAnsi="ITC Avant Garde"/>
          <w:sz w:val="22"/>
          <w:szCs w:val="22"/>
          <w:lang w:val="es-MX"/>
        </w:rPr>
        <w:footnoteReference w:id="56"/>
      </w:r>
      <w:r w:rsidR="00F51B07" w:rsidRPr="00422CA2">
        <w:rPr>
          <w:rFonts w:ascii="ITC Avant Garde" w:hAnsi="ITC Avant Garde"/>
          <w:sz w:val="22"/>
          <w:szCs w:val="22"/>
          <w:lang w:val="es-MX"/>
        </w:rPr>
        <w:t xml:space="preserve"> </w:t>
      </w:r>
    </w:p>
    <w:p w14:paraId="6EEEC633" w14:textId="02B860BE" w:rsidR="0075220D" w:rsidRPr="00422CA2" w:rsidRDefault="00772A31"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definirá los nodos (NCAI) en que deberán habilitarse los puertos (pCAI) para el intercambio de tráfico del SAIB.  </w:t>
      </w:r>
      <w:r w:rsidR="00F51B07" w:rsidRPr="00422CA2">
        <w:rPr>
          <w:rFonts w:ascii="ITC Avant Garde" w:hAnsi="ITC Avant Garde"/>
          <w:sz w:val="22"/>
          <w:szCs w:val="22"/>
          <w:lang w:val="es-MX"/>
        </w:rPr>
        <w:t xml:space="preserve">En cada NCAI, </w:t>
      </w:r>
      <w:r w:rsidRPr="00422CA2">
        <w:rPr>
          <w:rFonts w:ascii="ITC Avant Garde" w:hAnsi="ITC Avant Garde"/>
          <w:sz w:val="22"/>
          <w:szCs w:val="22"/>
          <w:lang w:val="es-MX"/>
        </w:rPr>
        <w:t xml:space="preserve">Telmex habilitará el puerto o puertos de interconexión para el SAIB con el CS. Por su parte el CS hará lo propio en su lado de la red. El dimensionamiento de estos puertos será el necesario para </w:t>
      </w:r>
      <w:r w:rsidRPr="00422CA2">
        <w:rPr>
          <w:rFonts w:ascii="ITC Avant Garde" w:hAnsi="ITC Avant Garde"/>
          <w:sz w:val="22"/>
          <w:szCs w:val="22"/>
          <w:lang w:val="es-MX"/>
        </w:rPr>
        <w:lastRenderedPageBreak/>
        <w:t xml:space="preserve">soportar el tráfico intercambiado </w:t>
      </w:r>
      <w:r w:rsidR="0075220D" w:rsidRPr="00422CA2">
        <w:rPr>
          <w:rFonts w:ascii="ITC Avant Garde" w:hAnsi="ITC Avant Garde"/>
          <w:sz w:val="22"/>
          <w:szCs w:val="22"/>
          <w:lang w:val="es-MX"/>
        </w:rPr>
        <w:t xml:space="preserve">de acuerdo a la calidad provista por la red de Telmex para sus usuarios. </w:t>
      </w:r>
    </w:p>
    <w:p w14:paraId="19DF2D57" w14:textId="77777777" w:rsidR="0075220D" w:rsidRPr="00422CA2" w:rsidRDefault="0075220D" w:rsidP="002B6509">
      <w:pPr>
        <w:spacing w:after="200" w:line="276" w:lineRule="auto"/>
        <w:jc w:val="both"/>
        <w:rPr>
          <w:rFonts w:ascii="ITC Avant Garde" w:hAnsi="ITC Avant Garde"/>
          <w:sz w:val="22"/>
          <w:szCs w:val="22"/>
          <w:lang w:val="es-MX"/>
        </w:rPr>
      </w:pPr>
    </w:p>
    <w:p w14:paraId="4A2E827B" w14:textId="5CBFC975" w:rsidR="0075220D" w:rsidRPr="00422CA2" w:rsidRDefault="0075220D"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unidad de contratación es el perfil asociado al usuario y la capacidad en Megabits </w:t>
      </w:r>
      <w:r w:rsidR="009C4AC5" w:rsidRPr="00422CA2">
        <w:rPr>
          <w:rFonts w:ascii="ITC Avant Garde" w:hAnsi="ITC Avant Garde"/>
          <w:sz w:val="22"/>
          <w:szCs w:val="22"/>
          <w:lang w:val="es-MX"/>
        </w:rPr>
        <w:t>utilizada por dicho perfil</w:t>
      </w:r>
      <w:r w:rsidRPr="00422CA2">
        <w:rPr>
          <w:rFonts w:ascii="ITC Avant Garde" w:hAnsi="ITC Avant Garde"/>
          <w:sz w:val="22"/>
          <w:szCs w:val="22"/>
          <w:lang w:val="es-MX"/>
        </w:rPr>
        <w:t xml:space="preserve"> en cada </w:t>
      </w:r>
      <w:r w:rsidR="009C4AC5" w:rsidRPr="00422CA2">
        <w:rPr>
          <w:rFonts w:ascii="ITC Avant Garde" w:hAnsi="ITC Avant Garde"/>
          <w:sz w:val="22"/>
          <w:szCs w:val="22"/>
          <w:lang w:val="es-MX"/>
        </w:rPr>
        <w:t>puerto</w:t>
      </w:r>
      <w:r w:rsidRPr="00422CA2">
        <w:rPr>
          <w:rFonts w:ascii="ITC Avant Garde" w:hAnsi="ITC Avant Garde"/>
          <w:sz w:val="22"/>
          <w:szCs w:val="22"/>
          <w:lang w:val="es-MX"/>
        </w:rPr>
        <w:t xml:space="preserve"> de interconexión de acuerdo a su nivel de concentración, local, regional o nacional.</w:t>
      </w:r>
    </w:p>
    <w:p w14:paraId="13EC7136" w14:textId="20431558"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servicio </w:t>
      </w:r>
      <w:r w:rsidR="0075220D" w:rsidRPr="00422CA2">
        <w:rPr>
          <w:rFonts w:ascii="ITC Avant Garde" w:hAnsi="ITC Avant Garde"/>
          <w:sz w:val="22"/>
          <w:szCs w:val="22"/>
          <w:lang w:val="es-MX"/>
        </w:rPr>
        <w:t xml:space="preserve">SAIB </w:t>
      </w:r>
      <w:r w:rsidRPr="00422CA2">
        <w:rPr>
          <w:rFonts w:ascii="ITC Avant Garde" w:hAnsi="ITC Avant Garde"/>
          <w:sz w:val="22"/>
          <w:szCs w:val="22"/>
          <w:lang w:val="es-MX"/>
        </w:rPr>
        <w:t xml:space="preserve">termina en el </w:t>
      </w:r>
      <w:r w:rsidR="0075220D" w:rsidRPr="00422CA2">
        <w:rPr>
          <w:rFonts w:ascii="ITC Avant Garde" w:hAnsi="ITC Avant Garde"/>
          <w:sz w:val="22"/>
          <w:szCs w:val="22"/>
          <w:lang w:val="es-MX"/>
        </w:rPr>
        <w:t xml:space="preserve">puerto de interfaz de los nodos de interconexión (NCAI). </w:t>
      </w:r>
      <w:r w:rsidRPr="00422CA2">
        <w:rPr>
          <w:rFonts w:ascii="ITC Avant Garde" w:hAnsi="ITC Avant Garde"/>
          <w:sz w:val="22"/>
          <w:szCs w:val="22"/>
          <w:lang w:val="es-MX"/>
        </w:rPr>
        <w:t xml:space="preserve">Cada NCAI corresponde a un equipo de agregación de la red de transporte el cual tiene conectados diferentes equipos de la red de acceso (xDSL y GPON), En cada equipo de acceso se establece un enlace lógico por medio de una VLAN, que se utiliza para transportar el tráfico de los SAIB´s hasta el punto de conexión a un equipo del CS, de tal forma que cuando se </w:t>
      </w:r>
      <w:r w:rsidR="00F37A17" w:rsidRPr="00422CA2">
        <w:rPr>
          <w:rFonts w:ascii="ITC Avant Garde" w:hAnsi="ITC Avant Garde"/>
          <w:sz w:val="22"/>
          <w:szCs w:val="22"/>
          <w:lang w:val="es-MX"/>
        </w:rPr>
        <w:t>solicita</w:t>
      </w:r>
      <w:r w:rsidRPr="00422CA2">
        <w:rPr>
          <w:rFonts w:ascii="ITC Avant Garde" w:hAnsi="ITC Avant Garde"/>
          <w:sz w:val="22"/>
          <w:szCs w:val="22"/>
          <w:lang w:val="es-MX"/>
        </w:rPr>
        <w:t xml:space="preserve"> un NCAI se establecen conexiones lógicas (VLAN’s) de todos y cada uno de los equipos de acceso conectados al NCAI y son concentradas en un pCAI. </w:t>
      </w:r>
    </w:p>
    <w:p w14:paraId="70BFEBA6" w14:textId="48969348"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Será necesario </w:t>
      </w:r>
      <w:r w:rsidR="0075220D" w:rsidRPr="00422CA2">
        <w:rPr>
          <w:rFonts w:ascii="ITC Avant Garde" w:hAnsi="ITC Avant Garde"/>
          <w:sz w:val="22"/>
          <w:szCs w:val="22"/>
          <w:lang w:val="es-MX"/>
        </w:rPr>
        <w:t xml:space="preserve">especificar y habilitar los puntos de interconexión antes de efectuar la contratación </w:t>
      </w:r>
      <w:r w:rsidRPr="00422CA2">
        <w:rPr>
          <w:rFonts w:ascii="ITC Avant Garde" w:hAnsi="ITC Avant Garde"/>
          <w:sz w:val="22"/>
          <w:szCs w:val="22"/>
          <w:lang w:val="es-MX"/>
        </w:rPr>
        <w:t>de servicios para clientes finales.</w:t>
      </w:r>
    </w:p>
    <w:p w14:paraId="36F9B661" w14:textId="77777777" w:rsidR="009C4AC5" w:rsidRPr="00422CA2" w:rsidRDefault="009C4AC5"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Los elementos requeridos (unidades de contratación) en el SAIB son los siguientes:</w:t>
      </w:r>
    </w:p>
    <w:p w14:paraId="50A4B628" w14:textId="77777777" w:rsidR="009C4AC5" w:rsidRPr="00422CA2" w:rsidRDefault="009C4AC5" w:rsidP="002B6509">
      <w:pPr>
        <w:pStyle w:val="Prrafodelista"/>
        <w:numPr>
          <w:ilvl w:val="0"/>
          <w:numId w:val="25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perfil contratado para el Usuario Final</w:t>
      </w:r>
    </w:p>
    <w:p w14:paraId="74FBF1ED" w14:textId="2A1C396C" w:rsidR="009C4AC5" w:rsidRPr="00422CA2" w:rsidRDefault="009C4AC5" w:rsidP="002B6509">
      <w:pPr>
        <w:pStyle w:val="Prrafodelista"/>
        <w:numPr>
          <w:ilvl w:val="0"/>
          <w:numId w:val="256"/>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w:t>
      </w:r>
      <w:r w:rsidR="00C221CB" w:rsidRPr="00422CA2">
        <w:rPr>
          <w:rFonts w:ascii="ITC Avant Garde" w:hAnsi="ITC Avant Garde"/>
          <w:sz w:val="22"/>
          <w:szCs w:val="22"/>
          <w:lang w:val="es-MX"/>
        </w:rPr>
        <w:t xml:space="preserve">capacidad en Mbps de perfil </w:t>
      </w:r>
      <w:r w:rsidRPr="00422CA2">
        <w:rPr>
          <w:rFonts w:ascii="ITC Avant Garde" w:hAnsi="ITC Avant Garde"/>
          <w:sz w:val="22"/>
          <w:szCs w:val="22"/>
          <w:lang w:val="es-MX"/>
        </w:rPr>
        <w:t>utilizada por el usuario del perfil contratado para cursar su tráfico hasta el puerto de interconexión. Dicha capacid</w:t>
      </w:r>
      <w:r w:rsidR="00C221CB" w:rsidRPr="00422CA2">
        <w:rPr>
          <w:rFonts w:ascii="ITC Avant Garde" w:hAnsi="ITC Avant Garde"/>
          <w:sz w:val="22"/>
          <w:szCs w:val="22"/>
          <w:lang w:val="es-MX"/>
        </w:rPr>
        <w:t>ad será tasada según el nivel de</w:t>
      </w:r>
      <w:r w:rsidRPr="00422CA2">
        <w:rPr>
          <w:rFonts w:ascii="ITC Avant Garde" w:hAnsi="ITC Avant Garde"/>
          <w:sz w:val="22"/>
          <w:szCs w:val="22"/>
          <w:lang w:val="es-MX"/>
        </w:rPr>
        <w:t xml:space="preserve"> los Mbps del perfil y el nivel de concentración del puerto (local, regional o nacional).</w:t>
      </w:r>
    </w:p>
    <w:p w14:paraId="0F2BD4DB"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sz w:val="22"/>
          <w:szCs w:val="22"/>
          <w:lang w:val="es-MX"/>
        </w:rPr>
        <w:t xml:space="preserve">En un mismo edificio Telmex pueden existir uno o más NCAI (equipos de agregación), que a su vez pueden, en algunos casos, pertenecer a diferentes dominios administrativos. Esto obedece a la topología de la red de Telmex. Cada NCAI está asociado a puntos de concentración local, regional o nacional, y el CS podrá elegir los que desea concentrar, con base en la arquitectura de los puntos de concentración. </w:t>
      </w:r>
    </w:p>
    <w:p w14:paraId="2CFB1EAD" w14:textId="77777777"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arquitectura de los niveles de agregación del servicio se muestra a continuación:</w:t>
      </w:r>
    </w:p>
    <w:p w14:paraId="38D4AED3" w14:textId="2C43ACB3" w:rsidR="00F51B07" w:rsidRPr="00422CA2" w:rsidRDefault="0085345C" w:rsidP="00F51B07">
      <w:pPr>
        <w:spacing w:line="360" w:lineRule="auto"/>
        <w:contextualSpacing/>
        <w:jc w:val="both"/>
        <w:rPr>
          <w:rFonts w:ascii="ITC Avant Garde" w:hAnsi="ITC Avant Garde"/>
          <w:sz w:val="22"/>
          <w:szCs w:val="22"/>
          <w:lang w:val="es-MX"/>
        </w:rPr>
      </w:pPr>
      <w:r>
        <w:rPr>
          <w:rFonts w:ascii="ITC Avant Garde" w:hAnsi="ITC Avant Garde"/>
          <w:noProof/>
          <w:lang w:val="es-MX" w:eastAsia="es-MX"/>
        </w:rPr>
        <w:lastRenderedPageBreak/>
        <mc:AlternateContent>
          <mc:Choice Requires="wpg">
            <w:drawing>
              <wp:inline distT="0" distB="0" distL="0" distR="0" wp14:anchorId="50E8D3D0" wp14:editId="5FE3410E">
                <wp:extent cx="6289040" cy="3373120"/>
                <wp:effectExtent l="3810" t="4445" r="3175" b="3810"/>
                <wp:docPr id="33"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9040" cy="3373120"/>
                          <a:chOff x="138" y="8586"/>
                          <a:chExt cx="101139" cy="54243"/>
                        </a:xfrm>
                      </wpg:grpSpPr>
                      <wps:wsp>
                        <wps:cNvPr id="40" name="268 CuadroTexto"/>
                        <wps:cNvSpPr txBox="1">
                          <a:spLocks noChangeArrowheads="1"/>
                        </wps:cNvSpPr>
                        <wps:spPr bwMode="auto">
                          <a:xfrm>
                            <a:off x="71532" y="32011"/>
                            <a:ext cx="26305" cy="6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A4160"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Punto de concentración local </w:t>
                              </w:r>
                            </w:p>
                            <w:p w14:paraId="0F7AE628"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(PCL).</w:t>
                              </w:r>
                            </w:p>
                          </w:txbxContent>
                        </wps:txbx>
                        <wps:bodyPr rot="0" vert="horz" wrap="square" lIns="91440" tIns="45720" rIns="91440" bIns="45720" anchor="t" anchorCtr="0" upright="1">
                          <a:noAutofit/>
                        </wps:bodyPr>
                      </wps:wsp>
                      <wps:wsp>
                        <wps:cNvPr id="42" name="AutoShape 8"/>
                        <wps:cNvSpPr>
                          <a:spLocks noChangeArrowheads="1"/>
                        </wps:cNvSpPr>
                        <wps:spPr bwMode="auto">
                          <a:xfrm>
                            <a:off x="687" y="32548"/>
                            <a:ext cx="85704" cy="11552"/>
                          </a:xfrm>
                          <a:prstGeom prst="parallelogram">
                            <a:avLst>
                              <a:gd name="adj" fmla="val 19406"/>
                            </a:avLst>
                          </a:prstGeom>
                          <a:solidFill>
                            <a:srgbClr val="33CC33">
                              <a:alpha val="3450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44" name="4 Rectángulo redondeado"/>
                        <wps:cNvSpPr>
                          <a:spLocks noChangeArrowheads="1"/>
                        </wps:cNvSpPr>
                        <wps:spPr bwMode="auto">
                          <a:xfrm>
                            <a:off x="1389" y="35856"/>
                            <a:ext cx="10803" cy="7578"/>
                          </a:xfrm>
                          <a:prstGeom prst="roundRect">
                            <a:avLst>
                              <a:gd name="adj" fmla="val 16667"/>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7" name="5 Rectángulo redondeado"/>
                        <wps:cNvSpPr>
                          <a:spLocks noChangeArrowheads="1"/>
                        </wps:cNvSpPr>
                        <wps:spPr bwMode="auto">
                          <a:xfrm>
                            <a:off x="24177" y="35856"/>
                            <a:ext cx="15447" cy="7578"/>
                          </a:xfrm>
                          <a:prstGeom prst="roundRect">
                            <a:avLst>
                              <a:gd name="adj" fmla="val 16667"/>
                            </a:avLst>
                          </a:prstGeom>
                          <a:noFill/>
                          <a:ln w="12700">
                            <a:solidFill>
                              <a:schemeClr val="tx2">
                                <a:lumMod val="75000"/>
                                <a:lumOff val="0"/>
                              </a:schemeClr>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3" name="8 Rectángulo redondeado"/>
                        <wps:cNvSpPr>
                          <a:spLocks noChangeArrowheads="1"/>
                        </wps:cNvSpPr>
                        <wps:spPr bwMode="auto">
                          <a:xfrm>
                            <a:off x="46407" y="35929"/>
                            <a:ext cx="4760" cy="7577"/>
                          </a:xfrm>
                          <a:prstGeom prst="roundRect">
                            <a:avLst>
                              <a:gd name="adj" fmla="val 16667"/>
                            </a:avLst>
                          </a:prstGeom>
                          <a:noFill/>
                          <a:ln w="12700">
                            <a:solidFill>
                              <a:srgbClr val="00B05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4" name="148 Rectángulo redondeado"/>
                        <wps:cNvSpPr>
                          <a:spLocks noChangeArrowheads="1"/>
                        </wps:cNvSpPr>
                        <wps:spPr bwMode="auto">
                          <a:xfrm>
                            <a:off x="68482" y="35929"/>
                            <a:ext cx="16070" cy="7577"/>
                          </a:xfrm>
                          <a:prstGeom prst="roundRect">
                            <a:avLst>
                              <a:gd name="adj" fmla="val 16667"/>
                            </a:avLst>
                          </a:prstGeom>
                          <a:noFill/>
                          <a:ln w="12700">
                            <a:solidFill>
                              <a:srgbClr val="7030A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6" name="328 Rectángulo redondeado"/>
                        <wps:cNvSpPr>
                          <a:spLocks noChangeArrowheads="1"/>
                        </wps:cNvSpPr>
                        <wps:spPr bwMode="auto">
                          <a:xfrm>
                            <a:off x="12343" y="35856"/>
                            <a:ext cx="10802" cy="7578"/>
                          </a:xfrm>
                          <a:prstGeom prst="roundRect">
                            <a:avLst>
                              <a:gd name="adj" fmla="val 16667"/>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5" name="344 Rectángulo redondeado"/>
                        <wps:cNvSpPr>
                          <a:spLocks noChangeArrowheads="1"/>
                        </wps:cNvSpPr>
                        <wps:spPr bwMode="auto">
                          <a:xfrm>
                            <a:off x="62714" y="35929"/>
                            <a:ext cx="4990" cy="7577"/>
                          </a:xfrm>
                          <a:prstGeom prst="roundRect">
                            <a:avLst>
                              <a:gd name="adj" fmla="val 16667"/>
                            </a:avLst>
                          </a:prstGeom>
                          <a:noFill/>
                          <a:ln w="12700">
                            <a:solidFill>
                              <a:srgbClr val="7030A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6" name="345 Rectángulo redondeado"/>
                        <wps:cNvSpPr>
                          <a:spLocks noChangeArrowheads="1"/>
                        </wps:cNvSpPr>
                        <wps:spPr bwMode="auto">
                          <a:xfrm>
                            <a:off x="51556" y="35929"/>
                            <a:ext cx="10461" cy="7577"/>
                          </a:xfrm>
                          <a:prstGeom prst="roundRect">
                            <a:avLst>
                              <a:gd name="adj" fmla="val 16667"/>
                            </a:avLst>
                          </a:prstGeom>
                          <a:noFill/>
                          <a:ln w="12700">
                            <a:solidFill>
                              <a:srgbClr val="00B05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7" name="350 Rectángulo redondeado"/>
                        <wps:cNvSpPr>
                          <a:spLocks noChangeArrowheads="1"/>
                        </wps:cNvSpPr>
                        <wps:spPr bwMode="auto">
                          <a:xfrm>
                            <a:off x="40175" y="35856"/>
                            <a:ext cx="5642" cy="7578"/>
                          </a:xfrm>
                          <a:prstGeom prst="roundRect">
                            <a:avLst>
                              <a:gd name="adj" fmla="val 16667"/>
                            </a:avLst>
                          </a:prstGeom>
                          <a:noFill/>
                          <a:ln w="12700">
                            <a:solidFill>
                              <a:schemeClr val="tx2">
                                <a:lumMod val="75000"/>
                                <a:lumOff val="0"/>
                              </a:schemeClr>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8" name="AutoShape 4"/>
                        <wps:cNvSpPr>
                          <a:spLocks noChangeArrowheads="1"/>
                        </wps:cNvSpPr>
                        <wps:spPr bwMode="auto">
                          <a:xfrm>
                            <a:off x="687" y="21027"/>
                            <a:ext cx="85704" cy="9000"/>
                          </a:xfrm>
                          <a:prstGeom prst="parallelogram">
                            <a:avLst>
                              <a:gd name="adj" fmla="val 25394"/>
                            </a:avLst>
                          </a:prstGeom>
                          <a:solidFill>
                            <a:srgbClr val="FFCC00">
                              <a:alpha val="3450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69" name="AutoShape 5"/>
                        <wps:cNvSpPr>
                          <a:spLocks noChangeArrowheads="1"/>
                        </wps:cNvSpPr>
                        <wps:spPr bwMode="auto">
                          <a:xfrm>
                            <a:off x="687" y="8960"/>
                            <a:ext cx="85704" cy="9000"/>
                          </a:xfrm>
                          <a:prstGeom prst="parallelogram">
                            <a:avLst>
                              <a:gd name="adj" fmla="val 24777"/>
                            </a:avLst>
                          </a:prstGeom>
                          <a:solidFill>
                            <a:srgbClr val="99CCFF">
                              <a:alpha val="3450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73" name="6 CuadroTexto"/>
                        <wps:cNvSpPr txBox="1">
                          <a:spLocks noChangeArrowheads="1"/>
                        </wps:cNvSpPr>
                        <wps:spPr bwMode="auto">
                          <a:xfrm>
                            <a:off x="2180" y="47338"/>
                            <a:ext cx="13827"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74269"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Dominio</w:t>
                              </w:r>
                            </w:p>
                            <w:p w14:paraId="46FB75E9"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 xml:space="preserve">Administrativo </w:t>
                              </w:r>
                              <w:r>
                                <w:rPr>
                                  <w:rFonts w:ascii="Arial Narrow" w:hAnsi="Arial Narrow" w:cstheme="minorBidi"/>
                                  <w:b/>
                                  <w:bCs/>
                                  <w:i/>
                                  <w:iCs/>
                                  <w:color w:val="FF0000"/>
                                  <w:kern w:val="24"/>
                                  <w:sz w:val="16"/>
                                  <w:szCs w:val="16"/>
                                </w:rPr>
                                <w:t>1</w:t>
                              </w:r>
                            </w:p>
                          </w:txbxContent>
                        </wps:txbx>
                        <wps:bodyPr rot="0" vert="horz" wrap="square" lIns="91440" tIns="45720" rIns="91440" bIns="45720" anchor="t" anchorCtr="0" upright="1">
                          <a:noAutofit/>
                        </wps:bodyPr>
                      </wps:wsp>
                      <wps:wsp>
                        <wps:cNvPr id="74" name="7 CuadroTexto"/>
                        <wps:cNvSpPr txBox="1">
                          <a:spLocks noChangeArrowheads="1"/>
                        </wps:cNvSpPr>
                        <wps:spPr bwMode="auto">
                          <a:xfrm>
                            <a:off x="27215" y="47340"/>
                            <a:ext cx="13224" cy="5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1B3C8"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Dominio</w:t>
                              </w:r>
                            </w:p>
                            <w:p w14:paraId="428AE4F6"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administrativo 3</w:t>
                              </w:r>
                            </w:p>
                          </w:txbxContent>
                        </wps:txbx>
                        <wps:bodyPr rot="0" vert="horz" wrap="square" lIns="91440" tIns="45720" rIns="91440" bIns="45720" anchor="t" anchorCtr="0" upright="1">
                          <a:noAutofit/>
                        </wps:bodyPr>
                      </wps:wsp>
                      <wps:wsp>
                        <wps:cNvPr id="76" name="30 Rectángulo redondeado"/>
                        <wps:cNvSpPr>
                          <a:spLocks noChangeAspect="1"/>
                        </wps:cNvSpPr>
                        <wps:spPr bwMode="auto">
                          <a:xfrm>
                            <a:off x="2968"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40425DD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(PCL)NCAI</w:t>
                              </w:r>
                            </w:p>
                          </w:txbxContent>
                        </wps:txbx>
                        <wps:bodyPr rot="0" vert="horz" wrap="square" lIns="0" tIns="0" rIns="0" bIns="0" anchor="ctr" anchorCtr="0" upright="1">
                          <a:noAutofit/>
                        </wps:bodyPr>
                      </wps:wsp>
                      <wps:wsp>
                        <wps:cNvPr id="78" name="31 Pantalla"/>
                        <wps:cNvSpPr>
                          <a:spLocks noChangeArrowheads="1"/>
                        </wps:cNvSpPr>
                        <wps:spPr bwMode="auto">
                          <a:xfrm rot="5400000">
                            <a:off x="2073"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1EB2AFD7"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79" name="32 Conector recto"/>
                        <wps:cNvCnPr>
                          <a:cxnSpLocks noChangeShapeType="1"/>
                        </wps:cNvCnPr>
                        <wps:spPr bwMode="auto">
                          <a:xfrm flipH="1">
                            <a:off x="4223"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80" name="27 Rectángulo redondeado"/>
                        <wps:cNvSpPr>
                          <a:spLocks noChangeAspect="1"/>
                        </wps:cNvSpPr>
                        <wps:spPr bwMode="auto">
                          <a:xfrm>
                            <a:off x="8053" y="37426"/>
                            <a:ext cx="3073" cy="3073"/>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3E7B4D48"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(PCL)NCAI</w:t>
                              </w:r>
                            </w:p>
                          </w:txbxContent>
                        </wps:txbx>
                        <wps:bodyPr rot="0" vert="horz" wrap="square" lIns="0" tIns="0" rIns="0" bIns="0" anchor="ctr" anchorCtr="0" upright="1">
                          <a:noAutofit/>
                        </wps:bodyPr>
                      </wps:wsp>
                      <wps:wsp>
                        <wps:cNvPr id="81" name="28 Pantalla"/>
                        <wps:cNvSpPr>
                          <a:spLocks noChangeArrowheads="1"/>
                        </wps:cNvSpPr>
                        <wps:spPr bwMode="auto">
                          <a:xfrm rot="5400000">
                            <a:off x="7721"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7C8D0C5C"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82" name="29 Conector recto"/>
                        <wps:cNvCnPr>
                          <a:cxnSpLocks noChangeShapeType="1"/>
                          <a:stCxn id="80" idx="2"/>
                          <a:endCxn id="81" idx="1"/>
                        </wps:cNvCnPr>
                        <wps:spPr bwMode="auto">
                          <a:xfrm>
                            <a:off x="9589" y="40499"/>
                            <a:ext cx="282" cy="10446"/>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83" name="24 Rectángulo redondeado"/>
                        <wps:cNvSpPr>
                          <a:spLocks noChangeAspect="1"/>
                        </wps:cNvSpPr>
                        <wps:spPr bwMode="auto">
                          <a:xfrm>
                            <a:off x="14264"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4E223EF1"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12D5791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84" name="25 Pantalla"/>
                        <wps:cNvSpPr>
                          <a:spLocks noChangeArrowheads="1"/>
                        </wps:cNvSpPr>
                        <wps:spPr bwMode="auto">
                          <a:xfrm rot="5400000">
                            <a:off x="13370"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30F5409F"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85" name="26 Conector recto"/>
                        <wps:cNvCnPr>
                          <a:cxnSpLocks noChangeShapeType="1"/>
                          <a:stCxn id="83" idx="2"/>
                          <a:endCxn id="84" idx="1"/>
                        </wps:cNvCnPr>
                        <wps:spPr bwMode="auto">
                          <a:xfrm flipH="1">
                            <a:off x="15519"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86" name="22 Pantalla"/>
                        <wps:cNvSpPr>
                          <a:spLocks noChangeArrowheads="1"/>
                        </wps:cNvSpPr>
                        <wps:spPr bwMode="auto">
                          <a:xfrm rot="5400000">
                            <a:off x="19018"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2AC2F54F"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87" name="23 Conector recto"/>
                        <wps:cNvCnPr>
                          <a:cxnSpLocks noChangeShapeType="1"/>
                          <a:stCxn id="330" idx="2"/>
                          <a:endCxn id="86" idx="1"/>
                        </wps:cNvCnPr>
                        <wps:spPr bwMode="auto">
                          <a:xfrm flipH="1">
                            <a:off x="21167"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88" name="18 Rectángulo redondeado"/>
                        <wps:cNvSpPr>
                          <a:spLocks noChangeAspect="1"/>
                        </wps:cNvSpPr>
                        <wps:spPr bwMode="auto">
                          <a:xfrm>
                            <a:off x="25561" y="37426"/>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65E2BE3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46A7D1F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89" name="19 Pantalla"/>
                        <wps:cNvSpPr>
                          <a:spLocks noChangeArrowheads="1"/>
                        </wps:cNvSpPr>
                        <wps:spPr bwMode="auto">
                          <a:xfrm rot="5400000">
                            <a:off x="24666"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592B676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91" name="20 Conector recto"/>
                        <wps:cNvCnPr>
                          <a:cxnSpLocks noChangeShapeType="1"/>
                        </wps:cNvCnPr>
                        <wps:spPr bwMode="auto">
                          <a:xfrm flipH="1">
                            <a:off x="26816"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92" name="2 Rectángulo redondeado"/>
                        <wps:cNvSpPr>
                          <a:spLocks noChangeAspect="1"/>
                        </wps:cNvSpPr>
                        <wps:spPr bwMode="auto">
                          <a:xfrm>
                            <a:off x="30960" y="40188"/>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1300C3B9"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1F614B2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96" name="3 Pantalla"/>
                        <wps:cNvSpPr>
                          <a:spLocks noChangeArrowheads="1"/>
                        </wps:cNvSpPr>
                        <wps:spPr bwMode="auto">
                          <a:xfrm rot="5400000">
                            <a:off x="30065"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463D415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97" name="5 Conector recto"/>
                        <wps:cNvCnPr>
                          <a:cxnSpLocks noChangeShapeType="1"/>
                          <a:stCxn id="92" idx="2"/>
                          <a:endCxn id="96" idx="1"/>
                        </wps:cNvCnPr>
                        <wps:spPr bwMode="auto">
                          <a:xfrm flipH="1">
                            <a:off x="32214" y="42698"/>
                            <a:ext cx="0" cy="8247"/>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98" name="48 Rectángulo redondeado"/>
                        <wps:cNvSpPr>
                          <a:spLocks noChangeAspect="1"/>
                        </wps:cNvSpPr>
                        <wps:spPr bwMode="auto">
                          <a:xfrm>
                            <a:off x="36608"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2D2EFA57"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E46AE8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99" name="49 Pantalla"/>
                        <wps:cNvSpPr>
                          <a:spLocks noChangeArrowheads="1"/>
                        </wps:cNvSpPr>
                        <wps:spPr bwMode="auto">
                          <a:xfrm rot="5400000">
                            <a:off x="35713"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280E1F9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100" name="50 Conector recto"/>
                        <wps:cNvCnPr>
                          <a:cxnSpLocks noChangeShapeType="1"/>
                        </wps:cNvCnPr>
                        <wps:spPr bwMode="auto">
                          <a:xfrm flipH="1">
                            <a:off x="37863"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01" name="45 Rectángulo redondeado"/>
                        <wps:cNvSpPr>
                          <a:spLocks noChangeAspect="1"/>
                        </wps:cNvSpPr>
                        <wps:spPr bwMode="auto">
                          <a:xfrm>
                            <a:off x="42256" y="37426"/>
                            <a:ext cx="2424" cy="2424"/>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3D119C79"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67ACA67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102" name="46 Pantalla"/>
                        <wps:cNvSpPr>
                          <a:spLocks noChangeArrowheads="1"/>
                        </wps:cNvSpPr>
                        <wps:spPr bwMode="auto">
                          <a:xfrm rot="5400000">
                            <a:off x="41361"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20867604"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103" name="47 Conector recto"/>
                        <wps:cNvCnPr>
                          <a:cxnSpLocks noChangeShapeType="1"/>
                        </wps:cNvCnPr>
                        <wps:spPr bwMode="auto">
                          <a:xfrm>
                            <a:off x="43468" y="39850"/>
                            <a:ext cx="43" cy="11095"/>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04" name="42 Rectángulo redondeado"/>
                        <wps:cNvSpPr>
                          <a:spLocks noChangeAspect="1"/>
                        </wps:cNvSpPr>
                        <wps:spPr bwMode="auto">
                          <a:xfrm>
                            <a:off x="47904"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43FD3B9A"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64E4688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105" name="43 Pantalla"/>
                        <wps:cNvSpPr>
                          <a:spLocks noChangeArrowheads="1"/>
                        </wps:cNvSpPr>
                        <wps:spPr bwMode="auto">
                          <a:xfrm rot="5400000">
                            <a:off x="47010"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6DC7BC86"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106" name="44 Conector recto"/>
                        <wps:cNvCnPr>
                          <a:cxnSpLocks noChangeShapeType="1"/>
                        </wps:cNvCnPr>
                        <wps:spPr bwMode="auto">
                          <a:xfrm flipH="1">
                            <a:off x="49159"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07" name="39 Rectángulo redondeado"/>
                        <wps:cNvSpPr>
                          <a:spLocks noChangeAspect="1"/>
                        </wps:cNvSpPr>
                        <wps:spPr bwMode="auto">
                          <a:xfrm>
                            <a:off x="53553" y="37426"/>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465D02CD"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9415F44"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108" name="40 Pantalla"/>
                        <wps:cNvSpPr>
                          <a:spLocks noChangeArrowheads="1"/>
                        </wps:cNvSpPr>
                        <wps:spPr bwMode="auto">
                          <a:xfrm rot="5400000">
                            <a:off x="52658"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3AB72E1A"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109" name="41 Conector recto"/>
                        <wps:cNvCnPr>
                          <a:cxnSpLocks noChangeShapeType="1"/>
                        </wps:cNvCnPr>
                        <wps:spPr bwMode="auto">
                          <a:xfrm flipH="1">
                            <a:off x="54807"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10" name="9 CuadroTexto"/>
                        <wps:cNvSpPr txBox="1">
                          <a:spLocks noChangeArrowheads="1"/>
                        </wps:cNvSpPr>
                        <wps:spPr bwMode="auto">
                          <a:xfrm>
                            <a:off x="53363" y="47338"/>
                            <a:ext cx="13602"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30E43"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Dominio</w:t>
                              </w:r>
                            </w:p>
                            <w:p w14:paraId="5196CA99"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 xml:space="preserve">administrativo </w:t>
                              </w:r>
                              <w:r>
                                <w:rPr>
                                  <w:rFonts w:ascii="Arial Narrow" w:hAnsi="Arial Narrow" w:cstheme="minorBidi"/>
                                  <w:b/>
                                  <w:bCs/>
                                  <w:i/>
                                  <w:iCs/>
                                  <w:color w:val="00B050"/>
                                  <w:kern w:val="24"/>
                                  <w:sz w:val="16"/>
                                  <w:szCs w:val="16"/>
                                </w:rPr>
                                <w:t>6</w:t>
                              </w:r>
                            </w:p>
                          </w:txbxContent>
                        </wps:txbx>
                        <wps:bodyPr rot="0" vert="horz" wrap="square" lIns="91440" tIns="45720" rIns="91440" bIns="45720" anchor="t" anchorCtr="0" upright="1">
                          <a:noAutofit/>
                        </wps:bodyPr>
                      </wps:wsp>
                      <wps:wsp>
                        <wps:cNvPr id="111" name="2 Rectángulo redondeado"/>
                        <wps:cNvSpPr>
                          <a:spLocks noChangeAspect="1"/>
                        </wps:cNvSpPr>
                        <wps:spPr bwMode="auto">
                          <a:xfrm>
                            <a:off x="59212" y="40188"/>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61BC486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0F331DB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112" name="3 Pantalla"/>
                        <wps:cNvSpPr>
                          <a:spLocks noChangeArrowheads="1"/>
                        </wps:cNvSpPr>
                        <wps:spPr bwMode="auto">
                          <a:xfrm rot="5400000">
                            <a:off x="58317"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69776400"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113" name="5 Conector recto"/>
                        <wps:cNvCnPr>
                          <a:cxnSpLocks noChangeShapeType="1"/>
                        </wps:cNvCnPr>
                        <wps:spPr bwMode="auto">
                          <a:xfrm flipH="1">
                            <a:off x="60466" y="42698"/>
                            <a:ext cx="0" cy="8247"/>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14" name="58 Conector recto"/>
                        <wps:cNvCnPr>
                          <a:cxnSpLocks noChangeShapeType="1"/>
                        </wps:cNvCnPr>
                        <wps:spPr bwMode="auto">
                          <a:xfrm>
                            <a:off x="9589" y="40499"/>
                            <a:ext cx="282" cy="10446"/>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15" name="70 CuadroTexto"/>
                        <wps:cNvSpPr txBox="1">
                          <a:spLocks noChangeArrowheads="1"/>
                        </wps:cNvSpPr>
                        <wps:spPr bwMode="auto">
                          <a:xfrm>
                            <a:off x="10233" y="23864"/>
                            <a:ext cx="4514" cy="4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4F702"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g:grpSp>
                        <wpg:cNvPr id="116" name="160 Grupo"/>
                        <wpg:cNvGrpSpPr>
                          <a:grpSpLocks/>
                        </wpg:cNvGrpSpPr>
                        <wpg:grpSpPr bwMode="auto">
                          <a:xfrm>
                            <a:off x="26645" y="26670"/>
                            <a:ext cx="16821" cy="13525"/>
                            <a:chOff x="26645" y="26670"/>
                            <a:chExt cx="18096" cy="18458"/>
                          </a:xfrm>
                        </wpg:grpSpPr>
                        <wps:wsp>
                          <wps:cNvPr id="117" name="89 Forma libre"/>
                          <wps:cNvSpPr>
                            <a:spLocks/>
                          </wps:cNvSpPr>
                          <wps:spPr bwMode="auto">
                            <a:xfrm>
                              <a:off x="26645" y="26767"/>
                              <a:ext cx="5599" cy="14451"/>
                            </a:xfrm>
                            <a:custGeom>
                              <a:avLst/>
                              <a:gdLst>
                                <a:gd name="T0" fmla="*/ 19851 w 671893"/>
                                <a:gd name="T1" fmla="*/ 1445108 h 993120"/>
                                <a:gd name="T2" fmla="*/ 199871 w 671893"/>
                                <a:gd name="T3" fmla="*/ 419121 h 993120"/>
                                <a:gd name="T4" fmla="*/ 559911 w 671893"/>
                                <a:gd name="T5" fmla="*/ 0 h 993120"/>
                                <a:gd name="T6" fmla="*/ 0 60000 65536"/>
                                <a:gd name="T7" fmla="*/ 0 60000 65536"/>
                                <a:gd name="T8" fmla="*/ 0 60000 65536"/>
                              </a:gdLst>
                              <a:ahLst/>
                              <a:cxnLst>
                                <a:cxn ang="T6">
                                  <a:pos x="T0" y="T1"/>
                                </a:cxn>
                                <a:cxn ang="T7">
                                  <a:pos x="T2" y="T3"/>
                                </a:cxn>
                                <a:cxn ang="T8">
                                  <a:pos x="T4" y="T5"/>
                                </a:cxn>
                              </a:cxnLst>
                              <a:rect l="0" t="0" r="r" b="b"/>
                              <a:pathLst>
                                <a:path w="671893" h="993120">
                                  <a:moveTo>
                                    <a:pt x="23821" y="993120"/>
                                  </a:moveTo>
                                  <a:cubicBezTo>
                                    <a:pt x="0" y="909639"/>
                                    <a:pt x="131833" y="453552"/>
                                    <a:pt x="239845" y="288032"/>
                                  </a:cubicBezTo>
                                  <a:cubicBezTo>
                                    <a:pt x="347857" y="122512"/>
                                    <a:pt x="563066" y="190550"/>
                                    <a:pt x="671893"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8" name="91 Forma libre"/>
                          <wps:cNvSpPr>
                            <a:spLocks/>
                          </wps:cNvSpPr>
                          <wps:spPr bwMode="auto">
                            <a:xfrm>
                              <a:off x="32355" y="26767"/>
                              <a:ext cx="492" cy="18361"/>
                            </a:xfrm>
                            <a:custGeom>
                              <a:avLst/>
                              <a:gdLst>
                                <a:gd name="T0" fmla="*/ 0 w 648072"/>
                                <a:gd name="T1" fmla="*/ 1836116 h 993120"/>
                                <a:gd name="T2" fmla="*/ 16395 w 648072"/>
                                <a:gd name="T3" fmla="*/ 532524 h 993120"/>
                                <a:gd name="T4" fmla="*/ 49186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93306" y="739638"/>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9" name="92 Forma libre"/>
                          <wps:cNvSpPr>
                            <a:spLocks/>
                          </wps:cNvSpPr>
                          <wps:spPr bwMode="auto">
                            <a:xfrm flipH="1">
                              <a:off x="33864" y="26670"/>
                              <a:ext cx="10877" cy="14548"/>
                            </a:xfrm>
                            <a:custGeom>
                              <a:avLst/>
                              <a:gdLst>
                                <a:gd name="T0" fmla="*/ 7583 w 652622"/>
                                <a:gd name="T1" fmla="*/ 1454835 h 993120"/>
                                <a:gd name="T2" fmla="*/ 367623 w 652622"/>
                                <a:gd name="T3" fmla="*/ 421942 h 993120"/>
                                <a:gd name="T4" fmla="*/ 1087703 w 652622"/>
                                <a:gd name="T5" fmla="*/ 0 h 993120"/>
                                <a:gd name="T6" fmla="*/ 0 60000 65536"/>
                                <a:gd name="T7" fmla="*/ 0 60000 65536"/>
                                <a:gd name="T8" fmla="*/ 0 60000 65536"/>
                              </a:gdLst>
                              <a:ahLst/>
                              <a:cxnLst>
                                <a:cxn ang="T6">
                                  <a:pos x="T0" y="T1"/>
                                </a:cxn>
                                <a:cxn ang="T7">
                                  <a:pos x="T2" y="T3"/>
                                </a:cxn>
                                <a:cxn ang="T8">
                                  <a:pos x="T4" y="T5"/>
                                </a:cxn>
                              </a:cxnLst>
                              <a:rect l="0" t="0" r="r" b="b"/>
                              <a:pathLst>
                                <a:path w="652622" h="993120">
                                  <a:moveTo>
                                    <a:pt x="4550" y="993120"/>
                                  </a:moveTo>
                                  <a:cubicBezTo>
                                    <a:pt x="0" y="870728"/>
                                    <a:pt x="112562" y="453552"/>
                                    <a:pt x="220574" y="288032"/>
                                  </a:cubicBezTo>
                                  <a:cubicBezTo>
                                    <a:pt x="328586" y="122512"/>
                                    <a:pt x="543795" y="190550"/>
                                    <a:pt x="65262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120" name="161 Grupo"/>
                        <wpg:cNvGrpSpPr>
                          <a:grpSpLocks/>
                        </wpg:cNvGrpSpPr>
                        <wpg:grpSpPr bwMode="auto">
                          <a:xfrm>
                            <a:off x="48415" y="26574"/>
                            <a:ext cx="6024" cy="10859"/>
                            <a:chOff x="48415" y="26574"/>
                            <a:chExt cx="6480" cy="14548"/>
                          </a:xfrm>
                        </wpg:grpSpPr>
                        <wps:wsp>
                          <wps:cNvPr id="121" name="110 Forma libre"/>
                          <wps:cNvSpPr>
                            <a:spLocks/>
                          </wps:cNvSpPr>
                          <wps:spPr bwMode="auto">
                            <a:xfrm flipH="1">
                              <a:off x="48955" y="26574"/>
                              <a:ext cx="5941" cy="14549"/>
                            </a:xfrm>
                            <a:custGeom>
                              <a:avLst/>
                              <a:gdLst>
                                <a:gd name="T0" fmla="*/ 0 w 648072"/>
                                <a:gd name="T1" fmla="*/ 1454835 h 993120"/>
                                <a:gd name="T2" fmla="*/ 198022 w 648072"/>
                                <a:gd name="T3" fmla="*/ 421942 h 993120"/>
                                <a:gd name="T4" fmla="*/ 594066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2076" y="792907"/>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2" name="111 Forma libre"/>
                          <wps:cNvSpPr>
                            <a:spLocks/>
                          </wps:cNvSpPr>
                          <wps:spPr bwMode="auto">
                            <a:xfrm flipH="1">
                              <a:off x="48415" y="26672"/>
                              <a:ext cx="1239" cy="14451"/>
                            </a:xfrm>
                            <a:custGeom>
                              <a:avLst/>
                              <a:gdLst>
                                <a:gd name="T0" fmla="*/ 0 w 648072"/>
                                <a:gd name="T1" fmla="*/ 1445108 h 993120"/>
                                <a:gd name="T2" fmla="*/ 41294 w 648072"/>
                                <a:gd name="T3" fmla="*/ 419121 h 993120"/>
                                <a:gd name="T4" fmla="*/ 123883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93306" y="739638"/>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3" name="117 Rectángulo redondeado"/>
                        <wps:cNvSpPr>
                          <a:spLocks noChangeAspect="1"/>
                        </wps:cNvSpPr>
                        <wps:spPr bwMode="auto">
                          <a:xfrm>
                            <a:off x="26609" y="12440"/>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57A79B40"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PCN</w:t>
                              </w:r>
                            </w:p>
                          </w:txbxContent>
                        </wps:txbx>
                        <wps:bodyPr rot="0" vert="horz" wrap="square" lIns="0" tIns="0" rIns="0" bIns="0" anchor="ctr" anchorCtr="0" upright="1">
                          <a:noAutofit/>
                        </wps:bodyPr>
                      </wps:wsp>
                      <wps:wsp>
                        <wps:cNvPr id="124" name="156 Forma libre"/>
                        <wps:cNvSpPr>
                          <a:spLocks/>
                        </wps:cNvSpPr>
                        <wps:spPr bwMode="auto">
                          <a:xfrm flipH="1">
                            <a:off x="65622" y="26670"/>
                            <a:ext cx="457" cy="10668"/>
                          </a:xfrm>
                          <a:custGeom>
                            <a:avLst/>
                            <a:gdLst>
                              <a:gd name="T0" fmla="*/ 0 w 648072"/>
                              <a:gd name="T1" fmla="*/ 1066800 h 993120"/>
                              <a:gd name="T2" fmla="*/ 15240 w 648072"/>
                              <a:gd name="T3" fmla="*/ 309401 h 993120"/>
                              <a:gd name="T4" fmla="*/ 45719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93306" y="739638"/>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5" name="86 Rectángulo redondeado"/>
                        <wps:cNvSpPr>
                          <a:spLocks noChangeAspect="1"/>
                        </wps:cNvSpPr>
                        <wps:spPr bwMode="auto">
                          <a:xfrm>
                            <a:off x="47706" y="24103"/>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7DA01188"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wps:txbx>
                        <wps:bodyPr rot="0" vert="horz" wrap="square" lIns="0" tIns="0" rIns="0" bIns="0" anchor="ctr" anchorCtr="0" upright="1">
                          <a:noAutofit/>
                        </wps:bodyPr>
                      </wps:wsp>
                      <wps:wsp>
                        <wps:cNvPr id="126" name="154 Rectángulo redondeado"/>
                        <wps:cNvSpPr>
                          <a:spLocks noChangeAspect="1"/>
                        </wps:cNvSpPr>
                        <wps:spPr bwMode="auto">
                          <a:xfrm>
                            <a:off x="64856" y="24103"/>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66BFC10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wps:txbx>
                        <wps:bodyPr rot="0" vert="horz" wrap="square" lIns="0" tIns="0" rIns="0" bIns="0" anchor="ctr" anchorCtr="0" upright="1">
                          <a:noAutofit/>
                        </wps:bodyPr>
                      </wps:wsp>
                      <wps:wsp>
                        <wps:cNvPr id="127" name="118 Rectángulo redondeado"/>
                        <wps:cNvSpPr>
                          <a:spLocks noChangeAspect="1"/>
                        </wps:cNvSpPr>
                        <wps:spPr bwMode="auto">
                          <a:xfrm>
                            <a:off x="55012" y="12350"/>
                            <a:ext cx="2509" cy="2509"/>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563F196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PCN</w:t>
                              </w:r>
                            </w:p>
                          </w:txbxContent>
                        </wps:txbx>
                        <wps:bodyPr rot="0" vert="horz" wrap="square" lIns="0" tIns="0" rIns="0" bIns="0" anchor="ctr" anchorCtr="0" upright="1">
                          <a:noAutofit/>
                        </wps:bodyPr>
                      </wps:wsp>
                      <wps:wsp>
                        <wps:cNvPr id="256" name="84 Rectángulo redondeado"/>
                        <wps:cNvSpPr>
                          <a:spLocks noChangeAspect="1"/>
                        </wps:cNvSpPr>
                        <wps:spPr bwMode="auto">
                          <a:xfrm>
                            <a:off x="31187" y="24103"/>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7E34E990"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wps:txbx>
                        <wps:bodyPr rot="0" vert="horz" wrap="square" lIns="0" tIns="0" rIns="0" bIns="0" anchor="ctr" anchorCtr="0" upright="1">
                          <a:noAutofit/>
                        </wps:bodyPr>
                      </wps:wsp>
                      <wpg:grpSp>
                        <wpg:cNvPr id="257" name="180 Grupo"/>
                        <wpg:cNvGrpSpPr>
                          <a:grpSpLocks/>
                        </wpg:cNvGrpSpPr>
                        <wpg:grpSpPr bwMode="auto">
                          <a:xfrm>
                            <a:off x="3859" y="26574"/>
                            <a:ext cx="17088" cy="10859"/>
                            <a:chOff x="3859" y="26574"/>
                            <a:chExt cx="18383" cy="14688"/>
                          </a:xfrm>
                        </wpg:grpSpPr>
                        <wps:wsp>
                          <wps:cNvPr id="258" name="181 Forma libre"/>
                          <wps:cNvSpPr>
                            <a:spLocks/>
                          </wps:cNvSpPr>
                          <wps:spPr bwMode="auto">
                            <a:xfrm>
                              <a:off x="3859" y="26672"/>
                              <a:ext cx="12002" cy="14451"/>
                            </a:xfrm>
                            <a:custGeom>
                              <a:avLst/>
                              <a:gdLst>
                                <a:gd name="T0" fmla="*/ 42550 w 671893"/>
                                <a:gd name="T1" fmla="*/ 1445108 h 993120"/>
                                <a:gd name="T2" fmla="*/ 428416 w 671893"/>
                                <a:gd name="T3" fmla="*/ 419121 h 993120"/>
                                <a:gd name="T4" fmla="*/ 1200149 w 671893"/>
                                <a:gd name="T5" fmla="*/ 0 h 993120"/>
                                <a:gd name="T6" fmla="*/ 0 60000 65536"/>
                                <a:gd name="T7" fmla="*/ 0 60000 65536"/>
                                <a:gd name="T8" fmla="*/ 0 60000 65536"/>
                              </a:gdLst>
                              <a:ahLst/>
                              <a:cxnLst>
                                <a:cxn ang="T6">
                                  <a:pos x="T0" y="T1"/>
                                </a:cxn>
                                <a:cxn ang="T7">
                                  <a:pos x="T2" y="T3"/>
                                </a:cxn>
                                <a:cxn ang="T8">
                                  <a:pos x="T4" y="T5"/>
                                </a:cxn>
                              </a:cxnLst>
                              <a:rect l="0" t="0" r="r" b="b"/>
                              <a:pathLst>
                                <a:path w="671893" h="993120">
                                  <a:moveTo>
                                    <a:pt x="23821" y="993120"/>
                                  </a:moveTo>
                                  <a:cubicBezTo>
                                    <a:pt x="0" y="909639"/>
                                    <a:pt x="131833" y="453552"/>
                                    <a:pt x="239845" y="288032"/>
                                  </a:cubicBezTo>
                                  <a:cubicBezTo>
                                    <a:pt x="347857" y="122512"/>
                                    <a:pt x="563066" y="190550"/>
                                    <a:pt x="671893"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182 Forma libre"/>
                          <wps:cNvSpPr>
                            <a:spLocks/>
                          </wps:cNvSpPr>
                          <wps:spPr bwMode="auto">
                            <a:xfrm>
                              <a:off x="10173" y="26672"/>
                              <a:ext cx="6209" cy="14591"/>
                            </a:xfrm>
                            <a:custGeom>
                              <a:avLst/>
                              <a:gdLst>
                                <a:gd name="T0" fmla="*/ 6836 w 655286"/>
                                <a:gd name="T1" fmla="*/ 1459149 h 993120"/>
                                <a:gd name="T2" fmla="*/ 211534 w 655286"/>
                                <a:gd name="T3" fmla="*/ 423193 h 993120"/>
                                <a:gd name="T4" fmla="*/ 620929 w 655286"/>
                                <a:gd name="T5" fmla="*/ 0 h 993120"/>
                                <a:gd name="T6" fmla="*/ 0 60000 65536"/>
                                <a:gd name="T7" fmla="*/ 0 60000 65536"/>
                                <a:gd name="T8" fmla="*/ 0 60000 65536"/>
                              </a:gdLst>
                              <a:ahLst/>
                              <a:cxnLst>
                                <a:cxn ang="T6">
                                  <a:pos x="T0" y="T1"/>
                                </a:cxn>
                                <a:cxn ang="T7">
                                  <a:pos x="T2" y="T3"/>
                                </a:cxn>
                                <a:cxn ang="T8">
                                  <a:pos x="T4" y="T5"/>
                                </a:cxn>
                              </a:cxnLst>
                              <a:rect l="0" t="0" r="r" b="b"/>
                              <a:pathLst>
                                <a:path w="655286" h="993120">
                                  <a:moveTo>
                                    <a:pt x="7214" y="993120"/>
                                  </a:moveTo>
                                  <a:cubicBezTo>
                                    <a:pt x="0" y="860836"/>
                                    <a:pt x="115226" y="453552"/>
                                    <a:pt x="223238" y="288032"/>
                                  </a:cubicBezTo>
                                  <a:cubicBezTo>
                                    <a:pt x="331250" y="122512"/>
                                    <a:pt x="546459" y="190550"/>
                                    <a:pt x="655286"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0" name="183 Forma libre"/>
                          <wps:cNvSpPr>
                            <a:spLocks/>
                          </wps:cNvSpPr>
                          <wps:spPr bwMode="auto">
                            <a:xfrm flipH="1">
                              <a:off x="17399" y="26574"/>
                              <a:ext cx="4844" cy="14549"/>
                            </a:xfrm>
                            <a:custGeom>
                              <a:avLst/>
                              <a:gdLst>
                                <a:gd name="T0" fmla="*/ 3377 w 652622"/>
                                <a:gd name="T1" fmla="*/ 1454835 h 993120"/>
                                <a:gd name="T2" fmla="*/ 163695 w 652622"/>
                                <a:gd name="T3" fmla="*/ 421942 h 993120"/>
                                <a:gd name="T4" fmla="*/ 484332 w 652622"/>
                                <a:gd name="T5" fmla="*/ 0 h 993120"/>
                                <a:gd name="T6" fmla="*/ 0 60000 65536"/>
                                <a:gd name="T7" fmla="*/ 0 60000 65536"/>
                                <a:gd name="T8" fmla="*/ 0 60000 65536"/>
                              </a:gdLst>
                              <a:ahLst/>
                              <a:cxnLst>
                                <a:cxn ang="T6">
                                  <a:pos x="T0" y="T1"/>
                                </a:cxn>
                                <a:cxn ang="T7">
                                  <a:pos x="T2" y="T3"/>
                                </a:cxn>
                                <a:cxn ang="T8">
                                  <a:pos x="T4" y="T5"/>
                                </a:cxn>
                              </a:cxnLst>
                              <a:rect l="0" t="0" r="r" b="b"/>
                              <a:pathLst>
                                <a:path w="652622" h="993120">
                                  <a:moveTo>
                                    <a:pt x="4550" y="993120"/>
                                  </a:moveTo>
                                  <a:cubicBezTo>
                                    <a:pt x="0" y="870728"/>
                                    <a:pt x="112562" y="453552"/>
                                    <a:pt x="220574" y="288032"/>
                                  </a:cubicBezTo>
                                  <a:cubicBezTo>
                                    <a:pt x="328586" y="122512"/>
                                    <a:pt x="543795" y="190550"/>
                                    <a:pt x="65262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62" name="159 Rectángulo redondeado"/>
                        <wps:cNvSpPr>
                          <a:spLocks noChangeAspect="1"/>
                        </wps:cNvSpPr>
                        <wps:spPr bwMode="auto">
                          <a:xfrm>
                            <a:off x="14339" y="24103"/>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193DB76D"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wps:txbx>
                        <wps:bodyPr rot="0" vert="horz" wrap="square" lIns="0" tIns="0" rIns="0" bIns="0" anchor="ctr" anchorCtr="0" upright="1">
                          <a:noAutofit/>
                        </wps:bodyPr>
                      </wps:wsp>
                      <wps:wsp>
                        <wps:cNvPr id="263" name="209 Y"/>
                        <wps:cNvSpPr>
                          <a:spLocks noChangeAspect="1"/>
                        </wps:cNvSpPr>
                        <wps:spPr bwMode="auto">
                          <a:xfrm>
                            <a:off x="9065" y="24581"/>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264" name="212 Forma libre"/>
                        <wps:cNvSpPr>
                          <a:spLocks/>
                        </wps:cNvSpPr>
                        <wps:spPr bwMode="auto">
                          <a:xfrm>
                            <a:off x="10875" y="26023"/>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5" name="213 Forma libre"/>
                        <wps:cNvSpPr>
                          <a:spLocks/>
                        </wps:cNvSpPr>
                        <wps:spPr bwMode="auto">
                          <a:xfrm>
                            <a:off x="10889" y="25427"/>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6" name="219 Y"/>
                        <wps:cNvSpPr>
                          <a:spLocks noChangeAspect="1"/>
                        </wps:cNvSpPr>
                        <wps:spPr bwMode="auto">
                          <a:xfrm>
                            <a:off x="25977" y="24581"/>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267" name="217 Forma libre"/>
                        <wps:cNvSpPr>
                          <a:spLocks/>
                        </wps:cNvSpPr>
                        <wps:spPr bwMode="auto">
                          <a:xfrm>
                            <a:off x="27787" y="26023"/>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218 Forma libre"/>
                        <wps:cNvSpPr>
                          <a:spLocks/>
                        </wps:cNvSpPr>
                        <wps:spPr bwMode="auto">
                          <a:xfrm>
                            <a:off x="27801" y="25427"/>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9" name="225 Y"/>
                        <wps:cNvSpPr>
                          <a:spLocks noChangeAspect="1"/>
                        </wps:cNvSpPr>
                        <wps:spPr bwMode="auto">
                          <a:xfrm>
                            <a:off x="42423" y="24581"/>
                            <a:ext cx="1793"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270" name="226 Forma libre"/>
                        <wps:cNvSpPr>
                          <a:spLocks/>
                        </wps:cNvSpPr>
                        <wps:spPr bwMode="auto">
                          <a:xfrm>
                            <a:off x="44288" y="25427"/>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1" name="223 Forma libre"/>
                        <wps:cNvSpPr>
                          <a:spLocks/>
                        </wps:cNvSpPr>
                        <wps:spPr bwMode="auto">
                          <a:xfrm>
                            <a:off x="44232" y="26023"/>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2" name="231 Y"/>
                        <wps:cNvSpPr>
                          <a:spLocks noChangeAspect="1"/>
                        </wps:cNvSpPr>
                        <wps:spPr bwMode="auto">
                          <a:xfrm>
                            <a:off x="59599" y="24581"/>
                            <a:ext cx="1793"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273" name="232 Forma libre"/>
                        <wps:cNvSpPr>
                          <a:spLocks/>
                        </wps:cNvSpPr>
                        <wps:spPr bwMode="auto">
                          <a:xfrm>
                            <a:off x="61464" y="25427"/>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233 CuadroTexto"/>
                        <wps:cNvSpPr txBox="1">
                          <a:spLocks noChangeArrowheads="1"/>
                        </wps:cNvSpPr>
                        <wps:spPr bwMode="auto">
                          <a:xfrm>
                            <a:off x="27143" y="23864"/>
                            <a:ext cx="4513" cy="4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D4991"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s:wsp>
                        <wps:cNvPr id="275" name="234 CuadroTexto"/>
                        <wps:cNvSpPr txBox="1">
                          <a:spLocks noChangeArrowheads="1"/>
                        </wps:cNvSpPr>
                        <wps:spPr bwMode="auto">
                          <a:xfrm>
                            <a:off x="43609" y="23864"/>
                            <a:ext cx="4514" cy="4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DE69C"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s:wsp>
                        <wps:cNvPr id="276" name="235 CuadroTexto"/>
                        <wps:cNvSpPr txBox="1">
                          <a:spLocks noChangeArrowheads="1"/>
                        </wps:cNvSpPr>
                        <wps:spPr bwMode="auto">
                          <a:xfrm>
                            <a:off x="60873" y="23864"/>
                            <a:ext cx="4513" cy="4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047BF"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s:wsp>
                        <wps:cNvPr id="277" name="172 Forma libre"/>
                        <wps:cNvSpPr>
                          <a:spLocks/>
                        </wps:cNvSpPr>
                        <wps:spPr bwMode="auto">
                          <a:xfrm>
                            <a:off x="2265"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8" name="236 CuadroTexto"/>
                        <wps:cNvSpPr txBox="1">
                          <a:spLocks noChangeArrowheads="1"/>
                        </wps:cNvSpPr>
                        <wps:spPr bwMode="auto">
                          <a:xfrm>
                            <a:off x="138" y="36185"/>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8B87C"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79" name="186 Forma libre"/>
                        <wps:cNvSpPr>
                          <a:spLocks/>
                        </wps:cNvSpPr>
                        <wps:spPr bwMode="auto">
                          <a:xfrm>
                            <a:off x="7871"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237 CuadroTexto"/>
                        <wps:cNvSpPr txBox="1">
                          <a:spLocks noChangeArrowheads="1"/>
                        </wps:cNvSpPr>
                        <wps:spPr bwMode="auto">
                          <a:xfrm>
                            <a:off x="5889" y="36185"/>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04C5B"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81" name="189 Forma libre"/>
                        <wps:cNvSpPr>
                          <a:spLocks/>
                        </wps:cNvSpPr>
                        <wps:spPr bwMode="auto">
                          <a:xfrm>
                            <a:off x="19039" y="38701"/>
                            <a:ext cx="954" cy="474"/>
                          </a:xfrm>
                          <a:custGeom>
                            <a:avLst/>
                            <a:gdLst>
                              <a:gd name="T0" fmla="*/ 0 w 723900"/>
                              <a:gd name="T1" fmla="*/ 0 h 47406"/>
                              <a:gd name="T2" fmla="*/ 95417 w 723900"/>
                              <a:gd name="T3" fmla="*/ 0 h 47406"/>
                              <a:gd name="T4" fmla="*/ 0 60000 65536"/>
                              <a:gd name="T5" fmla="*/ 0 60000 65536"/>
                            </a:gdLst>
                            <a:ahLst/>
                            <a:cxnLst>
                              <a:cxn ang="T4">
                                <a:pos x="T0" y="T1"/>
                              </a:cxn>
                              <a:cxn ang="T5">
                                <a:pos x="T2" y="T3"/>
                              </a:cxn>
                            </a:cxnLst>
                            <a:rect l="0" t="0" r="r" b="b"/>
                            <a:pathLst>
                              <a:path w="723900" h="47406">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2" name="238 CuadroTexto"/>
                        <wps:cNvSpPr txBox="1">
                          <a:spLocks noChangeArrowheads="1"/>
                        </wps:cNvSpPr>
                        <wps:spPr bwMode="auto">
                          <a:xfrm>
                            <a:off x="17164" y="36185"/>
                            <a:ext cx="4524"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5871F"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83" name="192 Forma libre"/>
                        <wps:cNvSpPr>
                          <a:spLocks/>
                        </wps:cNvSpPr>
                        <wps:spPr bwMode="auto">
                          <a:xfrm>
                            <a:off x="24844" y="38751"/>
                            <a:ext cx="670"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239 CuadroTexto"/>
                        <wps:cNvSpPr txBox="1">
                          <a:spLocks noChangeArrowheads="1"/>
                        </wps:cNvSpPr>
                        <wps:spPr bwMode="auto">
                          <a:xfrm>
                            <a:off x="22787" y="36185"/>
                            <a:ext cx="4514"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9D530"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85" name="198 Forma libre"/>
                        <wps:cNvSpPr>
                          <a:spLocks/>
                        </wps:cNvSpPr>
                        <wps:spPr bwMode="auto">
                          <a:xfrm>
                            <a:off x="41556"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6" name="241 CuadroTexto"/>
                        <wps:cNvSpPr txBox="1">
                          <a:spLocks noChangeArrowheads="1"/>
                        </wps:cNvSpPr>
                        <wps:spPr bwMode="auto">
                          <a:xfrm>
                            <a:off x="39474" y="36185"/>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B7A77"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87" name="201 Forma libre"/>
                        <wps:cNvSpPr>
                          <a:spLocks/>
                        </wps:cNvSpPr>
                        <wps:spPr bwMode="auto">
                          <a:xfrm>
                            <a:off x="47134"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8" name="242 CuadroTexto"/>
                        <wps:cNvSpPr txBox="1">
                          <a:spLocks noChangeArrowheads="1"/>
                        </wps:cNvSpPr>
                        <wps:spPr bwMode="auto">
                          <a:xfrm>
                            <a:off x="45097" y="36185"/>
                            <a:ext cx="4514"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36095"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89" name="204 Forma libre"/>
                        <wps:cNvSpPr>
                          <a:spLocks/>
                        </wps:cNvSpPr>
                        <wps:spPr bwMode="auto">
                          <a:xfrm>
                            <a:off x="52831"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0" name="243 CuadroTexto"/>
                        <wps:cNvSpPr txBox="1">
                          <a:spLocks noChangeArrowheads="1"/>
                        </wps:cNvSpPr>
                        <wps:spPr bwMode="auto">
                          <a:xfrm>
                            <a:off x="50763" y="36185"/>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CD9A"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291" name="141 Rectángulo redondeado"/>
                        <wps:cNvSpPr>
                          <a:spLocks noChangeAspect="1"/>
                        </wps:cNvSpPr>
                        <wps:spPr bwMode="auto">
                          <a:xfrm>
                            <a:off x="70372"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55441A83"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30BA02D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292" name="142 Pantalla"/>
                        <wps:cNvSpPr>
                          <a:spLocks noChangeArrowheads="1"/>
                        </wps:cNvSpPr>
                        <wps:spPr bwMode="auto">
                          <a:xfrm rot="5400000">
                            <a:off x="69478"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22B4B5F6"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293" name="143 Conector recto"/>
                        <wps:cNvCnPr>
                          <a:cxnSpLocks noChangeShapeType="1"/>
                        </wps:cNvCnPr>
                        <wps:spPr bwMode="auto">
                          <a:xfrm flipH="1">
                            <a:off x="71627"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294" name="145 Rectángulo redondeado"/>
                        <wps:cNvSpPr>
                          <a:spLocks noChangeAspect="1"/>
                        </wps:cNvSpPr>
                        <wps:spPr bwMode="auto">
                          <a:xfrm>
                            <a:off x="76021" y="37426"/>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116F9F53"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023FFF3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295" name="146 Pantalla"/>
                        <wps:cNvSpPr>
                          <a:spLocks noChangeArrowheads="1"/>
                        </wps:cNvSpPr>
                        <wps:spPr bwMode="auto">
                          <a:xfrm rot="5400000">
                            <a:off x="75126"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489C2A6C"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296" name="147 Conector recto"/>
                        <wps:cNvCnPr>
                          <a:cxnSpLocks noChangeShapeType="1"/>
                        </wps:cNvCnPr>
                        <wps:spPr bwMode="auto">
                          <a:xfrm flipH="1">
                            <a:off x="77275"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297" name="149 CuadroTexto"/>
                        <wps:cNvSpPr txBox="1">
                          <a:spLocks noChangeArrowheads="1"/>
                        </wps:cNvSpPr>
                        <wps:spPr bwMode="auto">
                          <a:xfrm>
                            <a:off x="72622" y="47338"/>
                            <a:ext cx="13603"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0C877"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Dominio</w:t>
                              </w:r>
                            </w:p>
                            <w:p w14:paraId="03C769CE"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 xml:space="preserve">administrativo </w:t>
                              </w:r>
                              <w:r>
                                <w:rPr>
                                  <w:rFonts w:ascii="Arial Narrow" w:hAnsi="Arial Narrow" w:cstheme="minorBidi"/>
                                  <w:b/>
                                  <w:bCs/>
                                  <w:i/>
                                  <w:iCs/>
                                  <w:color w:val="7030A0"/>
                                  <w:kern w:val="24"/>
                                  <w:sz w:val="16"/>
                                  <w:szCs w:val="16"/>
                                </w:rPr>
                                <w:t>8</w:t>
                              </w:r>
                            </w:p>
                          </w:txbxContent>
                        </wps:txbx>
                        <wps:bodyPr rot="0" vert="horz" wrap="square" lIns="91440" tIns="45720" rIns="91440" bIns="45720" anchor="t" anchorCtr="0" upright="1">
                          <a:noAutofit/>
                        </wps:bodyPr>
                      </wps:wsp>
                      <wps:wsp>
                        <wps:cNvPr id="298" name="2 Rectángulo redondeado"/>
                        <wps:cNvSpPr>
                          <a:spLocks noChangeAspect="1"/>
                        </wps:cNvSpPr>
                        <wps:spPr bwMode="auto">
                          <a:xfrm>
                            <a:off x="81680" y="37426"/>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79D19CA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97451A4"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299" name="3 Pantalla"/>
                        <wps:cNvSpPr>
                          <a:spLocks noChangeArrowheads="1"/>
                        </wps:cNvSpPr>
                        <wps:spPr bwMode="auto">
                          <a:xfrm rot="5400000">
                            <a:off x="80785"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34F7DF19"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300" name="5 Conector recto"/>
                        <wps:cNvCnPr>
                          <a:cxnSpLocks noChangeShapeType="1"/>
                        </wps:cNvCnPr>
                        <wps:spPr bwMode="auto">
                          <a:xfrm flipH="1">
                            <a:off x="82934" y="39936"/>
                            <a:ext cx="1"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301" name="207 Forma libre"/>
                        <wps:cNvSpPr>
                          <a:spLocks/>
                        </wps:cNvSpPr>
                        <wps:spPr bwMode="auto">
                          <a:xfrm>
                            <a:off x="69718"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2" name="244 CuadroTexto"/>
                        <wps:cNvSpPr txBox="1">
                          <a:spLocks noChangeArrowheads="1"/>
                        </wps:cNvSpPr>
                        <wps:spPr bwMode="auto">
                          <a:xfrm>
                            <a:off x="67670" y="36185"/>
                            <a:ext cx="4524"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9A8D3"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03" name="245 CuadroTexto"/>
                        <wps:cNvSpPr txBox="1">
                          <a:spLocks noChangeArrowheads="1"/>
                        </wps:cNvSpPr>
                        <wps:spPr bwMode="auto">
                          <a:xfrm>
                            <a:off x="22539" y="10891"/>
                            <a:ext cx="4514" cy="4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BE4B5"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s:wsp>
                        <wps:cNvPr id="304" name="250 Y"/>
                        <wps:cNvSpPr>
                          <a:spLocks noChangeAspect="1"/>
                        </wps:cNvSpPr>
                        <wps:spPr bwMode="auto">
                          <a:xfrm>
                            <a:off x="21372" y="12781"/>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05" name="251 Forma libre"/>
                        <wps:cNvSpPr>
                          <a:spLocks/>
                        </wps:cNvSpPr>
                        <wps:spPr bwMode="auto">
                          <a:xfrm>
                            <a:off x="23238" y="13494"/>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6" name="248 Forma libre"/>
                        <wps:cNvSpPr>
                          <a:spLocks/>
                        </wps:cNvSpPr>
                        <wps:spPr bwMode="auto">
                          <a:xfrm>
                            <a:off x="23181" y="13971"/>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7" name="249 Forma libre"/>
                        <wps:cNvSpPr>
                          <a:spLocks/>
                        </wps:cNvSpPr>
                        <wps:spPr bwMode="auto">
                          <a:xfrm>
                            <a:off x="23195" y="13003"/>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8" name="252 CuadroTexto"/>
                        <wps:cNvSpPr txBox="1">
                          <a:spLocks noChangeArrowheads="1"/>
                        </wps:cNvSpPr>
                        <wps:spPr bwMode="auto">
                          <a:xfrm>
                            <a:off x="50957" y="10891"/>
                            <a:ext cx="4514" cy="4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DE52E"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4"/>
                                  <w:szCs w:val="14"/>
                                </w:rPr>
                                <w:t>pCAI</w:t>
                              </w:r>
                            </w:p>
                          </w:txbxContent>
                        </wps:txbx>
                        <wps:bodyPr rot="0" vert="horz" wrap="square" lIns="91440" tIns="45720" rIns="91440" bIns="45720" anchor="t" anchorCtr="0" upright="1">
                          <a:noAutofit/>
                        </wps:bodyPr>
                      </wps:wsp>
                      <wps:wsp>
                        <wps:cNvPr id="309" name="257 Y"/>
                        <wps:cNvSpPr>
                          <a:spLocks noChangeAspect="1"/>
                        </wps:cNvSpPr>
                        <wps:spPr bwMode="auto">
                          <a:xfrm>
                            <a:off x="49792" y="12692"/>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10" name="258 Forma libre"/>
                        <wps:cNvSpPr>
                          <a:spLocks/>
                        </wps:cNvSpPr>
                        <wps:spPr bwMode="auto">
                          <a:xfrm>
                            <a:off x="51601" y="13459"/>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1" name="255 Forma libre"/>
                        <wps:cNvSpPr>
                          <a:spLocks/>
                        </wps:cNvSpPr>
                        <wps:spPr bwMode="auto">
                          <a:xfrm>
                            <a:off x="51601" y="13936"/>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2" name="256 Forma libre"/>
                        <wps:cNvSpPr>
                          <a:spLocks/>
                        </wps:cNvSpPr>
                        <wps:spPr bwMode="auto">
                          <a:xfrm>
                            <a:off x="51601" y="12968"/>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3" name="259 Forma libre"/>
                        <wps:cNvSpPr>
                          <a:spLocks/>
                        </wps:cNvSpPr>
                        <wps:spPr bwMode="auto">
                          <a:xfrm>
                            <a:off x="23205" y="14467"/>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 name="267 CuadroTexto"/>
                        <wps:cNvSpPr txBox="1">
                          <a:spLocks noChangeArrowheads="1"/>
                        </wps:cNvSpPr>
                        <wps:spPr bwMode="auto">
                          <a:xfrm>
                            <a:off x="25027" y="56671"/>
                            <a:ext cx="25334" cy="6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33CFD"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Nodos de conexión de acceso indirecto (NCAI)</w:t>
                              </w:r>
                            </w:p>
                          </w:txbxContent>
                        </wps:txbx>
                        <wps:bodyPr rot="0" vert="horz" wrap="square" lIns="91440" tIns="45720" rIns="91440" bIns="45720" anchor="t" anchorCtr="0" upright="1">
                          <a:noAutofit/>
                        </wps:bodyPr>
                      </wps:wsp>
                      <wps:wsp>
                        <wps:cNvPr id="315" name="272 CuadroTexto"/>
                        <wps:cNvSpPr txBox="1">
                          <a:spLocks noChangeArrowheads="1"/>
                        </wps:cNvSpPr>
                        <wps:spPr bwMode="auto">
                          <a:xfrm>
                            <a:off x="71528" y="20476"/>
                            <a:ext cx="29000" cy="6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29AFB"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Punto de concentración regional </w:t>
                              </w:r>
                            </w:p>
                            <w:p w14:paraId="1B60389F"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(PCR).</w:t>
                              </w:r>
                            </w:p>
                          </w:txbxContent>
                        </wps:txbx>
                        <wps:bodyPr rot="0" vert="horz" wrap="square" lIns="91440" tIns="45720" rIns="91440" bIns="45720" anchor="t" anchorCtr="0" upright="1">
                          <a:noAutofit/>
                        </wps:bodyPr>
                      </wps:wsp>
                      <wps:wsp>
                        <wps:cNvPr id="316" name="274 CuadroTexto"/>
                        <wps:cNvSpPr txBox="1">
                          <a:spLocks noChangeArrowheads="1"/>
                        </wps:cNvSpPr>
                        <wps:spPr bwMode="auto">
                          <a:xfrm>
                            <a:off x="71531" y="8586"/>
                            <a:ext cx="29746" cy="6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B3B38"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Nodos de concentración nacional </w:t>
                              </w:r>
                            </w:p>
                            <w:p w14:paraId="367B95BB"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(PCN).</w:t>
                              </w:r>
                            </w:p>
                          </w:txbxContent>
                        </wps:txbx>
                        <wps:bodyPr rot="0" vert="horz" wrap="square" lIns="91440" tIns="45720" rIns="91440" bIns="45720" anchor="t" anchorCtr="0" upright="1">
                          <a:noAutofit/>
                        </wps:bodyPr>
                      </wps:wsp>
                      <wps:wsp>
                        <wps:cNvPr id="317" name="321 CuadroTexto"/>
                        <wps:cNvSpPr txBox="1">
                          <a:spLocks noChangeArrowheads="1"/>
                        </wps:cNvSpPr>
                        <wps:spPr bwMode="auto">
                          <a:xfrm>
                            <a:off x="2865" y="22586"/>
                            <a:ext cx="1933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4C200"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1</w:t>
                              </w:r>
                            </w:p>
                          </w:txbxContent>
                        </wps:txbx>
                        <wps:bodyPr rot="0" vert="horz" wrap="square" lIns="91440" tIns="45720" rIns="91440" bIns="45720" anchor="t" anchorCtr="0" upright="1">
                          <a:noAutofit/>
                        </wps:bodyPr>
                      </wps:wsp>
                      <wps:wsp>
                        <wps:cNvPr id="318" name="325 CuadroTexto"/>
                        <wps:cNvSpPr txBox="1">
                          <a:spLocks noChangeArrowheads="1"/>
                        </wps:cNvSpPr>
                        <wps:spPr bwMode="auto">
                          <a:xfrm>
                            <a:off x="11226" y="14596"/>
                            <a:ext cx="2566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34892"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Dominios administrativos 1, 2, 3 y 4</w:t>
                              </w:r>
                            </w:p>
                          </w:txbxContent>
                        </wps:txbx>
                        <wps:bodyPr rot="0" vert="horz" wrap="square" lIns="91440" tIns="45720" rIns="91440" bIns="45720" anchor="t" anchorCtr="0" upright="1">
                          <a:noAutofit/>
                        </wps:bodyPr>
                      </wps:wsp>
                      <wps:wsp>
                        <wps:cNvPr id="319" name="327 CuadroTexto"/>
                        <wps:cNvSpPr txBox="1">
                          <a:spLocks noChangeArrowheads="1"/>
                        </wps:cNvSpPr>
                        <wps:spPr bwMode="auto">
                          <a:xfrm>
                            <a:off x="39556" y="14601"/>
                            <a:ext cx="2604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EF13B"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Dominios administrativos </w:t>
                              </w:r>
                              <w:r>
                                <w:rPr>
                                  <w:rFonts w:ascii="Arial Narrow" w:hAnsi="Arial Narrow" w:cstheme="minorBidi"/>
                                  <w:b/>
                                  <w:bCs/>
                                  <w:i/>
                                  <w:iCs/>
                                  <w:color w:val="000000" w:themeColor="text1"/>
                                  <w:kern w:val="24"/>
                                  <w:sz w:val="16"/>
                                  <w:szCs w:val="16"/>
                                </w:rPr>
                                <w:t>5, 6, 7 y 8</w:t>
                              </w:r>
                            </w:p>
                          </w:txbxContent>
                        </wps:txbx>
                        <wps:bodyPr rot="0" vert="horz" wrap="square" lIns="91440" tIns="45720" rIns="91440" bIns="45720" anchor="t" anchorCtr="0" upright="1">
                          <a:noAutofit/>
                        </wps:bodyPr>
                      </wps:wsp>
                      <wps:wsp>
                        <wps:cNvPr id="320" name="330 Rectángulo redondeado"/>
                        <wps:cNvSpPr>
                          <a:spLocks noChangeAspect="1"/>
                        </wps:cNvSpPr>
                        <wps:spPr bwMode="auto">
                          <a:xfrm>
                            <a:off x="64786" y="37426"/>
                            <a:ext cx="2510"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2F4D00B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38225A6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321" name="331 Pantalla"/>
                        <wps:cNvSpPr>
                          <a:spLocks noChangeArrowheads="1"/>
                        </wps:cNvSpPr>
                        <wps:spPr bwMode="auto">
                          <a:xfrm rot="5400000">
                            <a:off x="63892" y="50959"/>
                            <a:ext cx="4300" cy="4271"/>
                          </a:xfrm>
                          <a:prstGeom prst="flowChartDisplay">
                            <a:avLst/>
                          </a:prstGeom>
                          <a:solidFill>
                            <a:schemeClr val="bg1">
                              <a:lumMod val="85000"/>
                              <a:lumOff val="0"/>
                            </a:schemeClr>
                          </a:solidFill>
                          <a:ln w="3175">
                            <a:solidFill>
                              <a:schemeClr val="accent1">
                                <a:lumMod val="50000"/>
                                <a:lumOff val="0"/>
                              </a:schemeClr>
                            </a:solidFill>
                            <a:miter lim="800000"/>
                            <a:headEnd/>
                            <a:tailEnd/>
                          </a:ln>
                        </wps:spPr>
                        <wps:txbx>
                          <w:txbxContent>
                            <w:p w14:paraId="659F8C59"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wps:txbx>
                        <wps:bodyPr rot="0" vert="vert270" wrap="square" lIns="0" tIns="0" rIns="0" bIns="0" anchor="ctr" anchorCtr="0" upright="1">
                          <a:noAutofit/>
                        </wps:bodyPr>
                      </wps:wsp>
                      <wps:wsp>
                        <wps:cNvPr id="322" name="332 Conector recto"/>
                        <wps:cNvCnPr>
                          <a:cxnSpLocks noChangeShapeType="1"/>
                        </wps:cNvCnPr>
                        <wps:spPr bwMode="auto">
                          <a:xfrm flipH="1">
                            <a:off x="66041" y="39936"/>
                            <a:ext cx="0" cy="11009"/>
                          </a:xfrm>
                          <a:prstGeom prst="line">
                            <a:avLst/>
                          </a:prstGeom>
                          <a:noFill/>
                          <a:ln w="317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323" name="334 Forma libre"/>
                        <wps:cNvSpPr>
                          <a:spLocks/>
                        </wps:cNvSpPr>
                        <wps:spPr bwMode="auto">
                          <a:xfrm flipH="1">
                            <a:off x="65879" y="26574"/>
                            <a:ext cx="5825" cy="10859"/>
                          </a:xfrm>
                          <a:custGeom>
                            <a:avLst/>
                            <a:gdLst>
                              <a:gd name="T0" fmla="*/ 0 w 648072"/>
                              <a:gd name="T1" fmla="*/ 1085850 h 993120"/>
                              <a:gd name="T2" fmla="*/ 194169 w 648072"/>
                              <a:gd name="T3" fmla="*/ 314926 h 993120"/>
                              <a:gd name="T4" fmla="*/ 582506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2076" y="792907"/>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4" name="337 Forma libre"/>
                        <wps:cNvSpPr>
                          <a:spLocks/>
                        </wps:cNvSpPr>
                        <wps:spPr bwMode="auto">
                          <a:xfrm>
                            <a:off x="64065" y="38751"/>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5" name="338 CuadroTexto"/>
                        <wps:cNvSpPr txBox="1">
                          <a:spLocks noChangeArrowheads="1"/>
                        </wps:cNvSpPr>
                        <wps:spPr bwMode="auto">
                          <a:xfrm>
                            <a:off x="61997" y="36180"/>
                            <a:ext cx="4514"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5D864"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26" name="346 CuadroTexto"/>
                        <wps:cNvSpPr txBox="1">
                          <a:spLocks noChangeArrowheads="1"/>
                        </wps:cNvSpPr>
                        <wps:spPr bwMode="auto">
                          <a:xfrm>
                            <a:off x="13618" y="47338"/>
                            <a:ext cx="13827"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17F6E"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Dominio</w:t>
                              </w:r>
                            </w:p>
                            <w:p w14:paraId="7D0265C4"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 xml:space="preserve">Administrativo </w:t>
                              </w:r>
                              <w:r>
                                <w:rPr>
                                  <w:rFonts w:ascii="Arial Narrow" w:hAnsi="Arial Narrow" w:cstheme="minorBidi"/>
                                  <w:b/>
                                  <w:bCs/>
                                  <w:i/>
                                  <w:iCs/>
                                  <w:color w:val="FF0000"/>
                                  <w:kern w:val="24"/>
                                  <w:sz w:val="16"/>
                                  <w:szCs w:val="16"/>
                                </w:rPr>
                                <w:t>2</w:t>
                              </w:r>
                            </w:p>
                          </w:txbxContent>
                        </wps:txbx>
                        <wps:bodyPr rot="0" vert="horz" wrap="square" lIns="91440" tIns="45720" rIns="91440" bIns="45720" anchor="t" anchorCtr="0" upright="1">
                          <a:noAutofit/>
                        </wps:bodyPr>
                      </wps:wsp>
                      <wps:wsp>
                        <wps:cNvPr id="327" name="347 CuadroTexto"/>
                        <wps:cNvSpPr txBox="1">
                          <a:spLocks noChangeArrowheads="1"/>
                        </wps:cNvSpPr>
                        <wps:spPr bwMode="auto">
                          <a:xfrm>
                            <a:off x="61502" y="47338"/>
                            <a:ext cx="13602"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AAE9B"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Dominio</w:t>
                              </w:r>
                            </w:p>
                            <w:p w14:paraId="1CD92C1B"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 xml:space="preserve">administrativo </w:t>
                              </w:r>
                              <w:r>
                                <w:rPr>
                                  <w:rFonts w:ascii="Arial Narrow" w:hAnsi="Arial Narrow" w:cstheme="minorBidi"/>
                                  <w:b/>
                                  <w:bCs/>
                                  <w:i/>
                                  <w:iCs/>
                                  <w:color w:val="7030A0"/>
                                  <w:kern w:val="24"/>
                                  <w:sz w:val="16"/>
                                  <w:szCs w:val="16"/>
                                </w:rPr>
                                <w:t>7</w:t>
                              </w:r>
                            </w:p>
                          </w:txbxContent>
                        </wps:txbx>
                        <wps:bodyPr rot="0" vert="horz" wrap="square" lIns="91440" tIns="45720" rIns="91440" bIns="45720" anchor="t" anchorCtr="0" upright="1">
                          <a:noAutofit/>
                        </wps:bodyPr>
                      </wps:wsp>
                      <wps:wsp>
                        <wps:cNvPr id="328" name="348 CuadroTexto"/>
                        <wps:cNvSpPr txBox="1">
                          <a:spLocks noChangeArrowheads="1"/>
                        </wps:cNvSpPr>
                        <wps:spPr bwMode="auto">
                          <a:xfrm>
                            <a:off x="45367" y="47338"/>
                            <a:ext cx="13602"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BF48E"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Dominio</w:t>
                              </w:r>
                            </w:p>
                            <w:p w14:paraId="6321BD08"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 xml:space="preserve">administrativo </w:t>
                              </w:r>
                              <w:r>
                                <w:rPr>
                                  <w:rFonts w:ascii="Arial Narrow" w:hAnsi="Arial Narrow" w:cstheme="minorBidi"/>
                                  <w:b/>
                                  <w:bCs/>
                                  <w:i/>
                                  <w:iCs/>
                                  <w:color w:val="00B050"/>
                                  <w:kern w:val="24"/>
                                  <w:sz w:val="16"/>
                                  <w:szCs w:val="16"/>
                                </w:rPr>
                                <w:t>5</w:t>
                              </w:r>
                            </w:p>
                          </w:txbxContent>
                        </wps:txbx>
                        <wps:bodyPr rot="0" vert="horz" wrap="square" lIns="91440" tIns="45720" rIns="91440" bIns="45720" anchor="t" anchorCtr="0" upright="1">
                          <a:noAutofit/>
                        </wps:bodyPr>
                      </wps:wsp>
                      <wps:wsp>
                        <wps:cNvPr id="329" name="349 CuadroTexto"/>
                        <wps:cNvSpPr txBox="1">
                          <a:spLocks noChangeArrowheads="1"/>
                        </wps:cNvSpPr>
                        <wps:spPr bwMode="auto">
                          <a:xfrm>
                            <a:off x="38177" y="47338"/>
                            <a:ext cx="13603" cy="5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B4B4"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Dominio</w:t>
                              </w:r>
                            </w:p>
                            <w:p w14:paraId="0B872806"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 xml:space="preserve">administrativo </w:t>
                              </w:r>
                              <w:r>
                                <w:rPr>
                                  <w:rFonts w:ascii="Arial Narrow" w:hAnsi="Arial Narrow" w:cstheme="minorBidi"/>
                                  <w:b/>
                                  <w:bCs/>
                                  <w:i/>
                                  <w:iCs/>
                                  <w:color w:val="17365D" w:themeColor="text2" w:themeShade="BF"/>
                                  <w:kern w:val="24"/>
                                  <w:sz w:val="16"/>
                                  <w:szCs w:val="16"/>
                                </w:rPr>
                                <w:t>4</w:t>
                              </w:r>
                            </w:p>
                          </w:txbxContent>
                        </wps:txbx>
                        <wps:bodyPr rot="0" vert="horz" wrap="square" lIns="91440" tIns="45720" rIns="91440" bIns="45720" anchor="t" anchorCtr="0" upright="1">
                          <a:noAutofit/>
                        </wps:bodyPr>
                      </wps:wsp>
                      <wps:wsp>
                        <wps:cNvPr id="330" name="21 Rectángulo redondeado"/>
                        <wps:cNvSpPr>
                          <a:spLocks noChangeAspect="1"/>
                        </wps:cNvSpPr>
                        <wps:spPr bwMode="auto">
                          <a:xfrm>
                            <a:off x="19913" y="37426"/>
                            <a:ext cx="2509" cy="2510"/>
                          </a:xfrm>
                          <a:prstGeom prst="roundRect">
                            <a:avLst>
                              <a:gd name="adj" fmla="val 16667"/>
                            </a:avLst>
                          </a:prstGeom>
                          <a:solidFill>
                            <a:schemeClr val="tx2">
                              <a:lumMod val="20000"/>
                              <a:lumOff val="80000"/>
                            </a:schemeClr>
                          </a:solidFill>
                          <a:ln w="12700">
                            <a:solidFill>
                              <a:schemeClr val="accent1">
                                <a:lumMod val="50000"/>
                                <a:lumOff val="0"/>
                              </a:schemeClr>
                            </a:solidFill>
                            <a:round/>
                            <a:headEnd/>
                            <a:tailEnd/>
                          </a:ln>
                        </wps:spPr>
                        <wps:txbx>
                          <w:txbxContent>
                            <w:p w14:paraId="20F4816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5F14CE97"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wps:txbx>
                        <wps:bodyPr rot="0" vert="horz" wrap="square" lIns="0" tIns="0" rIns="0" bIns="0" anchor="ctr" anchorCtr="0" upright="1">
                          <a:noAutofit/>
                        </wps:bodyPr>
                      </wps:wsp>
                      <wps:wsp>
                        <wps:cNvPr id="331" name="184 CuadroTexto"/>
                        <wps:cNvSpPr txBox="1">
                          <a:spLocks noChangeArrowheads="1"/>
                        </wps:cNvSpPr>
                        <wps:spPr bwMode="auto">
                          <a:xfrm>
                            <a:off x="2824" y="26068"/>
                            <a:ext cx="1933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C5C9E"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2</w:t>
                              </w:r>
                            </w:p>
                          </w:txbxContent>
                        </wps:txbx>
                        <wps:bodyPr rot="0" vert="horz" wrap="square" lIns="91440" tIns="45720" rIns="91440" bIns="45720" anchor="t" anchorCtr="0" upright="1">
                          <a:noAutofit/>
                        </wps:bodyPr>
                      </wps:wsp>
                      <wps:wsp>
                        <wps:cNvPr id="332" name="187 CuadroTexto"/>
                        <wps:cNvSpPr txBox="1">
                          <a:spLocks noChangeArrowheads="1"/>
                        </wps:cNvSpPr>
                        <wps:spPr bwMode="auto">
                          <a:xfrm>
                            <a:off x="19714" y="22586"/>
                            <a:ext cx="1933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4CB02"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3</w:t>
                              </w:r>
                            </w:p>
                          </w:txbxContent>
                        </wps:txbx>
                        <wps:bodyPr rot="0" vert="horz" wrap="square" lIns="91440" tIns="45720" rIns="91440" bIns="45720" anchor="t" anchorCtr="0" upright="1">
                          <a:noAutofit/>
                        </wps:bodyPr>
                      </wps:wsp>
                      <wps:wsp>
                        <wps:cNvPr id="333" name="190 CuadroTexto"/>
                        <wps:cNvSpPr txBox="1">
                          <a:spLocks noChangeArrowheads="1"/>
                        </wps:cNvSpPr>
                        <wps:spPr bwMode="auto">
                          <a:xfrm>
                            <a:off x="19908" y="26068"/>
                            <a:ext cx="1933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A03C1"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4</w:t>
                              </w:r>
                            </w:p>
                          </w:txbxContent>
                        </wps:txbx>
                        <wps:bodyPr rot="0" vert="horz" wrap="square" lIns="91440" tIns="45720" rIns="91440" bIns="45720" anchor="t" anchorCtr="0" upright="1">
                          <a:noAutofit/>
                        </wps:bodyPr>
                      </wps:wsp>
                      <wps:wsp>
                        <wps:cNvPr id="334" name="193 CuadroTexto"/>
                        <wps:cNvSpPr txBox="1">
                          <a:spLocks noChangeArrowheads="1"/>
                        </wps:cNvSpPr>
                        <wps:spPr bwMode="auto">
                          <a:xfrm>
                            <a:off x="36002" y="22586"/>
                            <a:ext cx="19332"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F337"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5</w:t>
                              </w:r>
                            </w:p>
                          </w:txbxContent>
                        </wps:txbx>
                        <wps:bodyPr rot="0" vert="horz" wrap="square" lIns="91440" tIns="45720" rIns="91440" bIns="45720" anchor="t" anchorCtr="0" upright="1">
                          <a:noAutofit/>
                        </wps:bodyPr>
                      </wps:wsp>
                      <wps:wsp>
                        <wps:cNvPr id="335" name="196 CuadroTexto"/>
                        <wps:cNvSpPr txBox="1">
                          <a:spLocks noChangeArrowheads="1"/>
                        </wps:cNvSpPr>
                        <wps:spPr bwMode="auto">
                          <a:xfrm>
                            <a:off x="35961" y="26068"/>
                            <a:ext cx="19332"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D5908"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6</w:t>
                              </w:r>
                            </w:p>
                          </w:txbxContent>
                        </wps:txbx>
                        <wps:bodyPr rot="0" vert="horz" wrap="square" lIns="91440" tIns="45720" rIns="91440" bIns="45720" anchor="t" anchorCtr="0" upright="1">
                          <a:noAutofit/>
                        </wps:bodyPr>
                      </wps:wsp>
                      <wps:wsp>
                        <wps:cNvPr id="336" name="199 CuadroTexto"/>
                        <wps:cNvSpPr txBox="1">
                          <a:spLocks noChangeArrowheads="1"/>
                        </wps:cNvSpPr>
                        <wps:spPr bwMode="auto">
                          <a:xfrm>
                            <a:off x="53587" y="22586"/>
                            <a:ext cx="19331"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72323"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7</w:t>
                              </w:r>
                            </w:p>
                          </w:txbxContent>
                        </wps:txbx>
                        <wps:bodyPr rot="0" vert="horz" wrap="square" lIns="91440" tIns="45720" rIns="91440" bIns="45720" anchor="t" anchorCtr="0" upright="1">
                          <a:noAutofit/>
                        </wps:bodyPr>
                      </wps:wsp>
                      <wps:wsp>
                        <wps:cNvPr id="337" name="202 CuadroTexto"/>
                        <wps:cNvSpPr txBox="1">
                          <a:spLocks noChangeArrowheads="1"/>
                        </wps:cNvSpPr>
                        <wps:spPr bwMode="auto">
                          <a:xfrm>
                            <a:off x="53546" y="26068"/>
                            <a:ext cx="19332" cy="3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34B6D"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8</w:t>
                              </w:r>
                            </w:p>
                          </w:txbxContent>
                        </wps:txbx>
                        <wps:bodyPr rot="0" vert="horz" wrap="square" lIns="91440" tIns="45720" rIns="91440" bIns="45720" anchor="t" anchorCtr="0" upright="1">
                          <a:noAutofit/>
                        </wps:bodyPr>
                      </wps:wsp>
                      <wps:wsp>
                        <wps:cNvPr id="338" name="205 Forma libre"/>
                        <wps:cNvSpPr>
                          <a:spLocks/>
                        </wps:cNvSpPr>
                        <wps:spPr bwMode="auto">
                          <a:xfrm>
                            <a:off x="61496" y="26023"/>
                            <a:ext cx="3346"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9" name="230 Forma libre"/>
                        <wps:cNvSpPr>
                          <a:spLocks/>
                        </wps:cNvSpPr>
                        <wps:spPr bwMode="auto">
                          <a:xfrm>
                            <a:off x="51601" y="14370"/>
                            <a:ext cx="3347" cy="0"/>
                          </a:xfrm>
                          <a:custGeom>
                            <a:avLst/>
                            <a:gdLst>
                              <a:gd name="T0" fmla="*/ 0 w 723900"/>
                              <a:gd name="T1" fmla="*/ 334624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40" name="261 Grupo"/>
                        <wpg:cNvGrpSpPr>
                          <a:grpSpLocks/>
                        </wpg:cNvGrpSpPr>
                        <wpg:grpSpPr bwMode="auto">
                          <a:xfrm>
                            <a:off x="15892" y="14966"/>
                            <a:ext cx="16470" cy="9255"/>
                            <a:chOff x="15892" y="14966"/>
                            <a:chExt cx="17887" cy="14548"/>
                          </a:xfrm>
                        </wpg:grpSpPr>
                        <wps:wsp>
                          <wps:cNvPr id="341" name="262 Forma libre"/>
                          <wps:cNvSpPr>
                            <a:spLocks/>
                          </wps:cNvSpPr>
                          <wps:spPr bwMode="auto">
                            <a:xfrm>
                              <a:off x="15892" y="15063"/>
                              <a:ext cx="12575" cy="14451"/>
                            </a:xfrm>
                            <a:custGeom>
                              <a:avLst/>
                              <a:gdLst>
                                <a:gd name="T0" fmla="*/ 0 w 648605"/>
                                <a:gd name="T1" fmla="*/ 1445108 h 993120"/>
                                <a:gd name="T2" fmla="*/ 278891 w 648605"/>
                                <a:gd name="T3" fmla="*/ 486686 h 993120"/>
                                <a:gd name="T4" fmla="*/ 1256493 w 648605"/>
                                <a:gd name="T5" fmla="*/ 0 h 993120"/>
                                <a:gd name="T6" fmla="*/ 0 60000 65536"/>
                                <a:gd name="T7" fmla="*/ 0 60000 65536"/>
                                <a:gd name="T8" fmla="*/ 0 60000 65536"/>
                              </a:gdLst>
                              <a:ahLst/>
                              <a:cxnLst>
                                <a:cxn ang="T6">
                                  <a:pos x="T0" y="T1"/>
                                </a:cxn>
                                <a:cxn ang="T7">
                                  <a:pos x="T2" y="T3"/>
                                </a:cxn>
                                <a:cxn ang="T8">
                                  <a:pos x="T4" y="T5"/>
                                </a:cxn>
                              </a:cxnLst>
                              <a:rect l="0" t="0" r="r" b="b"/>
                              <a:pathLst>
                                <a:path w="648605" h="993120">
                                  <a:moveTo>
                                    <a:pt x="0" y="993120"/>
                                  </a:moveTo>
                                  <a:cubicBezTo>
                                    <a:pt x="2426" y="863206"/>
                                    <a:pt x="35834" y="499985"/>
                                    <a:pt x="143846" y="334465"/>
                                  </a:cubicBezTo>
                                  <a:cubicBezTo>
                                    <a:pt x="251858" y="168945"/>
                                    <a:pt x="648605" y="25809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2" name="265 Forma libre"/>
                          <wps:cNvSpPr>
                            <a:spLocks/>
                          </wps:cNvSpPr>
                          <wps:spPr bwMode="auto">
                            <a:xfrm flipH="1">
                              <a:off x="29359" y="14966"/>
                              <a:ext cx="4420" cy="14548"/>
                            </a:xfrm>
                            <a:custGeom>
                              <a:avLst/>
                              <a:gdLst>
                                <a:gd name="T0" fmla="*/ 0 w 648072"/>
                                <a:gd name="T1" fmla="*/ 1454835 h 993120"/>
                                <a:gd name="T2" fmla="*/ 96645 w 648072"/>
                                <a:gd name="T3" fmla="*/ 501793 h 993120"/>
                                <a:gd name="T4" fmla="*/ 442073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1169" y="858149"/>
                                    <a:pt x="33668" y="508061"/>
                                    <a:pt x="141680" y="342541"/>
                                  </a:cubicBezTo>
                                  <a:cubicBezTo>
                                    <a:pt x="249692" y="177021"/>
                                    <a:pt x="625027" y="224094"/>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343" name="266 Grupo"/>
                        <wpg:cNvGrpSpPr>
                          <a:grpSpLocks/>
                        </wpg:cNvGrpSpPr>
                        <wpg:grpSpPr bwMode="auto">
                          <a:xfrm flipH="1">
                            <a:off x="49027" y="14866"/>
                            <a:ext cx="17154" cy="9255"/>
                            <a:chOff x="49027" y="14866"/>
                            <a:chExt cx="17887" cy="14548"/>
                          </a:xfrm>
                        </wpg:grpSpPr>
                        <wps:wsp>
                          <wps:cNvPr id="344" name="269 Forma libre"/>
                          <wps:cNvSpPr>
                            <a:spLocks/>
                          </wps:cNvSpPr>
                          <wps:spPr bwMode="auto">
                            <a:xfrm>
                              <a:off x="49027" y="14963"/>
                              <a:ext cx="9781" cy="14451"/>
                            </a:xfrm>
                            <a:custGeom>
                              <a:avLst/>
                              <a:gdLst>
                                <a:gd name="T0" fmla="*/ 0 w 648605"/>
                                <a:gd name="T1" fmla="*/ 1445108 h 993120"/>
                                <a:gd name="T2" fmla="*/ 216920 w 648605"/>
                                <a:gd name="T3" fmla="*/ 486686 h 993120"/>
                                <a:gd name="T4" fmla="*/ 977293 w 648605"/>
                                <a:gd name="T5" fmla="*/ 0 h 993120"/>
                                <a:gd name="T6" fmla="*/ 0 60000 65536"/>
                                <a:gd name="T7" fmla="*/ 0 60000 65536"/>
                                <a:gd name="T8" fmla="*/ 0 60000 65536"/>
                              </a:gdLst>
                              <a:ahLst/>
                              <a:cxnLst>
                                <a:cxn ang="T6">
                                  <a:pos x="T0" y="T1"/>
                                </a:cxn>
                                <a:cxn ang="T7">
                                  <a:pos x="T2" y="T3"/>
                                </a:cxn>
                                <a:cxn ang="T8">
                                  <a:pos x="T4" y="T5"/>
                                </a:cxn>
                              </a:cxnLst>
                              <a:rect l="0" t="0" r="r" b="b"/>
                              <a:pathLst>
                                <a:path w="648605" h="993120">
                                  <a:moveTo>
                                    <a:pt x="0" y="993120"/>
                                  </a:moveTo>
                                  <a:cubicBezTo>
                                    <a:pt x="2426" y="863206"/>
                                    <a:pt x="35834" y="499985"/>
                                    <a:pt x="143846" y="334465"/>
                                  </a:cubicBezTo>
                                  <a:cubicBezTo>
                                    <a:pt x="251858" y="168945"/>
                                    <a:pt x="648605" y="25809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5" name="276 Forma libre"/>
                          <wps:cNvSpPr>
                            <a:spLocks/>
                          </wps:cNvSpPr>
                          <wps:spPr bwMode="auto">
                            <a:xfrm flipH="1">
                              <a:off x="59734" y="14866"/>
                              <a:ext cx="7180" cy="14548"/>
                            </a:xfrm>
                            <a:custGeom>
                              <a:avLst/>
                              <a:gdLst>
                                <a:gd name="T0" fmla="*/ 0 w 654088"/>
                                <a:gd name="T1" fmla="*/ 1454835 h 993120"/>
                                <a:gd name="T2" fmla="*/ 155521 w 654088"/>
                                <a:gd name="T3" fmla="*/ 539195 h 993120"/>
                                <a:gd name="T4" fmla="*/ 711380 w 654088"/>
                                <a:gd name="T5" fmla="*/ 0 h 993120"/>
                                <a:gd name="T6" fmla="*/ 0 60000 65536"/>
                                <a:gd name="T7" fmla="*/ 0 60000 65536"/>
                                <a:gd name="T8" fmla="*/ 0 60000 65536"/>
                              </a:gdLst>
                              <a:ahLst/>
                              <a:cxnLst>
                                <a:cxn ang="T6">
                                  <a:pos x="T0" y="T1"/>
                                </a:cxn>
                                <a:cxn ang="T7">
                                  <a:pos x="T2" y="T3"/>
                                </a:cxn>
                                <a:cxn ang="T8">
                                  <a:pos x="T4" y="T5"/>
                                </a:cxn>
                              </a:cxnLst>
                              <a:rect l="0" t="0" r="r" b="b"/>
                              <a:pathLst>
                                <a:path w="654088" h="993120">
                                  <a:moveTo>
                                    <a:pt x="0" y="993120"/>
                                  </a:moveTo>
                                  <a:cubicBezTo>
                                    <a:pt x="1169" y="858149"/>
                                    <a:pt x="33669" y="533593"/>
                                    <a:pt x="141681" y="368073"/>
                                  </a:cubicBezTo>
                                  <a:cubicBezTo>
                                    <a:pt x="249693" y="202553"/>
                                    <a:pt x="654088" y="249627"/>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46" name="188 Y"/>
                        <wps:cNvSpPr>
                          <a:spLocks noChangeAspect="1"/>
                        </wps:cNvSpPr>
                        <wps:spPr bwMode="auto">
                          <a:xfrm>
                            <a:off x="17685"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47" name="173 Forma libre"/>
                        <wps:cNvSpPr>
                          <a:spLocks/>
                        </wps:cNvSpPr>
                        <wps:spPr bwMode="auto">
                          <a:xfrm>
                            <a:off x="13298" y="38721"/>
                            <a:ext cx="954" cy="475"/>
                          </a:xfrm>
                          <a:custGeom>
                            <a:avLst/>
                            <a:gdLst>
                              <a:gd name="T0" fmla="*/ 0 w 723900"/>
                              <a:gd name="T1" fmla="*/ 0 h 47406"/>
                              <a:gd name="T2" fmla="*/ 95417 w 723900"/>
                              <a:gd name="T3" fmla="*/ 0 h 47406"/>
                              <a:gd name="T4" fmla="*/ 0 60000 65536"/>
                              <a:gd name="T5" fmla="*/ 0 60000 65536"/>
                            </a:gdLst>
                            <a:ahLst/>
                            <a:cxnLst>
                              <a:cxn ang="T4">
                                <a:pos x="T0" y="T1"/>
                              </a:cxn>
                              <a:cxn ang="T5">
                                <a:pos x="T2" y="T3"/>
                              </a:cxn>
                            </a:cxnLst>
                            <a:rect l="0" t="0" r="r" b="b"/>
                            <a:pathLst>
                              <a:path w="723900" h="47406">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8" name="174 Y"/>
                        <wps:cNvSpPr>
                          <a:spLocks noChangeAspect="1"/>
                        </wps:cNvSpPr>
                        <wps:spPr bwMode="auto">
                          <a:xfrm>
                            <a:off x="11944" y="37818"/>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49" name="185 Y"/>
                        <wps:cNvSpPr>
                          <a:spLocks noChangeAspect="1"/>
                        </wps:cNvSpPr>
                        <wps:spPr bwMode="auto">
                          <a:xfrm>
                            <a:off x="6444"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0" name="101 Y"/>
                        <wps:cNvSpPr>
                          <a:spLocks noChangeAspect="1"/>
                        </wps:cNvSpPr>
                        <wps:spPr bwMode="auto">
                          <a:xfrm>
                            <a:off x="806"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1" name="191 Y"/>
                        <wps:cNvSpPr>
                          <a:spLocks noChangeAspect="1"/>
                        </wps:cNvSpPr>
                        <wps:spPr bwMode="auto">
                          <a:xfrm>
                            <a:off x="23386"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2" name="175 Forma libre"/>
                        <wps:cNvSpPr>
                          <a:spLocks/>
                        </wps:cNvSpPr>
                        <wps:spPr bwMode="auto">
                          <a:xfrm>
                            <a:off x="35626" y="38721"/>
                            <a:ext cx="954" cy="475"/>
                          </a:xfrm>
                          <a:custGeom>
                            <a:avLst/>
                            <a:gdLst>
                              <a:gd name="T0" fmla="*/ 0 w 723900"/>
                              <a:gd name="T1" fmla="*/ 0 h 47406"/>
                              <a:gd name="T2" fmla="*/ 95417 w 723900"/>
                              <a:gd name="T3" fmla="*/ 0 h 47406"/>
                              <a:gd name="T4" fmla="*/ 0 60000 65536"/>
                              <a:gd name="T5" fmla="*/ 0 60000 65536"/>
                            </a:gdLst>
                            <a:ahLst/>
                            <a:cxnLst>
                              <a:cxn ang="T4">
                                <a:pos x="T0" y="T1"/>
                              </a:cxn>
                              <a:cxn ang="T5">
                                <a:pos x="T2" y="T3"/>
                              </a:cxn>
                            </a:cxnLst>
                            <a:rect l="0" t="0" r="r" b="b"/>
                            <a:pathLst>
                              <a:path w="723900" h="47406">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53" name="176 Y"/>
                        <wps:cNvSpPr>
                          <a:spLocks noChangeAspect="1"/>
                        </wps:cNvSpPr>
                        <wps:spPr bwMode="auto">
                          <a:xfrm>
                            <a:off x="34272" y="37818"/>
                            <a:ext cx="1793"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4" name="197 Y"/>
                        <wps:cNvSpPr>
                          <a:spLocks noChangeAspect="1"/>
                        </wps:cNvSpPr>
                        <wps:spPr bwMode="auto">
                          <a:xfrm>
                            <a:off x="40066"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5" name="200 Y"/>
                        <wps:cNvSpPr>
                          <a:spLocks noChangeAspect="1"/>
                        </wps:cNvSpPr>
                        <wps:spPr bwMode="auto">
                          <a:xfrm>
                            <a:off x="45675"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6" name="203 Y"/>
                        <wps:cNvSpPr>
                          <a:spLocks noChangeAspect="1"/>
                        </wps:cNvSpPr>
                        <wps:spPr bwMode="auto">
                          <a:xfrm>
                            <a:off x="51404"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7" name="336 Y"/>
                        <wps:cNvSpPr>
                          <a:spLocks noChangeAspect="1"/>
                        </wps:cNvSpPr>
                        <wps:spPr bwMode="auto">
                          <a:xfrm>
                            <a:off x="62607" y="37798"/>
                            <a:ext cx="1793"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8" name="206 Y"/>
                        <wps:cNvSpPr>
                          <a:spLocks noChangeAspect="1"/>
                        </wps:cNvSpPr>
                        <wps:spPr bwMode="auto">
                          <a:xfrm>
                            <a:off x="68228" y="37798"/>
                            <a:ext cx="1794" cy="1793"/>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59" name="179 Forma libre"/>
                        <wps:cNvSpPr>
                          <a:spLocks/>
                        </wps:cNvSpPr>
                        <wps:spPr bwMode="auto">
                          <a:xfrm>
                            <a:off x="75286" y="38730"/>
                            <a:ext cx="670"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0" name="180 Y"/>
                        <wps:cNvSpPr>
                          <a:spLocks noChangeAspect="1"/>
                        </wps:cNvSpPr>
                        <wps:spPr bwMode="auto">
                          <a:xfrm>
                            <a:off x="73828" y="37777"/>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61" name="208 Forma libre"/>
                        <wps:cNvSpPr>
                          <a:spLocks/>
                        </wps:cNvSpPr>
                        <wps:spPr bwMode="auto">
                          <a:xfrm>
                            <a:off x="80944" y="38813"/>
                            <a:ext cx="669" cy="0"/>
                          </a:xfrm>
                          <a:custGeom>
                            <a:avLst/>
                            <a:gdLst>
                              <a:gd name="T0" fmla="*/ 0 w 723900"/>
                              <a:gd name="T1" fmla="*/ 66925 w 723900"/>
                              <a:gd name="T2" fmla="*/ 0 60000 65536"/>
                              <a:gd name="T3" fmla="*/ 0 60000 65536"/>
                            </a:gdLst>
                            <a:ahLst/>
                            <a:cxnLst>
                              <a:cxn ang="T2">
                                <a:pos x="T0" y="0"/>
                              </a:cxn>
                              <a:cxn ang="T3">
                                <a:pos x="T1" y="0"/>
                              </a:cxn>
                            </a:cxnLst>
                            <a:rect l="0" t="0" r="r" b="b"/>
                            <a:pathLst>
                              <a:path w="723900">
                                <a:moveTo>
                                  <a:pt x="0" y="0"/>
                                </a:moveTo>
                                <a:lnTo>
                                  <a:pt x="723900" y="0"/>
                                </a:ln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2" name="210 Y"/>
                        <wps:cNvSpPr>
                          <a:spLocks noChangeAspect="1"/>
                        </wps:cNvSpPr>
                        <wps:spPr bwMode="auto">
                          <a:xfrm>
                            <a:off x="79485" y="37860"/>
                            <a:ext cx="1794" cy="1794"/>
                          </a:xfrm>
                          <a:prstGeom prst="flowChartSummingJunction">
                            <a:avLst/>
                          </a:prstGeom>
                          <a:solidFill>
                            <a:schemeClr val="bg1">
                              <a:lumMod val="85000"/>
                              <a:lumOff val="0"/>
                            </a:schemeClr>
                          </a:solidFill>
                          <a:ln w="19050">
                            <a:solidFill>
                              <a:schemeClr val="tx1">
                                <a:lumMod val="50000"/>
                                <a:lumOff val="50000"/>
                              </a:schemeClr>
                            </a:solidFill>
                            <a:round/>
                            <a:headEnd/>
                            <a:tailEnd/>
                          </a:ln>
                        </wps:spPr>
                        <wps:bodyPr rot="0" vert="horz" wrap="square" lIns="91440" tIns="45720" rIns="91440" bIns="45720" anchor="ctr" anchorCtr="0" upright="1">
                          <a:noAutofit/>
                        </wps:bodyPr>
                      </wps:wsp>
                      <wps:wsp>
                        <wps:cNvPr id="363" name="211 CuadroTexto"/>
                        <wps:cNvSpPr txBox="1">
                          <a:spLocks noChangeArrowheads="1"/>
                        </wps:cNvSpPr>
                        <wps:spPr bwMode="auto">
                          <a:xfrm>
                            <a:off x="11699" y="36180"/>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CD0CF"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64" name="214 CuadroTexto"/>
                        <wps:cNvSpPr txBox="1">
                          <a:spLocks noChangeArrowheads="1"/>
                        </wps:cNvSpPr>
                        <wps:spPr bwMode="auto">
                          <a:xfrm>
                            <a:off x="33863" y="36180"/>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1C7170"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65" name="216 CuadroTexto"/>
                        <wps:cNvSpPr txBox="1">
                          <a:spLocks noChangeArrowheads="1"/>
                        </wps:cNvSpPr>
                        <wps:spPr bwMode="auto">
                          <a:xfrm>
                            <a:off x="73271" y="36180"/>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2E008"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66" name="220 CuadroTexto"/>
                        <wps:cNvSpPr txBox="1">
                          <a:spLocks noChangeArrowheads="1"/>
                        </wps:cNvSpPr>
                        <wps:spPr bwMode="auto">
                          <a:xfrm>
                            <a:off x="78912" y="36180"/>
                            <a:ext cx="4513" cy="4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7E2EA"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2"/>
                                  <w:szCs w:val="12"/>
                                </w:rPr>
                                <w:t>pCAI</w:t>
                              </w:r>
                            </w:p>
                          </w:txbxContent>
                        </wps:txbx>
                        <wps:bodyPr rot="0" vert="horz" wrap="square" lIns="91440" tIns="45720" rIns="91440" bIns="45720" anchor="t" anchorCtr="0" upright="1">
                          <a:noAutofit/>
                        </wps:bodyPr>
                      </wps:wsp>
                      <wps:wsp>
                        <wps:cNvPr id="368" name="224 Forma libre"/>
                        <wps:cNvSpPr>
                          <a:spLocks/>
                        </wps:cNvSpPr>
                        <wps:spPr bwMode="auto">
                          <a:xfrm>
                            <a:off x="15530" y="26629"/>
                            <a:ext cx="458" cy="10777"/>
                          </a:xfrm>
                          <a:custGeom>
                            <a:avLst/>
                            <a:gdLst>
                              <a:gd name="T0" fmla="*/ 0 w 648072"/>
                              <a:gd name="T1" fmla="*/ 1077663 h 993120"/>
                              <a:gd name="T2" fmla="*/ 15240 w 648072"/>
                              <a:gd name="T3" fmla="*/ 312552 h 993120"/>
                              <a:gd name="T4" fmla="*/ 45719 w 648072"/>
                              <a:gd name="T5" fmla="*/ 0 h 993120"/>
                              <a:gd name="T6" fmla="*/ 0 60000 65536"/>
                              <a:gd name="T7" fmla="*/ 0 60000 65536"/>
                              <a:gd name="T8" fmla="*/ 0 60000 65536"/>
                            </a:gdLst>
                            <a:ahLst/>
                            <a:cxnLst>
                              <a:cxn ang="T6">
                                <a:pos x="T0" y="T1"/>
                              </a:cxn>
                              <a:cxn ang="T7">
                                <a:pos x="T2" y="T3"/>
                              </a:cxn>
                              <a:cxn ang="T8">
                                <a:pos x="T4" y="T5"/>
                              </a:cxn>
                            </a:cxnLst>
                            <a:rect l="0" t="0" r="r" b="b"/>
                            <a:pathLst>
                              <a:path w="648072" h="993120">
                                <a:moveTo>
                                  <a:pt x="0" y="993120"/>
                                </a:moveTo>
                                <a:cubicBezTo>
                                  <a:pt x="93306" y="739638"/>
                                  <a:pt x="108012" y="453552"/>
                                  <a:pt x="216024" y="288032"/>
                                </a:cubicBezTo>
                                <a:cubicBezTo>
                                  <a:pt x="324036" y="122512"/>
                                  <a:pt x="539245" y="190550"/>
                                  <a:pt x="64807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9" name="227 Forma libre"/>
                        <wps:cNvSpPr>
                          <a:spLocks/>
                        </wps:cNvSpPr>
                        <wps:spPr bwMode="auto">
                          <a:xfrm flipH="1">
                            <a:off x="32886" y="26736"/>
                            <a:ext cx="4973" cy="10749"/>
                          </a:xfrm>
                          <a:custGeom>
                            <a:avLst/>
                            <a:gdLst>
                              <a:gd name="T0" fmla="*/ 17631 w 671893"/>
                              <a:gd name="T1" fmla="*/ 1074821 h 993120"/>
                              <a:gd name="T2" fmla="*/ 177522 w 671893"/>
                              <a:gd name="T3" fmla="*/ 311728 h 993120"/>
                              <a:gd name="T4" fmla="*/ 497305 w 671893"/>
                              <a:gd name="T5" fmla="*/ 0 h 993120"/>
                              <a:gd name="T6" fmla="*/ 0 60000 65536"/>
                              <a:gd name="T7" fmla="*/ 0 60000 65536"/>
                              <a:gd name="T8" fmla="*/ 0 60000 65536"/>
                            </a:gdLst>
                            <a:ahLst/>
                            <a:cxnLst>
                              <a:cxn ang="T6">
                                <a:pos x="T0" y="T1"/>
                              </a:cxn>
                              <a:cxn ang="T7">
                                <a:pos x="T2" y="T3"/>
                              </a:cxn>
                              <a:cxn ang="T8">
                                <a:pos x="T4" y="T5"/>
                              </a:cxn>
                            </a:cxnLst>
                            <a:rect l="0" t="0" r="r" b="b"/>
                            <a:pathLst>
                              <a:path w="671893" h="993120">
                                <a:moveTo>
                                  <a:pt x="23821" y="993120"/>
                                </a:moveTo>
                                <a:cubicBezTo>
                                  <a:pt x="0" y="909639"/>
                                  <a:pt x="131833" y="453552"/>
                                  <a:pt x="239845" y="288032"/>
                                </a:cubicBezTo>
                                <a:cubicBezTo>
                                  <a:pt x="347857" y="122512"/>
                                  <a:pt x="563066" y="190550"/>
                                  <a:pt x="671893"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0" name="228 Forma libre"/>
                        <wps:cNvSpPr>
                          <a:spLocks/>
                        </wps:cNvSpPr>
                        <wps:spPr bwMode="auto">
                          <a:xfrm flipH="1">
                            <a:off x="49837" y="26750"/>
                            <a:ext cx="10606" cy="13540"/>
                          </a:xfrm>
                          <a:custGeom>
                            <a:avLst/>
                            <a:gdLst>
                              <a:gd name="T0" fmla="*/ 7395 w 652622"/>
                              <a:gd name="T1" fmla="*/ 1354054 h 993120"/>
                              <a:gd name="T2" fmla="*/ 358479 w 652622"/>
                              <a:gd name="T3" fmla="*/ 392713 h 993120"/>
                              <a:gd name="T4" fmla="*/ 1060647 w 652622"/>
                              <a:gd name="T5" fmla="*/ 0 h 993120"/>
                              <a:gd name="T6" fmla="*/ 0 60000 65536"/>
                              <a:gd name="T7" fmla="*/ 0 60000 65536"/>
                              <a:gd name="T8" fmla="*/ 0 60000 65536"/>
                            </a:gdLst>
                            <a:ahLst/>
                            <a:cxnLst>
                              <a:cxn ang="T6">
                                <a:pos x="T0" y="T1"/>
                              </a:cxn>
                              <a:cxn ang="T7">
                                <a:pos x="T2" y="T3"/>
                              </a:cxn>
                              <a:cxn ang="T8">
                                <a:pos x="T4" y="T5"/>
                              </a:cxn>
                            </a:cxnLst>
                            <a:rect l="0" t="0" r="r" b="b"/>
                            <a:pathLst>
                              <a:path w="652622" h="993120">
                                <a:moveTo>
                                  <a:pt x="4550" y="993120"/>
                                </a:moveTo>
                                <a:cubicBezTo>
                                  <a:pt x="0" y="870728"/>
                                  <a:pt x="112562" y="453552"/>
                                  <a:pt x="220574" y="288032"/>
                                </a:cubicBezTo>
                                <a:cubicBezTo>
                                  <a:pt x="328586" y="122512"/>
                                  <a:pt x="543795" y="190550"/>
                                  <a:pt x="65262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1" name="229 Forma libre"/>
                        <wps:cNvSpPr>
                          <a:spLocks/>
                        </wps:cNvSpPr>
                        <wps:spPr bwMode="auto">
                          <a:xfrm flipH="1">
                            <a:off x="66467" y="26736"/>
                            <a:ext cx="10821" cy="10661"/>
                          </a:xfrm>
                          <a:custGeom>
                            <a:avLst/>
                            <a:gdLst>
                              <a:gd name="T0" fmla="*/ 7544 w 652622"/>
                              <a:gd name="T1" fmla="*/ 1066037 h 993120"/>
                              <a:gd name="T2" fmla="*/ 365708 w 652622"/>
                              <a:gd name="T3" fmla="*/ 309180 h 993120"/>
                              <a:gd name="T4" fmla="*/ 1082035 w 652622"/>
                              <a:gd name="T5" fmla="*/ 0 h 993120"/>
                              <a:gd name="T6" fmla="*/ 0 60000 65536"/>
                              <a:gd name="T7" fmla="*/ 0 60000 65536"/>
                              <a:gd name="T8" fmla="*/ 0 60000 65536"/>
                            </a:gdLst>
                            <a:ahLst/>
                            <a:cxnLst>
                              <a:cxn ang="T6">
                                <a:pos x="T0" y="T1"/>
                              </a:cxn>
                              <a:cxn ang="T7">
                                <a:pos x="T2" y="T3"/>
                              </a:cxn>
                              <a:cxn ang="T8">
                                <a:pos x="T4" y="T5"/>
                              </a:cxn>
                            </a:cxnLst>
                            <a:rect l="0" t="0" r="r" b="b"/>
                            <a:pathLst>
                              <a:path w="652622" h="993120">
                                <a:moveTo>
                                  <a:pt x="4550" y="993120"/>
                                </a:moveTo>
                                <a:cubicBezTo>
                                  <a:pt x="0" y="870728"/>
                                  <a:pt x="112562" y="453552"/>
                                  <a:pt x="220574" y="288032"/>
                                </a:cubicBezTo>
                                <a:cubicBezTo>
                                  <a:pt x="328586" y="122512"/>
                                  <a:pt x="543795" y="190550"/>
                                  <a:pt x="65262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2" name="246 Forma libre"/>
                        <wps:cNvSpPr>
                          <a:spLocks/>
                        </wps:cNvSpPr>
                        <wps:spPr bwMode="auto">
                          <a:xfrm flipH="1">
                            <a:off x="67055" y="26763"/>
                            <a:ext cx="15874" cy="10660"/>
                          </a:xfrm>
                          <a:custGeom>
                            <a:avLst/>
                            <a:gdLst>
                              <a:gd name="T0" fmla="*/ 11067 w 652622"/>
                              <a:gd name="T1" fmla="*/ 1066037 h 993120"/>
                              <a:gd name="T2" fmla="*/ 536498 w 652622"/>
                              <a:gd name="T3" fmla="*/ 309180 h 993120"/>
                              <a:gd name="T4" fmla="*/ 1587361 w 652622"/>
                              <a:gd name="T5" fmla="*/ 0 h 993120"/>
                              <a:gd name="T6" fmla="*/ 0 60000 65536"/>
                              <a:gd name="T7" fmla="*/ 0 60000 65536"/>
                              <a:gd name="T8" fmla="*/ 0 60000 65536"/>
                            </a:gdLst>
                            <a:ahLst/>
                            <a:cxnLst>
                              <a:cxn ang="T6">
                                <a:pos x="T0" y="T1"/>
                              </a:cxn>
                              <a:cxn ang="T7">
                                <a:pos x="T2" y="T3"/>
                              </a:cxn>
                              <a:cxn ang="T8">
                                <a:pos x="T4" y="T5"/>
                              </a:cxn>
                            </a:cxnLst>
                            <a:rect l="0" t="0" r="r" b="b"/>
                            <a:pathLst>
                              <a:path w="652622" h="993120">
                                <a:moveTo>
                                  <a:pt x="4550" y="993120"/>
                                </a:moveTo>
                                <a:cubicBezTo>
                                  <a:pt x="0" y="870728"/>
                                  <a:pt x="112562" y="453552"/>
                                  <a:pt x="220574" y="288032"/>
                                </a:cubicBezTo>
                                <a:cubicBezTo>
                                  <a:pt x="328586" y="122512"/>
                                  <a:pt x="543795" y="190550"/>
                                  <a:pt x="652622" y="0"/>
                                </a:cubicBezTo>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50E8D3D0" id="Grupo 31" o:spid="_x0000_s1028" style="width:495.2pt;height:265.6pt;mso-position-horizontal-relative:char;mso-position-vertical-relative:line" coordorigin="138,8586" coordsize="101139,54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">
                <v:shapetype id="_x0000_t202" coordsize="21600,21600" o:spt="202" path="m,l,21600r21600,l21600,xe">
                  <v:stroke joinstyle="miter"/>
                  <v:path gradientshapeok="t" o:connecttype="rect"/>
                </v:shapetype>
                <v:shape id="268 CuadroTexto" o:spid="_x0000_s1029" type="#_x0000_t202" style="position:absolute;left:71532;top:32011;width:26305;height:6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14:paraId="670A4160"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Punto de concentración local </w:t>
                        </w:r>
                      </w:p>
                      <w:p w14:paraId="0F7AE628"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(PCL).</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8" o:spid="_x0000_s1030" type="#_x0000_t7" style="position:absolute;left:687;top:32548;width:85704;height:115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3ksUA&#10;AADbAAAADwAAAGRycy9kb3ducmV2LnhtbESPT2vCQBTE70K/w/IKvYhuDCIldROkqBUvYlp7fmRf&#10;/tDs2zS71bSf3hWEHoeZ+Q2zzAbTijP1rrGsYDaNQBAXVjdcKfh430yeQTiPrLG1TAp+yUGWPoyW&#10;mGh74SOdc1+JAGGXoILa+y6R0hU1GXRT2xEHr7S9QR9kX0nd4yXATSvjKFpIgw2HhRo7eq2p+Mp/&#10;jILV3+aUr20evZXb8bY5lPvYfn4r9fQ4rF5AeBr8f/je3mkF8xhuX8IP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wTeSxQAAANsAAAAPAAAAAAAAAAAAAAAAAJgCAABkcnMv&#10;ZG93bnJldi54bWxQSwUGAAAAAAQABAD1AAAAigMAAAAA&#10;" adj="565" fillcolor="#3c3" stroked="f">
                  <v:fill opacity="22616f"/>
                </v:shape>
                <v:roundrect id="4 Rectángulo redondeado" o:spid="_x0000_s1031" style="position:absolute;left:1389;top:35856;width:10803;height:7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sMUA&#10;AADbAAAADwAAAGRycy9kb3ducmV2LnhtbESPT2vCQBTE7wW/w/KEXkQ3LaISXUXsH4u3avT8zD6z&#10;wezbkN2a2E/fLRR6HGbmN8xi1dlK3KjxpWMFT6MEBHHudMmFguzwNpyB8AFZY+WYFNzJw2rZe1hg&#10;ql3Ln3Tbh0JECPsUFZgQ6lRKnxuy6EeuJo7exTUWQ5RNIXWDbYTbSj4nyURaLDkuGKxpYyi/7r+s&#10;gsHgdDG7bHd8Lezkun35nmbv7Vmpx363noMI1IX/8F/7QysYj+H3S/wB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iwxQAAANsAAAAPAAAAAAAAAAAAAAAAAJgCAABkcnMv&#10;ZG93bnJldi54bWxQSwUGAAAAAAQABAD1AAAAigMAAAAA&#10;" filled="f" strokecolor="red" strokeweight="1pt">
                  <v:stroke dashstyle="dash"/>
                </v:roundrect>
                <v:roundrect id="5 Rectángulo redondeado" o:spid="_x0000_s1032" style="position:absolute;left:24177;top:35856;width:15447;height:7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HosQA&#10;AADbAAAADwAAAGRycy9kb3ducmV2LnhtbESPQWuDQBSE74X8h+UFemvWhqLWZBNCICChF23p+eG+&#10;qNR9a9yNmv76bqHQ4zAz3zDb/Ww6MdLgWssKnlcRCOLK6pZrBR/vp6cUhPPIGjvLpOBODva7xcMW&#10;M20nLmgsfS0ChF2GChrv+0xKVzVk0K1sTxy8ix0M+iCHWuoBpwA3nVxHUSwNthwWGuzp2FD1Vd6M&#10;gu/OJWlq23P+VszX1/IUJ5/XWKnH5XzYgPA0+//wXzvXCl4S+P0Sf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Vx6LEAAAA2wAAAA8AAAAAAAAAAAAAAAAAmAIAAGRycy9k&#10;b3ducmV2LnhtbFBLBQYAAAAABAAEAPUAAACJAwAAAAA=&#10;" filled="f" strokecolor="#17365d [2415]" strokeweight="1pt">
                  <v:stroke dashstyle="dash"/>
                </v:roundrect>
                <v:roundrect id="8 Rectángulo redondeado" o:spid="_x0000_s1033" style="position:absolute;left:46407;top:35929;width:4760;height:75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9pycUA&#10;AADbAAAADwAAAGRycy9kb3ducmV2LnhtbESPUUvDQBCE3wX/w7GCb/aSakVjLqWIBRFaMCmIb0tu&#10;TYK5vZDbpvHfewXBx2FmvmHy9ex6NdEYOs8G0kUCirj2tuPGwKHa3jyACoJssfdMBn4owLq4vMgx&#10;s/7E7zSV0qgI4ZChgVZkyLQOdUsOw8IPxNH78qNDiXJstB3xFOGu18skudcOO44LLQ703FL9XR6d&#10;gZe7w7TayltZ7fjj8biX9HO5SY25vpo3T6CEZvkP/7VfrYHVLZy/xB+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r2nJxQAAANsAAAAPAAAAAAAAAAAAAAAAAJgCAABkcnMv&#10;ZG93bnJldi54bWxQSwUGAAAAAAQABAD1AAAAigMAAAAA&#10;" filled="f" strokecolor="#00b050" strokeweight="1pt">
                  <v:stroke dashstyle="dash"/>
                </v:roundrect>
                <v:roundrect id="148 Rectángulo redondeado" o:spid="_x0000_s1034" style="position:absolute;left:68482;top:35929;width:16070;height:75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aI8sMA&#10;AADbAAAADwAAAGRycy9kb3ducmV2LnhtbESPQYvCMBSE74L/ITzBm6Yurmg1ioiCsItg1YO3R/Ns&#10;i81Lt4m1++83C4LHYWa+YRar1pSiodoVlhWMhhEI4tTqgjMF59NuMAXhPLLG0jIp+CUHq2W3s8BY&#10;2ycfqUl8JgKEXYwKcu+rWEqX5mTQDW1FHLybrQ36IOtM6hqfAW5K+RFFE2mw4LCQY0WbnNJ78jAK&#10;rny4z6rxz/W73H7NHpd1c7Ykler32vUchKfWv8Ov9l4r+BzD/5fw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aI8sMAAADbAAAADwAAAAAAAAAAAAAAAACYAgAAZHJzL2Rv&#10;d25yZXYueG1sUEsFBgAAAAAEAAQA9QAAAIgDAAAAAA==&#10;" filled="f" strokecolor="#7030a0" strokeweight="1pt">
                  <v:stroke dashstyle="dash"/>
                </v:roundrect>
                <v:roundrect id="328 Rectángulo redondeado" o:spid="_x0000_s1035" style="position:absolute;left:12343;top:35856;width:10802;height:7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N1gcUA&#10;AADbAAAADwAAAGRycy9kb3ducmV2LnhtbESPQWvCQBSE74L/YXmFXqRuWmgsqatIW2vxpk17fs0+&#10;s8Hs25BdTfTXu0LB4zAz3zDTeW9rcaTWV44VPI4TEMSF0xWXCvLv5cMLCB+QNdaOScGJPMxnw8EU&#10;M+063tBxG0oRIewzVGBCaDIpfWHIoh+7hjh6O9daDFG2pdQtdhFua/mUJKm0WHFcMNjQm6Fivz1Y&#10;BaPR786s8/XPR2nT/er9PMk/uz+l7u/6xSuIQH24hf/bX1rBcwrXL/EHy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3WBxQAAANsAAAAPAAAAAAAAAAAAAAAAAJgCAABkcnMv&#10;ZG93bnJldi54bWxQSwUGAAAAAAQABAD1AAAAigMAAAAA&#10;" filled="f" strokecolor="red" strokeweight="1pt">
                  <v:stroke dashstyle="dash"/>
                </v:roundrect>
                <v:roundrect id="344 Rectángulo redondeado" o:spid="_x0000_s1036" style="position:absolute;left:62714;top:35929;width:4990;height:75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bn1MUA&#10;AADbAAAADwAAAGRycy9kb3ducmV2LnhtbESPQWvCQBSE7wX/w/KE3urG0koTsxERBUEpVOPB2yP7&#10;TILZt2l2jem/dwuFHoeZ+YZJF4NpRE+dqy0rmE4iEMSF1TWXCvLj5uUDhPPIGhvLpOCHHCyy0VOK&#10;ibZ3/qL+4EsRIOwSVFB53yZSuqIig25iW+LgXWxn0AfZlVJ3eA9w08jXKJpJgzWHhQpbWlVUXA83&#10;o+DMn9e4ffs+75v1Lr6dln1uSSr1PB6WcxCeBv8f/mtvtYLZO/x+C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9ufUxQAAANsAAAAPAAAAAAAAAAAAAAAAAJgCAABkcnMv&#10;ZG93bnJldi54bWxQSwUGAAAAAAQABAD1AAAAigMAAAAA&#10;" filled="f" strokecolor="#7030a0" strokeweight="1pt">
                  <v:stroke dashstyle="dash"/>
                </v:roundrect>
                <v:roundrect id="345 Rectángulo redondeado" o:spid="_x0000_s1037" style="position:absolute;left:51556;top:35929;width:10461;height:75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A7MQA&#10;AADbAAAADwAAAGRycy9kb3ducmV2LnhtbESPUUvDQBCE3wX/w7GCb+0lxQaNuZQiFqRgwbQgvi25&#10;NQnm9kJum8Z/7wmCj8PMfMMUm9n1aqIxdJ4NpMsEFHHtbceNgdNxt7gHFQTZYu+ZDHxTgE15fVVg&#10;bv2F32iqpFERwiFHA63IkGsd6pYchqUfiKP36UeHEuXYaDviJcJdr1dJkmmHHceFFgd6aqn+qs7O&#10;wPPdaVrvZF8dX/n94XyQ9GO1TY25vZm3j6CEZvkP/7VfrIEsg98v8Qfo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0AOzEAAAA2wAAAA8AAAAAAAAAAAAAAAAAmAIAAGRycy9k&#10;b3ducmV2LnhtbFBLBQYAAAAABAAEAPUAAACJAwAAAAA=&#10;" filled="f" strokecolor="#00b050" strokeweight="1pt">
                  <v:stroke dashstyle="dash"/>
                </v:roundrect>
                <v:roundrect id="350 Rectángulo redondeado" o:spid="_x0000_s1038" style="position:absolute;left:40175;top:35856;width:5642;height:7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bwsQA&#10;AADbAAAADwAAAGRycy9kb3ducmV2LnhtbESPQWuDQBSE74X+h+UVeqtrc1BrswmhIEjpJTb0/HBf&#10;VeK+Ne5GTX59NxDocZiZb5j1djG9mGh0nWUFr1EMgri2uuNGweG7eMlAOI+ssbdMCi7kYLt5fFhj&#10;ru3Me5oq34gAYZejgtb7IZfS1S0ZdJEdiIP3a0eDPsixkXrEOcBNL1dxnEiDHYeFFgf6aKk+Vmej&#10;4Nq7NMts91l+7ZfTW1Uk6c8pUer5adm9g/C0+P/wvV1qBUkKt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gm8LEAAAA2wAAAA8AAAAAAAAAAAAAAAAAmAIAAGRycy9k&#10;b3ducmV2LnhtbFBLBQYAAAAABAAEAPUAAACJAwAAAAA=&#10;" filled="f" strokecolor="#17365d [2415]" strokeweight="1pt">
                  <v:stroke dashstyle="dash"/>
                </v:roundrect>
                <v:shape id="AutoShape 4" o:spid="_x0000_s1039" type="#_x0000_t7" style="position:absolute;left:687;top:21027;width:85704;height:900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zabr8A&#10;AADbAAAADwAAAGRycy9kb3ducmV2LnhtbERPTWsCMRC9F/wPYYTealYPWrZGEWnRgyC17X3YjJvV&#10;ZLJsRt36682h0OPjfc+XffDqSl1qIhsYjwpQxFW0DdcGvr8+Xl5BJUG26COTgV9KsFwMnuZY2njj&#10;T7oepFY5hFOJBpxIW2qdKkcB0yi2xJk7xi6gZNjV2nZ4y+HB60lRTHXAhnODw5bWjqrz4RIMxNNs&#10;d/nZ+03v/Omd7mPZ8kyMeR72qzdQQr38i//cW2tgmsfmL/kH6M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bNpuvwAAANsAAAAPAAAAAAAAAAAAAAAAAJgCAABkcnMvZG93bnJl&#10;di54bWxQSwUGAAAAAAQABAD1AAAAhAMAAAAA&#10;" adj="576" fillcolor="#fc0" stroked="f">
                  <v:fill opacity="22616f"/>
                </v:shape>
                <v:shape id="AutoShape 5" o:spid="_x0000_s1040" type="#_x0000_t7" style="position:absolute;left:687;top:8960;width:85704;height:900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5YkMQA&#10;AADbAAAADwAAAGRycy9kb3ducmV2LnhtbESPQWsCMRSE7wX/Q3iCt5rVg9jVKFooVigtrnp/bJ6b&#10;1c1L2KS69tc3hYLHYWa+YebLzjbiSm2oHSsYDTMQxKXTNVcKDvu35ymIEJE1No5JwZ0CLBe9pznm&#10;2t14R9ciViJBOOSowMTocylDachiGDpPnLyTay3GJNtK6hZvCW4bOc6yibRYc1ow6OnVUHkpvq2C&#10;YzCrj+nnYeNHp8uXL9bn7b34UWrQ71YzEJG6+Aj/t9+1gskL/H1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eWJDEAAAA2wAAAA8AAAAAAAAAAAAAAAAAmAIAAGRycy9k&#10;b3ducmV2LnhtbFBLBQYAAAAABAAEAPUAAACJAwAAAAA=&#10;" adj="562" fillcolor="#9cf" stroked="f">
                  <v:fill opacity="22616f"/>
                </v:shape>
                <v:shape id="6 CuadroTexto" o:spid="_x0000_s1041" type="#_x0000_t202" style="position:absolute;left:2180;top:47338;width:13827;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14:paraId="34374269"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Dominio</w:t>
                        </w:r>
                      </w:p>
                      <w:p w14:paraId="46FB75E9"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 xml:space="preserve">Administrativo </w:t>
                        </w:r>
                        <w:r>
                          <w:rPr>
                            <w:rFonts w:ascii="Arial Narrow" w:hAnsi="Arial Narrow" w:cstheme="minorBidi"/>
                            <w:b/>
                            <w:bCs/>
                            <w:i/>
                            <w:iCs/>
                            <w:color w:val="FF0000"/>
                            <w:kern w:val="24"/>
                            <w:sz w:val="16"/>
                            <w:szCs w:val="16"/>
                          </w:rPr>
                          <w:t>1</w:t>
                        </w:r>
                      </w:p>
                    </w:txbxContent>
                  </v:textbox>
                </v:shape>
                <v:shape id="7 CuadroTexto" o:spid="_x0000_s1042" type="#_x0000_t202" style="position:absolute;left:27215;top:47340;width:13224;height:5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14:paraId="3BF1B3C8"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Dominio</w:t>
                        </w:r>
                      </w:p>
                      <w:p w14:paraId="428AE4F6"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17365D" w:themeColor="text2" w:themeShade="BF"/>
                            <w:kern w:val="24"/>
                            <w:sz w:val="16"/>
                            <w:szCs w:val="16"/>
                          </w:rPr>
                          <w:t>administrativo</w:t>
                        </w:r>
                        <w:proofErr w:type="gramEnd"/>
                        <w:r>
                          <w:rPr>
                            <w:rFonts w:ascii="Arial Narrow" w:hAnsi="Arial Narrow" w:cstheme="minorBidi"/>
                            <w:b/>
                            <w:bCs/>
                            <w:color w:val="17365D" w:themeColor="text2" w:themeShade="BF"/>
                            <w:kern w:val="24"/>
                            <w:sz w:val="16"/>
                            <w:szCs w:val="16"/>
                          </w:rPr>
                          <w:t xml:space="preserve"> 3</w:t>
                        </w:r>
                      </w:p>
                    </w:txbxContent>
                  </v:textbox>
                </v:shape>
                <v:roundrect id="30 Rectángulo redondeado" o:spid="_x0000_s1043" style="position:absolute;left:2968;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u28QA&#10;AADbAAAADwAAAGRycy9kb3ducmV2LnhtbESPQWsCMRSE70L/Q3gFb5ptC1pWo5QWqeBBu1bE22Pz&#10;utl287IkUdd/bwShx2FmvmGm88424kQ+1I4VPA0zEMSl0zVXCr63i8EriBCRNTaOScGFAsxnD70p&#10;5tqd+YtORaxEgnDIUYGJsc2lDKUhi2HoWuLk/ThvMSbpK6k9nhPcNvI5y0bSYs1pwWBL74bKv+Jo&#10;FawXy93h4wV9EVf1Z7U3v8UmbJXqP3ZvExCRuvgfvreXWsF4BLc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krtvEAAAA2wAAAA8AAAAAAAAAAAAAAAAAmAIAAGRycy9k&#10;b3ducmV2LnhtbFBLBQYAAAAABAAEAPUAAACJAwAAAAA=&#10;" fillcolor="#c6d9f1 [671]" strokecolor="#243f60 [1604]" strokeweight="1pt">
                  <v:path arrowok="t"/>
                  <o:lock v:ext="edit" aspectratio="t"/>
                  <v:textbox inset="0,0,0,0">
                    <w:txbxContent>
                      <w:p w14:paraId="40425DD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(PCL)NCAI</w:t>
                        </w:r>
                      </w:p>
                    </w:txbxContent>
                  </v:textbox>
                </v:roundre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31 Pantalla" o:spid="_x0000_s1044" type="#_x0000_t134" style="position:absolute;left:2073;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mWcEA&#10;AADbAAAADwAAAGRycy9kb3ducmV2LnhtbERPTWvCQBC9F/wPywje6qaitUZXEUXQgkITweuYnSbB&#10;7GzIrib+++6h4PHxvherzlTiQY0rLSv4GEYgiDOrS84VnNPd+xcI55E1VpZJwZMcrJa9twXG2rb8&#10;Q4/E5yKEsItRQeF9HUvpsoIMuqGtiQP3axuDPsAml7rBNoSbSo6i6FMaLDk0FFjTpqDsltyNgmM9&#10;mV2So0637eF7fJqcrxdMr0oN+t16DsJT51/if/deK5iGseFL+A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1plnBAAAA2wAAAA8AAAAAAAAAAAAAAAAAmAIAAGRycy9kb3du&#10;cmV2LnhtbFBLBQYAAAAABAAEAPUAAACGAwAAAAA=&#10;" fillcolor="#d8d8d8 [2732]" strokecolor="#243f60 [1604]" strokeweight=".25pt">
                  <v:textbox style="layout-flow:vertical;mso-layout-flow-alt:bottom-to-top" inset="0,0,0,0">
                    <w:txbxContent>
                      <w:p w14:paraId="1EB2AFD7"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32 Conector recto" o:spid="_x0000_s1045" style="position:absolute;flip:x;visibility:visible;mso-wrap-style:square" from="4223,39936" to="4223,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l8MAAADbAAAADwAAAGRycy9kb3ducmV2LnhtbESPT2sCMRTE70K/Q3gFb5pdhVZXo5RC&#10;RbyIf8DrY/PcLN28rEnU9dubgtDjMDO/YebLzjbiRj7UjhXkwwwEcel0zZWC4+FnMAERIrLGxjEp&#10;eFCA5eKtN8dCuzvv6LaPlUgQDgUqMDG2hZShNGQxDF1LnLyz8xZjkr6S2uM9wW0jR1n2IS3WnBYM&#10;tvRtqPzdX62CXb4Zjy7H3KxOJ385VNvJdV0Gpfrv3dcMRKQu/odf7bVW8DmFvy/pB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gfpfDAAAA2wAAAA8AAAAAAAAAAAAA&#10;AAAAoQIAAGRycy9kb3ducmV2LnhtbFBLBQYAAAAABAAEAPkAAACRAwAAAAA=&#10;" strokecolor="#4579b8 [3044]" strokeweight=".25pt"/>
                <v:roundrect id="27 Rectángulo redondeado" o:spid="_x0000_s1046" style="position:absolute;left:8053;top:37426;width:3073;height:30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jE8EA&#10;AADbAAAADwAAAGRycy9kb3ducmV2LnhtbERPTWsCMRC9F/ofwhS81WwriKxGkRZR8KBdFfE2bMbN&#10;tpvJkkRd/705FDw+3vdk1tlGXMmH2rGCj34Ggrh0uuZKwX63eB+BCBFZY+OYFNwpwGz6+jLBXLsb&#10;/9C1iJVIIRxyVGBibHMpQ2nIYui7ljhxZ+ctxgR9JbXHWwq3jfzMsqG0WHNqMNjSl6Hyr7hYBZvF&#10;6nD6HqAv4rpeVkfzW2zDTqneWzcfg4jUxaf4373SCkZpff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U4xPBAAAA2wAAAA8AAAAAAAAAAAAAAAAAmAIAAGRycy9kb3du&#10;cmV2LnhtbFBLBQYAAAAABAAEAPUAAACGAwAAAAA=&#10;" fillcolor="#c6d9f1 [671]" strokecolor="#243f60 [1604]" strokeweight="1pt">
                  <v:path arrowok="t"/>
                  <o:lock v:ext="edit" aspectratio="t"/>
                  <v:textbox inset="0,0,0,0">
                    <w:txbxContent>
                      <w:p w14:paraId="3E7B4D48"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(PCL)NCAI</w:t>
                        </w:r>
                      </w:p>
                    </w:txbxContent>
                  </v:textbox>
                </v:roundrect>
                <v:shape id="28 Pantalla" o:spid="_x0000_s1047" type="#_x0000_t134" style="position:absolute;left:7721;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p/48QA&#10;AADbAAAADwAAAGRycy9kb3ducmV2LnhtbESPQWvCQBSE74L/YXmCt7qxqGh0FakIbUHBRPD6zD6T&#10;YPZtyG5N+u+7QsHjMDPfMKtNZyrxoMaVlhWMRxEI4szqknMF53T/NgfhPLLGyjIp+CUHm3W/t8JY&#10;25ZP9Eh8LgKEXYwKCu/rWEqXFWTQjWxNHLybbQz6IJtc6gbbADeVfI+imTRYclgosKaPgrJ78mMU&#10;HOrp4pIcdLprv74nx+n5esH0qtRw0G2XIDx1/hX+b39qBfMxPL+E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af+PEAAAA2wAAAA8AAAAAAAAAAAAAAAAAmAIAAGRycy9k&#10;b3ducmV2LnhtbFBLBQYAAAAABAAEAPUAAACJAwAAAAA=&#10;" fillcolor="#d8d8d8 [2732]" strokecolor="#243f60 [1604]" strokeweight=".25pt">
                  <v:textbox style="layout-flow:vertical;mso-layout-flow-alt:bottom-to-top" inset="0,0,0,0">
                    <w:txbxContent>
                      <w:p w14:paraId="7C8D0C5C"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29 Conector recto" o:spid="_x0000_s1048" style="position:absolute;visibility:visible;mso-wrap-style:square" from="9589,40499" to="9871,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hT88QAAADbAAAADwAAAGRycy9kb3ducmV2LnhtbESPUUvDQBCE3wX/w7GCb+ZixBBjr6UU&#10;CkV9sfoD1tyahOb24t3aJv56TxD6OMzMN8xiNblBHSnE3rOB2ywHRdx423Nr4P1te1OBioJscfBM&#10;BmaKsFpeXiywtv7Er3TcS6sShGONBjqRsdY6Nh05jJkfiZP36YNDSTK02gY8JbgbdJHnpXbYc1ro&#10;cKRNR81h/+0MfD2/7OL8MRRS3v88HcK6epC7aMz11bR+BCU0yTn8395ZA1UBf1/SD9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aFPzxAAAANsAAAAPAAAAAAAAAAAA&#10;AAAAAKECAABkcnMvZG93bnJldi54bWxQSwUGAAAAAAQABAD5AAAAkgMAAAAA&#10;" strokecolor="#4579b8 [3044]"/>
                <v:roundrect id="24 Rectángulo redondeado" o:spid="_x0000_s1049" style="position:absolute;left:14264;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9ZMQA&#10;AADbAAAADwAAAGRycy9kb3ducmV2LnhtbESPQWsCMRSE70L/Q3hCb5q1QpGtUcQiFXpo3VVKb4/N&#10;62Z187IkqW7/fSMIHoeZ+YaZL3vbijP50DhWMBlnIIgrpxuuFezLzWgGIkRkja1jUvBHAZaLh8Ec&#10;c+0uvKNzEWuRIBxyVGBi7HIpQ2XIYhi7jjh5P85bjEn6WmqPlwS3rXzKsmdpseG0YLCjtaHqVPxa&#10;BR+b7eH7dYq+iO/NW/1ljsVnKJV6HParFxCR+ngP39pbrWA2heuX9A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GfWTEAAAA2wAAAA8AAAAAAAAAAAAAAAAAmAIAAGRycy9k&#10;b3ducmV2LnhtbFBLBQYAAAAABAAEAPUAAACJAwAAAAA=&#10;" fillcolor="#c6d9f1 [671]" strokecolor="#243f60 [1604]" strokeweight="1pt">
                  <v:path arrowok="t"/>
                  <o:lock v:ext="edit" aspectratio="t"/>
                  <v:textbox inset="0,0,0,0">
                    <w:txbxContent>
                      <w:p w14:paraId="4E223EF1"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12D5791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25 Pantalla" o:spid="_x0000_s1050" type="#_x0000_t134" style="position:absolute;left:13370;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3ce8UA&#10;AADbAAAADwAAAGRycy9kb3ducmV2LnhtbESPQWvCQBSE70L/w/IKvemmomJTVymVghUUmgi5vmRf&#10;k9Ds25BdTfrvXUHwOMzMN8xqM5hGXKhztWUFr5MIBHFhdc2lglP6NV6CcB5ZY2OZFPyTg836abTC&#10;WNuef+iS+FIECLsYFVTet7GUrqjIoJvYljh4v7Yz6IPsSqk77APcNHIaRQtpsOawUGFLnxUVf8nZ&#10;KDi087csOeh023/vZ8f5Kc8wzZV6eR4+3kF4GvwjfG/vtILlDG5fw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dx7xQAAANsAAAAPAAAAAAAAAAAAAAAAAJgCAABkcnMv&#10;ZG93bnJldi54bWxQSwUGAAAAAAQABAD1AAAAigMAAAAA&#10;" fillcolor="#d8d8d8 [2732]" strokecolor="#243f60 [1604]" strokeweight=".25pt">
                  <v:textbox style="layout-flow:vertical;mso-layout-flow-alt:bottom-to-top" inset="0,0,0,0">
                    <w:txbxContent>
                      <w:p w14:paraId="30F5409F"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26 Conector recto" o:spid="_x0000_s1051" style="position:absolute;flip:x;visibility:visible;mso-wrap-style:square" from="15519,39936" to="15519,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gEtcQAAADbAAAADwAAAGRycy9kb3ducmV2LnhtbESPzWrDMBCE74G+g9hCb4nshBTjRjYl&#10;kBB6CfmBXBdra5laK0dSEvftq0Khx2FmvmFW9Wh7cScfOscK8lkGgrhxuuNWwfm0mRYgQkTW2Dsm&#10;Bd8UoK6eJisstXvwge7H2IoE4VCiAhPjUEoZGkMWw8wNxMn7dN5iTNK3Unt8JLjt5TzLXqXFjtOC&#10;wYHWhpqv480qOOQfi/n1nJvt5eKvp3Zf3HZNUOrleXx/AxFpjP/hv/ZOKyiW8Psl/QB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eAS1xAAAANsAAAAPAAAAAAAAAAAA&#10;AAAAAKECAABkcnMvZG93bnJldi54bWxQSwUGAAAAAAQABAD5AAAAkgMAAAAA&#10;" strokecolor="#4579b8 [3044]" strokeweight=".25pt"/>
                <v:shape id="22 Pantalla" o:spid="_x0000_s1052" type="#_x0000_t134" style="position:absolute;left:19018;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nl8UA&#10;AADbAAAADwAAAGRycy9kb3ducmV2LnhtbESPQWvCQBSE74X+h+UVetONUiWNrqFUCm1BoYng9Zl9&#10;JsHs25DdJvHfuwWhx2FmvmHW6Wga0VPnassKZtMIBHFhdc2lgkP+MYlBOI+ssbFMCq7kIN08Pqwx&#10;0XbgH+ozX4oAYZeggsr7NpHSFRUZdFPbEgfvbDuDPsiulLrDIcBNI+dRtJQGaw4LFbb0XlFxyX6N&#10;gl27eD1mO51vh6/vl/3icDpiflLq+Wl8W4HwNPr/8L39qRXES/j7En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eXxQAAANsAAAAPAAAAAAAAAAAAAAAAAJgCAABkcnMv&#10;ZG93bnJldi54bWxQSwUGAAAAAAQABAD1AAAAigMAAAAA&#10;" fillcolor="#d8d8d8 [2732]" strokecolor="#243f60 [1604]" strokeweight=".25pt">
                  <v:textbox style="layout-flow:vertical;mso-layout-flow-alt:bottom-to-top" inset="0,0,0,0">
                    <w:txbxContent>
                      <w:p w14:paraId="2AC2F54F"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23 Conector recto" o:spid="_x0000_s1053" style="position:absolute;flip:x;visibility:visible;mso-wrap-style:square" from="21167,39936" to="21167,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WcQAAADbAAAADwAAAGRycy9kb3ducmV2LnhtbESPzWrDMBCE74G+g9hCb4nsBFLjRjYl&#10;kBB6CfmBXBdra5laK0dSEvftq0Khx2FmvmFW9Wh7cScfOscK8lkGgrhxuuNWwfm0mRYgQkTW2Dsm&#10;Bd8UoK6eJisstXvwge7H2IoE4VCiAhPjUEoZGkMWw8wNxMn7dN5iTNK3Unt8JLjt5TzLltJix2nB&#10;4EBrQ83X8WYVHPKPxfx6zs32cvHXU7svbrsmKPXyPL6/gYg0xv/wX3unFRSv8Psl/QB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5j9ZxAAAANsAAAAPAAAAAAAAAAAA&#10;AAAAAKECAABkcnMvZG93bnJldi54bWxQSwUGAAAAAAQABAD5AAAAkgMAAAAA&#10;" strokecolor="#4579b8 [3044]" strokeweight=".25pt"/>
                <v:roundrect id="18 Rectángulo redondeado" o:spid="_x0000_s1054" style="position:absolute;left:25561;top:37426;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vFcEA&#10;AADbAAAADwAAAGRycy9kb3ducmV2LnhtbERPTWsCMRC9F/ofwhS81WwriKxGkRZR8KBdFfE2bMbN&#10;tpvJkkRd/705FDw+3vdk1tlGXMmH2rGCj34Ggrh0uuZKwX63eB+BCBFZY+OYFNwpwGz6+jLBXLsb&#10;/9C1iJVIIRxyVGBibHMpQ2nIYui7ljhxZ+ctxgR9JbXHWwq3jfzMsqG0WHNqMNjSl6Hyr7hYBZvF&#10;6nD6HqAv4rpeVkfzW2zDTqneWzcfg4jUxaf4373SCkZ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i7xXBAAAA2wAAAA8AAAAAAAAAAAAAAAAAmAIAAGRycy9kb3du&#10;cmV2LnhtbFBLBQYAAAAABAAEAPUAAACGAwAAAAA=&#10;" fillcolor="#c6d9f1 [671]" strokecolor="#243f60 [1604]" strokeweight="1pt">
                  <v:path arrowok="t"/>
                  <o:lock v:ext="edit" aspectratio="t"/>
                  <v:textbox inset="0,0,0,0">
                    <w:txbxContent>
                      <w:p w14:paraId="65E2BE3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46A7D1F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19 Pantalla" o:spid="_x0000_s1055" type="#_x0000_t134" style="position:absolute;left:24666;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z5cUA&#10;AADbAAAADwAAAGRycy9kb3ducmV2LnhtbESPQWvCQBSE74X+h+UVeqsbpUqMrqFUCm3BQhPB6zP7&#10;TILZtyG7TeK/dwuCx2FmvmHW6Wga0VPnassKppMIBHFhdc2lgn3+8RKDcB5ZY2OZFFzIQbp5fFhj&#10;ou3Av9RnvhQBwi5BBZX3bSKlKyoy6Ca2JQ7eyXYGfZBdKXWHQ4CbRs6iaCEN1hwWKmzpvaLinP0Z&#10;Bbt2vjxkO51vh6/v15/5/njA/KjU89P4tgLhafT38K39qRXES/j/En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HPlxQAAANsAAAAPAAAAAAAAAAAAAAAAAJgCAABkcnMv&#10;ZG93bnJldi54bWxQSwUGAAAAAAQABAD1AAAAigMAAAAA&#10;" fillcolor="#d8d8d8 [2732]" strokecolor="#243f60 [1604]" strokeweight=".25pt">
                  <v:textbox style="layout-flow:vertical;mso-layout-flow-alt:bottom-to-top" inset="0,0,0,0">
                    <w:txbxContent>
                      <w:p w14:paraId="592B676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20 Conector recto" o:spid="_x0000_s1056" style="position:absolute;flip:x;visibility:visible;mso-wrap-style:square" from="26816,39936" to="26816,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qUa8MAAADbAAAADwAAAGRycy9kb3ducmV2LnhtbESPT4vCMBTE7wt+h/AEb2taBXG7RhFh&#10;F/Gy+Ae8PppnU2xeahK1fvuNIHgcZuY3zGzR2UbcyIfasYJ8mIEgLp2uuVJw2P98TkGEiKyxcUwK&#10;HhRgMe99zLDQ7s5buu1iJRKEQ4EKTIxtIWUoDVkMQ9cSJ+/kvMWYpK+k9nhPcNvIUZZNpMWa04LB&#10;llaGyvPuahVs8814dDnk5vd49Jd99Te9rsug1KDfLb9BROriO/xqr7WCrxyeX9IP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alGvDAAAA2wAAAA8AAAAAAAAAAAAA&#10;AAAAoQIAAGRycy9kb3ducmV2LnhtbFBLBQYAAAAABAAEAPkAAACRAwAAAAA=&#10;" strokecolor="#4579b8 [3044]" strokeweight=".25pt"/>
                <v:roundrect id="2 Rectángulo redondeado" o:spid="_x0000_s1057" style="position:absolute;left:30960;top:40188;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OIsQA&#10;AADbAAAADwAAAGRycy9kb3ducmV2LnhtbESPQWsCMRSE70L/Q3gFb5pVQdqtUaQiCh6sa0vp7bF5&#10;3Wy7eVmSqOu/N4WCx2FmvmFmi8424kw+1I4VjIYZCOLS6ZorBe/H9eAJRIjIGhvHpOBKARbzh94M&#10;c+0ufKBzESuRIBxyVGBibHMpQ2nIYhi6ljh5385bjEn6SmqPlwS3jRxn2VRarDktGGzp1VD5W5ys&#10;gv16+/G1mqAv4q7eVJ/mp3gLR6X6j93yBUSkLt7D/+2tVvA8hr8v6Q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TTiLEAAAA2wAAAA8AAAAAAAAAAAAAAAAAmAIAAGRycy9k&#10;b3ducmV2LnhtbFBLBQYAAAAABAAEAPUAAACJAwAAAAA=&#10;" fillcolor="#c6d9f1 [671]" strokecolor="#243f60 [1604]" strokeweight="1pt">
                  <v:path arrowok="t"/>
                  <o:lock v:ext="edit" aspectratio="t"/>
                  <v:textbox inset="0,0,0,0">
                    <w:txbxContent>
                      <w:p w14:paraId="1300C3B9"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1F614B2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3 Pantalla" o:spid="_x0000_s1058" type="#_x0000_t134" style="position:absolute;left:30065;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xSsUA&#10;AADbAAAADwAAAGRycy9kb3ducmV2LnhtbESPQWvCQBSE74X+h+UVejMbpUqNrqFUCm1BoYng9Zl9&#10;JsHs25DdJvHfuwWhx2FmvmHW6Wga0VPnassKplEMgriwuuZSwSH/mLyCcB5ZY2OZFFzJQbp5fFhj&#10;ou3AP9RnvhQBwi5BBZX3bSKlKyoy6CLbEgfvbDuDPsiulLrDIcBNI2dxvJAGaw4LFbb0XlFxyX6N&#10;gl07Xx6znc63w9f3y35+OB0xPyn1/DS+rUB4Gv1/+N7+1AqWC/j7En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nFKxQAAANsAAAAPAAAAAAAAAAAAAAAAAJgCAABkcnMv&#10;ZG93bnJldi54bWxQSwUGAAAAAAQABAD1AAAAigMAAAAA&#10;" fillcolor="#d8d8d8 [2732]" strokecolor="#243f60 [1604]" strokeweight=".25pt">
                  <v:textbox style="layout-flow:vertical;mso-layout-flow-alt:bottom-to-top" inset="0,0,0,0">
                    <w:txbxContent>
                      <w:p w14:paraId="463D415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5 Conector recto" o:spid="_x0000_s1059" style="position:absolute;flip:x;visibility:visible;mso-wrap-style:square" from="32214,42698" to="32214,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phMMAAADbAAAADwAAAGRycy9kb3ducmV2LnhtbESPT2sCMRTE70K/Q3gFb5pdhVZXo5RC&#10;RbyIf8DrY/PcLN28rEnU9dubgtDjMDO/YebLzjbiRj7UjhXkwwwEcel0zZWC4+FnMAERIrLGxjEp&#10;eFCA5eKtN8dCuzvv6LaPlUgQDgUqMDG2hZShNGQxDF1LnLyz8xZjkr6S2uM9wW0jR1n2IS3WnBYM&#10;tvRtqPzdX62CXb4Zjy7H3KxOJ385VNvJdV0Gpfrv3dcMRKQu/odf7bVWMP2Evy/pB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qYTDAAAA2wAAAA8AAAAAAAAAAAAA&#10;AAAAoQIAAGRycy9kb3ducmV2LnhtbFBLBQYAAAAABAAEAPkAAACRAwAAAAA=&#10;" strokecolor="#4579b8 [3044]" strokeweight=".25pt"/>
                <v:roundrect id="48 Rectángulo redondeado" o:spid="_x0000_s1060" style="position:absolute;left:36608;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5yMIA&#10;AADbAAAADwAAAGRycy9kb3ducmV2LnhtbERPz2vCMBS+D/Y/hDfYbabbQLQaRRSZsIPaboi3R/Ns&#10;6pqXkmRa/3tzGOz48f2eznvbigv50DhW8DrIQBBXTjdcK/gq1y8jECEia2wdk4IbBZjPHh+mmGt3&#10;5T1diliLFMIhRwUmxi6XMlSGLIaB64gTd3LeYkzQ11J7vKZw28q3LBtKiw2nBoMdLQ1VP8WvVbBd&#10;b76Pq3f0RfxsPuqDORe7UCr1/NQvJiAi9fFf/OfeaAXjNDZ9ST9Az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u3nIwgAAANsAAAAPAAAAAAAAAAAAAAAAAJgCAABkcnMvZG93&#10;bnJldi54bWxQSwUGAAAAAAQABAD1AAAAhwMAAAAA&#10;" fillcolor="#c6d9f1 [671]" strokecolor="#243f60 [1604]" strokeweight="1pt">
                  <v:path arrowok="t"/>
                  <o:lock v:ext="edit" aspectratio="t"/>
                  <v:textbox inset="0,0,0,0">
                    <w:txbxContent>
                      <w:p w14:paraId="2D2EFA57"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E46AE8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49 Pantalla" o:spid="_x0000_s1061" type="#_x0000_t134" style="position:absolute;left:35713;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XlOMUA&#10;AADbAAAADwAAAGRycy9kb3ducmV2LnhtbESPQWvCQBSE74X+h+UVetNNpUqTZiPFUlDBQhPB6zP7&#10;moRm34bsauK/dwWhx2FmvmHS5WhacabeNZYVvEwjEMSl1Q1XCvbF1+QNhPPIGlvLpOBCDpbZ40OK&#10;ibYD/9A595UIEHYJKqi97xIpXVmTQTe1HXHwfm1v0AfZV1L3OAS4aeUsihbSYMNhocaOVjWVf/nJ&#10;KNh18/iQ73TxOWy2r9/z/fGAxVGp56fx4x2Ep9H/h+/ttVYQx3D7En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eU4xQAAANsAAAAPAAAAAAAAAAAAAAAAAJgCAABkcnMv&#10;ZG93bnJldi54bWxQSwUGAAAAAAQABAD1AAAAigMAAAAA&#10;" fillcolor="#d8d8d8 [2732]" strokecolor="#243f60 [1604]" strokeweight=".25pt">
                  <v:textbox style="layout-flow:vertical;mso-layout-flow-alt:bottom-to-top" inset="0,0,0,0">
                    <w:txbxContent>
                      <w:p w14:paraId="280E1F98"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50 Conector recto" o:spid="_x0000_s1062" style="position:absolute;flip:x;visibility:visible;mso-wrap-style:square" from="37863,39936" to="37863,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RDEMQAAADcAAAADwAAAGRycy9kb3ducmV2LnhtbESPT2sCMRDF74V+hzCF3mp2LRRZjVIK&#10;FfEi/gGvw2bcLN1M1iTq+u2dg9DbDO/Ne7+ZLQbfqSvF1AY2UI4KUMR1sC03Bg77348JqJSRLXaB&#10;ycCdEizmry8zrGy48Zauu9woCeFUoQGXc19pnWpHHtMo9MSinUL0mGWNjbYRbxLuOz0uii/tsWVp&#10;cNjTj6P6b3fxBrbl+nN8PpRueTzG877ZTC6rOhnz/jZ8T0FlGvK/+Xm9soJfCL48IxPo+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JEMQxAAAANwAAAAPAAAAAAAAAAAA&#10;AAAAAKECAABkcnMvZG93bnJldi54bWxQSwUGAAAAAAQABAD5AAAAkgMAAAAA&#10;" strokecolor="#4579b8 [3044]" strokeweight=".25pt"/>
                <v:roundrect id="45 Rectángulo redondeado" o:spid="_x0000_s1063" style="position:absolute;left:42256;top:37426;width:2424;height:24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SIcMA&#10;AADcAAAADwAAAGRycy9kb3ducmV2LnhtbERPTWsCMRC9C/6HMIXeNKuFIqtRSkUUemjdVUpvw2a6&#10;2XYzWZJU139vCoK3ebzPWax624oT+dA4VjAZZyCIK6cbrhUcys1oBiJEZI2tY1JwoQCr5XCwwFy7&#10;M+/pVMRapBAOOSowMXa5lKEyZDGMXUecuG/nLcYEfS21x3MKt62cZtmztNhwajDY0auh6rf4swre&#10;N7vj1/oJfRHfmm39aX6Kj1Aq9fjQv8xBROrjXXxz73San03g/5l0gV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DSIcMAAADcAAAADwAAAAAAAAAAAAAAAACYAgAAZHJzL2Rv&#10;d25yZXYueG1sUEsFBgAAAAAEAAQA9QAAAIgDAAAAAA==&#10;" fillcolor="#c6d9f1 [671]" strokecolor="#243f60 [1604]" strokeweight="1pt">
                  <v:path arrowok="t"/>
                  <o:lock v:ext="edit" aspectratio="t"/>
                  <v:textbox inset="0,0,0,0">
                    <w:txbxContent>
                      <w:p w14:paraId="3D119C79"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67ACA67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46 Pantalla" o:spid="_x0000_s1064" type="#_x0000_t134" style="position:absolute;left:41361;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sMA&#10;AADcAAAADwAAAGRycy9kb3ducmV2LnhtbERPTWvCQBC9C/0PyxR6MxulSptmldJS0IKFJoLXSXaa&#10;BLOzIbua+O+7guBtHu9z0vVoWnGm3jWWFcyiGARxaXXDlYJ9/jV9AeE8ssbWMim4kIP16mGSYqLt&#10;wL90znwlQgi7BBXU3neJlK6syaCLbEccuD/bG/QB9pXUPQ4h3LRyHsdLabDh0FBjRx81lcfsZBTs&#10;usXrIdvp/HPYfj//LPbFAfNCqafH8f0NhKfR38U390aH+fEcrs+EC+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esMAAADcAAAADwAAAAAAAAAAAAAAAACYAgAAZHJzL2Rv&#10;d25yZXYueG1sUEsFBgAAAAAEAAQA9QAAAIgDAAAAAA==&#10;" fillcolor="#d8d8d8 [2732]" strokecolor="#243f60 [1604]" strokeweight=".25pt">
                  <v:textbox style="layout-flow:vertical;mso-layout-flow-alt:bottom-to-top" inset="0,0,0,0">
                    <w:txbxContent>
                      <w:p w14:paraId="20867604"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47 Conector recto" o:spid="_x0000_s1065" style="position:absolute;visibility:visible;mso-wrap-style:square" from="43468,39850" to="43511,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ooScEAAADcAAAADwAAAGRycy9kb3ducmV2LnhtbERPS2vCQBC+F/wPywheiu5qoUh0FREt&#10;hZ7qA69jdkyC2dmQncb033cLhd7m43vOct37WnXUxiqwhenEgCLOg6u4sHA67sdzUFGQHdaBycI3&#10;RVivBk9LzFx48Cd1BylUCuGYoYVSpMm0jnlJHuMkNMSJu4XWoyTYFtq1+EjhvtYzY161x4pTQ4kN&#10;bUvK74cvb2E7vbxdxBhn8h2euw953vsrWTsa9psFKKFe/sV/7neX5psX+H0mXaBX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WihJwQAAANwAAAAPAAAAAAAAAAAAAAAA&#10;AKECAABkcnMvZG93bnJldi54bWxQSwUGAAAAAAQABAD5AAAAjwMAAAAA&#10;" strokecolor="#4579b8 [3044]" strokeweight=".25pt"/>
                <v:roundrect id="42 Rectángulo redondeado" o:spid="_x0000_s1066" style="position:absolute;left:47904;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xucMA&#10;AADcAAAADwAAAGRycy9kb3ducmV2LnhtbERPTWsCMRC9C/0PYYTeNGtbRLZGkRap4KG6thRvw2bc&#10;rN1MliTq9t83guBtHu9zpvPONuJMPtSOFYyGGQji0umaKwVfu+VgAiJEZI2NY1LwRwHms4feFHPt&#10;LrylcxErkUI45KjAxNjmUobSkMUwdC1x4g7OW4wJ+kpqj5cUbhv5lGVjabHm1GCwpTdD5W9xsgo+&#10;l6vv/fsz+iKu64/qxxyLTdgp9djvFq8gInXxLr65VzrNz17g+ky6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dxucMAAADcAAAADwAAAAAAAAAAAAAAAACYAgAAZHJzL2Rv&#10;d25yZXYueG1sUEsFBgAAAAAEAAQA9QAAAIgDAAAAAA==&#10;" fillcolor="#c6d9f1 [671]" strokecolor="#243f60 [1604]" strokeweight="1pt">
                  <v:path arrowok="t"/>
                  <o:lock v:ext="edit" aspectratio="t"/>
                  <v:textbox inset="0,0,0,0">
                    <w:txbxContent>
                      <w:p w14:paraId="43FD3B9A"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64E4688C"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43 Pantalla" o:spid="_x0000_s1067" type="#_x0000_t134" style="position:absolute;left:47010;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mDsMA&#10;AADcAAAADwAAAGRycy9kb3ducmV2LnhtbERPTWvCQBC9F/wPywjedGMxRaOrSEuhFRRMBK9jdkyC&#10;2dmQ3Zr037sFobd5vM9ZbXpTizu1rrKsYDqJQBDnVldcKDhln+M5COeRNdaWScEvOdisBy8rTLTt&#10;+Ej31BcihLBLUEHpfZNI6fKSDLqJbYgDd7WtQR9gW0jdYhfCTS1fo+hNGqw4NJTY0HtJ+S39MQr2&#10;Tbw4p3udfXTfu9khPl3OmF2UGg377RKEp97/i5/uLx3mRzH8PR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xmDsMAAADcAAAADwAAAAAAAAAAAAAAAACYAgAAZHJzL2Rv&#10;d25yZXYueG1sUEsFBgAAAAAEAAQA9QAAAIgDAAAAAA==&#10;" fillcolor="#d8d8d8 [2732]" strokecolor="#243f60 [1604]" strokeweight=".25pt">
                  <v:textbox style="layout-flow:vertical;mso-layout-flow-alt:bottom-to-top" inset="0,0,0,0">
                    <w:txbxContent>
                      <w:p w14:paraId="6DC7BC86"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44 Conector recto" o:spid="_x0000_s1068" style="position:absolute;flip:x;visibility:visible;mso-wrap-style:square" from="49159,39936" to="49159,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F+/8EAAADcAAAADwAAAGRycy9kb3ducmV2LnhtbERPTYvCMBC9C/6HMAveNK2CSNcoy4Ii&#10;Xha14HVoZpuyzaQmUeu/NwuCt3m8z1mue9uKG/nQOFaQTzIQxJXTDdcKytNmvAARIrLG1jEpeFCA&#10;9Wo4WGKh3Z0PdDvGWqQQDgUqMDF2hZShMmQxTFxHnLhf5y3GBH0ttcd7CretnGbZXFpsODUY7Ojb&#10;UPV3vFoFh3w/m17K3GzPZ3851T+L664KSo0++q9PEJH6+Ba/3Dud5mdz+H8mXSB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gX7/wQAAANwAAAAPAAAAAAAAAAAAAAAA&#10;AKECAABkcnMvZG93bnJldi54bWxQSwUGAAAAAAQABAD5AAAAjwMAAAAA&#10;" strokecolor="#4579b8 [3044]" strokeweight=".25pt"/>
                <v:roundrect id="39 Rectángulo redondeado" o:spid="_x0000_s1069" style="position:absolute;left:53553;top:37426;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XvzsMA&#10;AADcAAAADwAAAGRycy9kb3ducmV2LnhtbERPTWsCMRC9C/0PYYTeNGsLVbZGkRap4KG6thRvw2bc&#10;rN1MliTq9t83guBtHu9zpvPONuJMPtSOFYyGGQji0umaKwVfu+VgAiJEZI2NY1LwRwHms4feFHPt&#10;LrylcxErkUI45KjAxNjmUobSkMUwdC1x4g7OW4wJ+kpqj5cUbhv5lGUv0mLNqcFgS2+Gyt/iZBV8&#10;Llff+/dn9EVc1x/VjzkWm7BT6rHfLV5BROriXXxzr3San43h+ky6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XvzsMAAADcAAAADwAAAAAAAAAAAAAAAACYAgAAZHJzL2Rv&#10;d25yZXYueG1sUEsFBgAAAAAEAAQA9QAAAIgDAAAAAA==&#10;" fillcolor="#c6d9f1 [671]" strokecolor="#243f60 [1604]" strokeweight="1pt">
                  <v:path arrowok="t"/>
                  <o:lock v:ext="edit" aspectratio="t"/>
                  <v:textbox inset="0,0,0,0">
                    <w:txbxContent>
                      <w:p w14:paraId="465D02CD"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9415F44"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40 Pantalla" o:spid="_x0000_s1070" type="#_x0000_t134" style="position:absolute;left:52658;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3JkMYA&#10;AADcAAAADwAAAGRycy9kb3ducmV2LnhtbESPQWvCQBCF74X+h2UKvenGotJGVxGL0BYUTASvY3ZM&#10;gtnZkN2a9N93DoXeZnhv3vtmuR5co+7Uhdqzgck4AUVceFtzaeCU70avoEJEtth4JgM/FGC9enxY&#10;Ymp9z0e6Z7FUEsIhRQNVjG2qdSgqchjGviUW7eo7h1HWrtS2w17CXaNfkmSuHdYsDRW2tK2ouGXf&#10;zsC+nb2ds73N3/vPr+lhdrqcMb8Y8/w0bBagIg3x3/x3/WEFPxFaeUY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3JkMYAAADcAAAADwAAAAAAAAAAAAAAAACYAgAAZHJz&#10;L2Rvd25yZXYueG1sUEsFBgAAAAAEAAQA9QAAAIsDAAAAAA==&#10;" fillcolor="#d8d8d8 [2732]" strokecolor="#243f60 [1604]" strokeweight=".25pt">
                  <v:textbox style="layout-flow:vertical;mso-layout-flow-alt:bottom-to-top" inset="0,0,0,0">
                    <w:txbxContent>
                      <w:p w14:paraId="3AB72E1A"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41 Conector recto" o:spid="_x0000_s1071" style="position:absolute;flip:x;visibility:visible;mso-wrap-style:square" from="54807,39936" to="54807,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7qjcEAAADcAAAADwAAAGRycy9kb3ducmV2LnhtbERPS4vCMBC+C/sfwgjeNK3CotUosqCI&#10;F/EBXodmtinbTGoStf57s7Cwt/n4nrNYdbYRD/KhdqwgH2UgiEuna64UXM6b4RREiMgaG8ek4EUB&#10;VsuP3gIL7Z58pMcpViKFcChQgYmxLaQMpSGLYeRa4sR9O28xJugrqT0+U7ht5DjLPqXFmlODwZa+&#10;DJU/p7tVcMz3k/Htkpvt9epv5+owve/KoNSg363nICJ18V/8597pND+bwe8z6QK5f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HuqNwQAAANwAAAAPAAAAAAAAAAAAAAAA&#10;AKECAABkcnMvZG93bnJldi54bWxQSwUGAAAAAAQABAD5AAAAjwMAAAAA&#10;" strokecolor="#4579b8 [3044]" strokeweight=".25pt"/>
                <v:shape id="9 CuadroTexto" o:spid="_x0000_s1072" type="#_x0000_t202" style="position:absolute;left:53363;top:47338;width:13602;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11930E43"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Dominio</w:t>
                        </w:r>
                      </w:p>
                      <w:p w14:paraId="5196CA99"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B050"/>
                            <w:kern w:val="24"/>
                            <w:sz w:val="16"/>
                            <w:szCs w:val="16"/>
                          </w:rPr>
                          <w:t>administrativo</w:t>
                        </w:r>
                        <w:proofErr w:type="gramEnd"/>
                        <w:r>
                          <w:rPr>
                            <w:rFonts w:ascii="Arial Narrow" w:hAnsi="Arial Narrow" w:cstheme="minorBidi"/>
                            <w:b/>
                            <w:bCs/>
                            <w:color w:val="00B050"/>
                            <w:kern w:val="24"/>
                            <w:sz w:val="16"/>
                            <w:szCs w:val="16"/>
                          </w:rPr>
                          <w:t xml:space="preserve"> </w:t>
                        </w:r>
                        <w:r>
                          <w:rPr>
                            <w:rFonts w:ascii="Arial Narrow" w:hAnsi="Arial Narrow" w:cstheme="minorBidi"/>
                            <w:b/>
                            <w:bCs/>
                            <w:i/>
                            <w:iCs/>
                            <w:color w:val="00B050"/>
                            <w:kern w:val="24"/>
                            <w:sz w:val="16"/>
                            <w:szCs w:val="16"/>
                          </w:rPr>
                          <w:t>6</w:t>
                        </w:r>
                      </w:p>
                    </w:txbxContent>
                  </v:textbox>
                </v:shape>
                <v:roundrect id="2 Rectángulo redondeado" o:spid="_x0000_s1073" style="position:absolute;left:59212;top:40188;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lE/MMA&#10;AADcAAAADwAAAGRycy9kb3ducmV2LnhtbERPTWsCMRC9F/ofwgjeanYrlLIaRSxSoYe2qyLehs24&#10;Wd1MliTV7b9vCoK3ebzPmc5724oL+dA4VpCPMhDEldMN1wq2m9XTK4gQkTW2jknBLwWYzx4fplho&#10;d+VvupSxFimEQ4EKTIxdIWWoDFkMI9cRJ+7ovMWYoK+l9nhN4baVz1n2Ii02nBoMdrQ0VJ3LH6vg&#10;c7XeHd7G6Mv40bzXe3Mqv8JGqeGgX0xAROrjXXxzr3Wan+fw/0y6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lE/MMAAADcAAAADwAAAAAAAAAAAAAAAACYAgAAZHJzL2Rv&#10;d25yZXYueG1sUEsFBgAAAAAEAAQA9QAAAIgDAAAAAA==&#10;" fillcolor="#c6d9f1 [671]" strokecolor="#243f60 [1604]" strokeweight="1pt">
                  <v:path arrowok="t"/>
                  <o:lock v:ext="edit" aspectratio="t"/>
                  <v:textbox inset="0,0,0,0">
                    <w:txbxContent>
                      <w:p w14:paraId="61BC486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0F331DB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3 Pantalla" o:spid="_x0000_s1074" type="#_x0000_t134" style="position:absolute;left:58317;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op8MA&#10;AADcAAAADwAAAGRycy9kb3ducmV2LnhtbERPTWvCQBC9F/oflin0phullhqzSqkIVlBoInidZMck&#10;mJ0N2dWk/94tCL3N431OshpMI27Uudqygsk4AkFcWF1zqeCYbUYfIJxH1thYJgW/5GC1fH5KMNa2&#10;5x+6pb4UIYRdjAoq79tYSldUZNCNbUscuLPtDPoAu1LqDvsQbho5jaJ3abDm0FBhS18VFZf0ahTs&#10;29n8lO51tu6/d2+H2TE/YZYr9foyfC5AeBr8v/jh3uowfzKFv2fCB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op8MAAADcAAAADwAAAAAAAAAAAAAAAACYAgAAZHJzL2Rv&#10;d25yZXYueG1sUEsFBgAAAAAEAAQA9QAAAIgDAAAAAA==&#10;" fillcolor="#d8d8d8 [2732]" strokecolor="#243f60 [1604]" strokeweight=".25pt">
                  <v:textbox style="layout-flow:vertical;mso-layout-flow-alt:bottom-to-top" inset="0,0,0,0">
                    <w:txbxContent>
                      <w:p w14:paraId="69776400"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5 Conector recto" o:spid="_x0000_s1075" style="position:absolute;flip:x;visibility:visible;mso-wrap-style:square" from="60466,42698" to="60466,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LusEAAADcAAAADwAAAGRycy9kb3ducmV2LnhtbERPTYvCMBC9C/6HMAveNK3CIl2jyIIi&#10;Xha14HVoZptiM6lJ1PrvNwuCt3m8z1msetuKO/nQOFaQTzIQxJXTDdcKytNmPAcRIrLG1jEpeFKA&#10;1XI4WGCh3YMPdD/GWqQQDgUqMDF2hZShMmQxTFxHnLhf5y3GBH0ttcdHCretnGbZp7TYcGow2NG3&#10;oepyvFkFh3w/m17L3GzPZ3891T/z264KSo0++vUXiEh9fItf7p1O8/MZ/D+TLp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L0u6wQAAANwAAAAPAAAAAAAAAAAAAAAA&#10;AKECAABkcnMvZG93bnJldi54bWxQSwUGAAAAAAQABAD5AAAAjwMAAAAA&#10;" strokecolor="#4579b8 [3044]" strokeweight=".25pt"/>
                <v:line id="58 Conector recto" o:spid="_x0000_s1076" style="position:absolute;visibility:visible;mso-wrap-style:square" from="9589,40499" to="9871,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om4MEAAADcAAAADwAAAGRycy9kb3ducmV2LnhtbERPTWvCQBC9F/wPywi9lLqbIqVEVxHR&#10;UuhJbfE6ZsckmJ0N2WlM/31XEHqbx/uc+XLwjeqpi3VgC9nEgCIugqu5tPB12D6/gYqC7LAJTBZ+&#10;KcJyMXqYY+7ClXfU76VUKYRjjhYqkTbXOhYVeYyT0BIn7hw6j5JgV2rX4TWF+0a/GPOqPdacGips&#10;aV1Rcdn/eAvr7Ph+FGOcKTb43X/K09afyNrH8bCagRIa5F98d3+4ND+bwu2ZdIFe/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aibgwQAAANwAAAAPAAAAAAAAAAAAAAAA&#10;AKECAABkcnMvZG93bnJldi54bWxQSwUGAAAAAAQABAD5AAAAjwMAAAAA&#10;" strokecolor="#4579b8 [3044]" strokeweight=".25pt"/>
                <v:shape id="70 CuadroTexto" o:spid="_x0000_s1077" type="#_x0000_t202" style="position:absolute;left:10233;top:23864;width:4514;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14:paraId="67A4F702"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group id="160 Grupo" o:spid="_x0000_s1078" style="position:absolute;left:26645;top:26670;width:16821;height:13525" coordorigin="26645,26670" coordsize="18096,18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89 Forma libre" o:spid="_x0000_s1079" style="position:absolute;left:26645;top:26767;width:5599;height:14451;visibility:visible;mso-wrap-style:square;v-text-anchor:middle" coordsize="671893,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XJO8AA&#10;AADcAAAADwAAAGRycy9kb3ducmV2LnhtbERPy6rCMBDdC/5DGMHdNfUKXqlGES+CgoIvEHdDM7al&#10;zaQ0UevfG0FwN4fznMmsMaW4U+1yywr6vQgEcWJ1zqmC03H5MwLhPLLG0jIpeJKD2bTdmmCs7YP3&#10;dD/4VIQQdjEqyLyvYildkpFB17MVceCutjboA6xTqWt8hHBTyt8oGkqDOYeGDCtaZJQUh5tRkG7/&#10;z83S7q63gvLjZb05c2EGSnU7zXwMwlPjv+KPe6XD/P4fvJ8JF8jp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XJO8AAAADcAAAADwAAAAAAAAAAAAAAAACYAgAAZHJzL2Rvd25y&#10;ZXYueG1sUEsFBgAAAAAEAAQA9QAAAIUDAAAAAA==&#10;" path="m23821,993120c,909639,131833,453552,239845,288032,347857,122512,563066,190550,671893,e" filled="f" strokecolor="red" strokeweight="1.5pt">
                    <v:path arrowok="t" o:connecttype="custom" o:connectlocs="165,21028;1666,6099;4666,0" o:connectangles="0,0,0"/>
                  </v:shape>
                  <v:shape id="91 Forma libre" o:spid="_x0000_s1080" style="position:absolute;left:32355;top:26767;width:492;height:18361;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sAEMQA&#10;AADcAAAADwAAAGRycy9kb3ducmV2LnhtbESPQYvCQAyF78L+hyEL3nSquCLVURZhVRQP6h72GDux&#10;LXYypTNq/febg+At4b2892W2aF2l7tSE0rOBQT8BRZx5W3Ju4Pf005uAChHZYuWZDDwpwGL+0Zlh&#10;av2DD3Q/xlxJCIcUDRQx1qnWISvIYej7mli0i28cRlmbXNsGHxLuKj1MkrF2WLI0FFjTsqDserw5&#10;A/uRd20yOS+r9fBvt/I57r62aEz3s/2egorUxrf5db2xgj8QWnlGJt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ABDEAAAA3AAAAA8AAAAAAAAAAAAAAAAAmAIAAGRycy9k&#10;b3ducmV2LnhtbFBLBQYAAAAABAAEAPUAAACJAwAAAAA=&#10;" path="m,993120c93306,739638,108012,453552,216024,288032,324036,122512,539245,190550,648072,e" filled="f" strokecolor="red" strokeweight="1.5pt">
                    <v:path arrowok="t" o:connecttype="custom" o:connectlocs="0,33946;12,9845;37,0" o:connectangles="0,0,0"/>
                  </v:shape>
                  <v:shape id="92 Forma libre" o:spid="_x0000_s1081" style="position:absolute;left:33864;top:26670;width:10877;height:14548;flip:x;visibility:visible;mso-wrap-style:square;v-text-anchor:middle" coordsize="65262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EoVcQA&#10;AADcAAAADwAAAGRycy9kb3ducmV2LnhtbERPS2vCQBC+C/6HZYTedGMO1qSuIrZCDkXqA+lxzE6T&#10;1OxsyG41/nu3IHibj+85s0VnanGh1lWWFYxHEQji3OqKCwWH/Xo4BeE8ssbaMim4kYPFvN+bYart&#10;lbd02flChBB2KSoovW9SKV1ekkE3sg1x4H5sa9AH2BZSt3gN4aaWcRRNpMGKQ0OJDa1Kys+7P6Pg&#10;65Oy783yePqI99ktOUW/x9f4XamXQbd8A+Gp80/xw53pMH+cwP8z4QI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BKFXEAAAA3AAAAA8AAAAAAAAAAAAAAAAAmAIAAGRycy9k&#10;b3ducmV2LnhtbFBLBQYAAAAABAAEAPUAAACJAwAAAAA=&#10;" path="m4550,993120c,870728,112562,453552,220574,288032,328586,122512,543795,190550,652622,e" filled="f" strokecolor="red" strokeweight="1.5pt">
                    <v:path arrowok="t" o:connecttype="custom" o:connectlocs="126,21312;6127,6181;18128,0" o:connectangles="0,0,0"/>
                  </v:shape>
                </v:group>
                <v:group id="161 Grupo" o:spid="_x0000_s1082" style="position:absolute;left:48415;top:26574;width:6024;height:10859" coordorigin="48415,26574" coordsize="6480,1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110 Forma libre" o:spid="_x0000_s1083" style="position:absolute;left:48955;top:26574;width:5941;height:14549;flip:x;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26BL8A&#10;AADcAAAADwAAAGRycy9kb3ducmV2LnhtbERPzWrCQBC+F3yHZQQvpW7MQSV1FS2Iuap9gCE7TUKz&#10;s+nuNMa3dwsFb/Px/c5mN7pODRRi69nAYp6BIq68bbk28Hk9vq1BRUG22HkmA3eKsNtOXjZYWH/j&#10;Mw0XqVUK4ViggUakL7SOVUMO49z3xIn78sGhJBhqbQPeUrjrdJ5lS+2w5dTQYE8fDVXfl19n4HQY&#10;VkHKVVf+nMa4lty9Wu2MmU3H/TsooVGe4n93adP8fAF/z6QL9PY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boEvwAAANwAAAAPAAAAAAAAAAAAAAAAAJgCAABkcnMvZG93bnJl&#10;di54bWxQSwUGAAAAAAQABAD1AAAAhAMAAAAA&#10;" path="m,993120c2076,792907,108012,453552,216024,288032,324036,122512,539245,190550,648072,e" filled="f" strokecolor="red" strokeweight="1.5pt">
                    <v:path arrowok="t" o:connecttype="custom" o:connectlocs="0,21313;1815,6181;5446,0" o:connectangles="0,0,0"/>
                  </v:shape>
                  <v:shape id="111 Forma libre" o:spid="_x0000_s1084" style="position:absolute;left:48415;top:26672;width:1239;height:14451;flip:x;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8kc78A&#10;AADcAAAADwAAAGRycy9kb3ducmV2LnhtbERPzWrCQBC+C77DMkIvopvmUCV1lVoQc636AEN2TEKz&#10;s+nuGOPbdwsFb/Px/c5mN7pODRRi69nA6zIDRVx523Jt4HI+LNagoiBb7DyTgQdF2G2nkw0W1t/5&#10;i4aT1CqFcCzQQCPSF1rHqiGHcel74sRdfXAoCYZa24D3FO46nWfZm3bYcmposKfPhqrv080ZOO6H&#10;VZBy1ZU/xzGuJXdzq50xL7Px4x2U0ChP8b+7tGl+nsPfM+kCv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7yRzvwAAANwAAAAPAAAAAAAAAAAAAAAAAJgCAABkcnMvZG93bnJl&#10;di54bWxQSwUGAAAAAAQABAD1AAAAhAMAAAAA&#10;" path="m,993120c93306,739638,108012,453552,216024,288032,324036,122512,539245,190550,648072,e" filled="f" strokecolor="red" strokeweight="1.5pt">
                    <v:path arrowok="t" o:connecttype="custom" o:connectlocs="0,21028;79,6099;237,0" o:connectangles="0,0,0"/>
                  </v:shape>
                </v:group>
                <v:roundrect id="117 Rectángulo redondeado" o:spid="_x0000_s1085" style="position:absolute;left:26609;top:12440;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u1rcMA&#10;AADcAAAADwAAAGRycy9kb3ducmV2LnhtbERPTWsCMRC9C/6HMIXeNFsFka1RSkUqeLDutpTehs10&#10;s+1msiRR139vCoK3ebzPWax624oT+dA4VvA0zkAQV043XCv4KDejOYgQkTW2jknBhQKslsPBAnPt&#10;znygUxFrkUI45KjAxNjlUobKkMUwdh1x4n6ctxgT9LXUHs8p3LZykmUzabHh1GCwo1dD1V9xtAr2&#10;m+3n93qKvoi75q3+Mr/FeyiVenzoX55BROrjXXxzb3WaP5nC/zPp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u1rcMAAADcAAAADwAAAAAAAAAAAAAAAACYAgAAZHJzL2Rv&#10;d25yZXYueG1sUEsFBgAAAAAEAAQA9QAAAIgDAAAAAA==&#10;" fillcolor="#c6d9f1 [671]" strokecolor="#243f60 [1604]" strokeweight="1pt">
                  <v:path arrowok="t"/>
                  <o:lock v:ext="edit" aspectratio="t"/>
                  <v:textbox inset="0,0,0,0">
                    <w:txbxContent>
                      <w:p w14:paraId="57A79B40"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PCN</w:t>
                        </w:r>
                      </w:p>
                    </w:txbxContent>
                  </v:textbox>
                </v:roundrect>
                <v:shape id="156 Forma libre" o:spid="_x0000_s1086" style="position:absolute;left:65622;top:26670;width:457;height:10668;flip:x;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ZnMAA&#10;AADcAAAADwAAAGRycy9kb3ducmV2LnhtbERPzWrCQBC+F/oOyxS8FN00FJXUVawg5qrtAwzZMQnN&#10;zsbdMaZv3y0I3ubj+53VZnSdGijE1rOBt1kGirjytuXawPfXfroEFQXZYueZDPxShM36+WmFhfU3&#10;PtJwklqlEI4FGmhE+kLrWDXkMM58T5y4sw8OJcFQaxvwlsJdp/Msm2uHLaeGBnvaNVT9nK7OwOFz&#10;WAQpF115OYxxKbl7tdoZM3kZtx+ghEZ5iO/u0qb5+Tv8P5Mu0O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oZnMAAAADcAAAADwAAAAAAAAAAAAAAAACYAgAAZHJzL2Rvd25y&#10;ZXYueG1sUEsFBgAAAAAEAAQA9QAAAIUDAAAAAA==&#10;" path="m,993120c93306,739638,108012,453552,216024,288032,324036,122512,539245,190550,648072,e" filled="f" strokecolor="red" strokeweight="1.5pt">
                  <v:path arrowok="t" o:connecttype="custom" o:connectlocs="0,11459;11,3324;32,0" o:connectangles="0,0,0"/>
                </v:shape>
                <v:roundrect id="86 Rectángulo redondeado" o:spid="_x0000_s1087" style="position:absolute;left:47706;top:24103;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6IQsMA&#10;AADcAAAADwAAAGRycy9kb3ducmV2LnhtbERPTWsCMRC9C/0PYQreNKtiKVujSEUUPFjXltLbsJlu&#10;tt1MliTq+u9NoeBtHu9zZovONuJMPtSOFYyGGQji0umaKwXvx/XgGUSIyBobx6TgSgEW84feDHPt&#10;LnygcxErkUI45KjAxNjmUobSkMUwdC1x4r6dtxgT9JXUHi8p3DZynGVP0mLNqcFgS6+Gyt/iZBXs&#10;19uPr9UEfRF39ab6ND/FWzgq1X/sli8gInXxLv53b3WaP57C3zPpAj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6IQsMAAADcAAAADwAAAAAAAAAAAAAAAACYAgAAZHJzL2Rv&#10;d25yZXYueG1sUEsFBgAAAAAEAAQA9QAAAIgDAAAAAA==&#10;" fillcolor="#c6d9f1 [671]" strokecolor="#243f60 [1604]" strokeweight="1pt">
                  <v:path arrowok="t"/>
                  <o:lock v:ext="edit" aspectratio="t"/>
                  <v:textbox inset="0,0,0,0">
                    <w:txbxContent>
                      <w:p w14:paraId="7DA01188"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v:textbox>
                </v:roundrect>
                <v:roundrect id="154 Rectángulo redondeado" o:spid="_x0000_s1088" style="position:absolute;left:64856;top:24103;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wWNcMA&#10;AADcAAAADwAAAGRycy9kb3ducmV2LnhtbERPTWsCMRC9C/0PYYTeNKsFka1RxCIVemjdVUpvw2a6&#10;Wd1MliTV7b9vCoK3ebzPWax624oL+dA4VjAZZyCIK6cbrhUcyu1oDiJEZI2tY1LwSwFWy4fBAnPt&#10;rrynSxFrkUI45KjAxNjlUobKkMUwdh1x4r6dtxgT9LXUHq8p3LZymmUzabHh1GCwo42h6lz8WAXv&#10;293x6+UJfRHfmtf605yKj1Aq9Tjs188gIvXxLr65dzrNn87g/5l0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wWNcMAAADcAAAADwAAAAAAAAAAAAAAAACYAgAAZHJzL2Rv&#10;d25yZXYueG1sUEsFBgAAAAAEAAQA9QAAAIgDAAAAAA==&#10;" fillcolor="#c6d9f1 [671]" strokecolor="#243f60 [1604]" strokeweight="1pt">
                  <v:path arrowok="t"/>
                  <o:lock v:ext="edit" aspectratio="t"/>
                  <v:textbox inset="0,0,0,0">
                    <w:txbxContent>
                      <w:p w14:paraId="66BFC10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v:textbox>
                </v:roundrect>
                <v:roundrect id="118 Rectángulo redondeado" o:spid="_x0000_s1089" style="position:absolute;left:55012;top:12350;width:2509;height:250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CzrsMA&#10;AADcAAAADwAAAGRycy9kb3ducmV2LnhtbERPTWsCMRC9C/0PYQreNKuCLVujSEUUPFjXltLbsJlu&#10;tt1MliTq+u9NoeBtHu9zZovONuJMPtSOFYyGGQji0umaKwXvx/XgGUSIyBobx6TgSgEW84feDHPt&#10;LnygcxErkUI45KjAxNjmUobSkMUwdC1x4r6dtxgT9JXUHi8p3DZynGVTabHm1GCwpVdD5W9xsgr2&#10;6+3H12qCvoi7elN9mp/iLRyV6j92yxcQkbp4F/+7tzrNHz/B3zPpAj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CzrsMAAADcAAAADwAAAAAAAAAAAAAAAACYAgAAZHJzL2Rv&#10;d25yZXYueG1sUEsFBgAAAAAEAAQA9QAAAIgDAAAAAA==&#10;" fillcolor="#c6d9f1 [671]" strokecolor="#243f60 [1604]" strokeweight="1pt">
                  <v:path arrowok="t"/>
                  <o:lock v:ext="edit" aspectratio="t"/>
                  <v:textbox inset="0,0,0,0">
                    <w:txbxContent>
                      <w:p w14:paraId="563F196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PCN</w:t>
                        </w:r>
                      </w:p>
                    </w:txbxContent>
                  </v:textbox>
                </v:roundrect>
                <v:roundrect id="84 Rectángulo redondeado" o:spid="_x0000_s1090" style="position:absolute;left:31187;top:24103;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ENMUA&#10;AADcAAAADwAAAGRycy9kb3ducmV2LnhtbESPQWsCMRSE74X+h/CE3mpWS6WsRhFFKvTQuiri7bF5&#10;btZuXpYk1e2/N0Khx2FmvmEms8424kI+1I4VDPoZCOLS6ZorBbvt6vkNRIjIGhvHpOCXAsymjw8T&#10;zLW78oYuRaxEgnDIUYGJsc2lDKUhi6HvWuLknZy3GJP0ldQerwluGznMspG0WHNaMNjSwlD5XfxY&#10;BZ+r9f64fEFfxI/6vTqYc/EVtko99br5GESkLv6H/9prrWD4OoL7mXQE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wQ0xQAAANwAAAAPAAAAAAAAAAAAAAAAAJgCAABkcnMv&#10;ZG93bnJldi54bWxQSwUGAAAAAAQABAD1AAAAigMAAAAA&#10;" fillcolor="#c6d9f1 [671]" strokecolor="#243f60 [1604]" strokeweight="1pt">
                  <v:path arrowok="t"/>
                  <o:lock v:ext="edit" aspectratio="t"/>
                  <v:textbox inset="0,0,0,0">
                    <w:txbxContent>
                      <w:p w14:paraId="7E34E990"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v:textbox>
                </v:roundrect>
                <v:group id="180 Grupo" o:spid="_x0000_s1091" style="position:absolute;left:3859;top:26574;width:17088;height:10859" coordorigin="3859,26574" coordsize="18383,14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181 Forma libre" o:spid="_x0000_s1092" style="position:absolute;left:3859;top:26672;width:12002;height:14451;visibility:visible;mso-wrap-style:square;v-text-anchor:middle" coordsize="671893,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F9cIA&#10;AADcAAAADwAAAGRycy9kb3ducmV2LnhtbERPTWvCQBC9C/6HZQRvZqOilNRVikWooGBNQXobsmMS&#10;kp0N2TWJ/949FHp8vO/NbjC16Kh1pWUF8ygGQZxZXXKu4Cc9zN5AOI+ssbZMCp7kYLcdjzaYaNvz&#10;N3VXn4sQwi5BBYX3TSKlywoy6CLbEAfubluDPsA2l7rFPoSbWi7ieC0NlhwaCmxoX1BWXR9GQX7+&#10;vA0He7k/KirT3+PpxpVZKjWdDB/vIDwN/l/85/7SCharsDacCUdA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hYX1wgAAANwAAAAPAAAAAAAAAAAAAAAAAJgCAABkcnMvZG93&#10;bnJldi54bWxQSwUGAAAAAAQABAD1AAAAhwMAAAAA&#10;" path="m23821,993120c,909639,131833,453552,239845,288032,347857,122512,563066,190550,671893,e" filled="f" strokecolor="red" strokeweight="1.5pt">
                    <v:path arrowok="t" o:connecttype="custom" o:connectlocs="760,21028;7653,6099;21438,0" o:connectangles="0,0,0"/>
                  </v:shape>
                  <v:shape id="182 Forma libre" o:spid="_x0000_s1093" style="position:absolute;left:10173;top:26672;width:6209;height:14591;visibility:visible;mso-wrap-style:square;v-text-anchor:middle" coordsize="655286,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j6g8UA&#10;AADcAAAADwAAAGRycy9kb3ducmV2LnhtbESP0WrCQBRE3wX/YbmFvkizqUVpU9dgCgX7Ipj2Ay7Z&#10;a7I1ezdkNxr9+m5B8HGYmTPMKh9tK07Ue+NYwXOSgiCunDZcK/j5/nx6BeEDssbWMSm4kId8PZ2s&#10;MNPuzHs6laEWEcI+QwVNCF0mpa8asugT1xFH7+B6iyHKvpa6x3OE21bO03QpLRqOCw129NFQdSwH&#10;q8AffLV9+d19mQLNsS2K2VUWg1KPD+PmHUSgMdzDt/ZWK5gv3u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qDxQAAANwAAAAPAAAAAAAAAAAAAAAAAJgCAABkcnMv&#10;ZG93bnJldi54bWxQSwUGAAAAAAQABAD1AAAAigMAAAAA&#10;" path="m7214,993120c,860836,115226,453552,223238,288032,331250,122512,546459,190550,655286,e" filled="f" strokecolor="red" strokeweight="1.5pt">
                    <v:path arrowok="t" o:connecttype="custom" o:connectlocs="65,21438;2004,6218;5883,0" o:connectangles="0,0,0"/>
                  </v:shape>
                  <v:shape id="183 Forma libre" o:spid="_x0000_s1094" style="position:absolute;left:17399;top:26574;width:4844;height:14549;flip:x;visibility:visible;mso-wrap-style:square;v-text-anchor:middle" coordsize="65262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iTycMA&#10;AADcAAAADwAAAGRycy9kb3ducmV2LnhtbERPy4rCMBTdC/MP4Q6403S60JlqFPEBXYiMOojLa3Nt&#10;6zQ3pYla/94sBJeH8x5PW1OJGzWutKzgqx+BIM6sLjlX8Ldf9b5BOI+ssbJMCh7kYDr56Iwx0fbO&#10;W7rtfC5CCLsEFRTe14mULivIoOvbmjhwZ9sY9AE2udQN3kO4qWQcRQNpsOTQUGBN84Ky/93VKPhd&#10;U3rczA6nZbxPHz+n6HIYxgulup/tbATCU+vf4pc71QriQZgfzoQjIC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iTycMAAADcAAAADwAAAAAAAAAAAAAAAACYAgAAZHJzL2Rv&#10;d25yZXYueG1sUEsFBgAAAAAEAAQA9QAAAIgDAAAAAA==&#10;" path="m4550,993120c,870728,112562,453552,220574,288032,328586,122512,543795,190550,652622,e" filled="f" strokecolor="red" strokeweight="1.5pt">
                    <v:path arrowok="t" o:connecttype="custom" o:connectlocs="25,21313;1215,6181;3595,0" o:connectangles="0,0,0"/>
                  </v:shape>
                </v:group>
                <v:roundrect id="159 Rectángulo redondeado" o:spid="_x0000_s1095" style="position:absolute;left:14339;top:24103;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jIisUA&#10;AADcAAAADwAAAGRycy9kb3ducmV2LnhtbESPQWsCMRSE74X+h/AKvdVstyBlNYpYpEIPbVdFvD02&#10;z83q5mVJUl3/vSkIHoeZ+YYZT3vbihP50DhW8DrIQBBXTjdcK1ivFi/vIEJE1tg6JgUXCjCdPD6M&#10;sdDuzL90KmMtEoRDgQpMjF0hZagMWQwD1xEnb++8xZikr6X2eE5w28o8y4bSYsNpwWBHc0PVsfyz&#10;Cr4Xy83u4w19Gb+az3prDuVPWCn1/NTPRiAi9fEevrWXWkE+zOH/TDoCcn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MiKxQAAANwAAAAPAAAAAAAAAAAAAAAAAJgCAABkcnMv&#10;ZG93bnJldi54bWxQSwUGAAAAAAQABAD1AAAAigMAAAAA&#10;" fillcolor="#c6d9f1 [671]" strokecolor="#243f60 [1604]" strokeweight="1pt">
                  <v:path arrowok="t"/>
                  <o:lock v:ext="edit" aspectratio="t"/>
                  <v:textbox inset="0,0,0,0">
                    <w:txbxContent>
                      <w:p w14:paraId="193DB76D"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PCR</w:t>
                        </w:r>
                      </w:p>
                    </w:txbxContent>
                  </v:textbox>
                </v:roundrec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209 Y" o:spid="_x0000_s1096" type="#_x0000_t123" style="position:absolute;left:9065;top:24581;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40CcMA&#10;AADcAAAADwAAAGRycy9kb3ducmV2LnhtbESPT4vCMBTE74LfITzBm6arUN1uo4iwiyfR6sHjo3n9&#10;wzYvtYna/fYbQfA4zMxvmHTdm0bcqXO1ZQUf0wgEcW51zaWC8+l7sgThPLLGxjIp+CMH69VwkGKi&#10;7YOPdM98KQKEXYIKKu/bREqXV2TQTW1LHLzCdgZ9kF0pdYePADeNnEVRLA3WHBYqbGlbUf6b3YyC&#10;/WERy80uo1tvr+djgZ+Xn1orNR71my8Qnnr/Dr/aO61gFs/heS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40CcMAAADcAAAADwAAAAAAAAAAAAAAAACYAgAAZHJzL2Rv&#10;d25yZXYueG1sUEsFBgAAAAAEAAQA9QAAAIgDAAAAAA==&#10;" fillcolor="#d8d8d8 [2732]" strokecolor="gray [1629]" strokeweight="1.5pt">
                  <v:path arrowok="t"/>
                  <o:lock v:ext="edit" aspectratio="t"/>
                </v:shape>
                <v:shape id="212 Forma libre" o:spid="_x0000_s1097" style="position:absolute;left:10875;top:26023;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VK8UA&#10;AADcAAAADwAAAGRycy9kb3ducmV2LnhtbESPzWvCQBTE7wX/h+UVvNVNRcSkWaUIlh700Kjg8ZF9&#10;+cDs25Bd8/Hfu4VCj8PM/IZJd6NpRE+dqy0reF9EIIhzq2suFVzOh7cNCOeRNTaWScFEDnbb2UuK&#10;ibYD/1Cf+VIECLsEFVTet4mULq/IoFvYljh4he0M+iC7UuoOhwA3jVxG0VoarDksVNjSvqL8nj2M&#10;gq/idr/G/Smb9hv2j8tJx+4YKzV/HT8/QHga/X/4r/2tFSzXK/g9E46A3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9UrxQAAANwAAAAPAAAAAAAAAAAAAAAAAJgCAABkcnMv&#10;ZG93bnJldi54bWxQSwUGAAAAAAQABAD1AAAAigMAAAAA&#10;" path="m,l723900,e" filled="f" strokecolor="red">
                  <v:path arrowok="t" o:connecttype="custom" o:connectlocs="0,0;1547,0" o:connectangles="0,0"/>
                </v:shape>
                <v:shape id="213 Forma libre" o:spid="_x0000_s1098" style="position:absolute;left:10889;top:25427;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wsMUA&#10;AADcAAAADwAAAGRycy9kb3ducmV2LnhtbESPzWvCQBTE7wX/h+UVvNVNBcWkWaUIlh700Kjg8ZF9&#10;+cDs25Bd8/Hfu4VCj8PM/IZJd6NpRE+dqy0reF9EIIhzq2suFVzOh7cNCOeRNTaWScFEDnbb2UuK&#10;ibYD/1Cf+VIECLsEFVTet4mULq/IoFvYljh4he0M+iC7UuoOhwA3jVxG0VoarDksVNjSvqL8nj2M&#10;gq/idr/G/Smb9hv2j8tJx+4YKzV/HT8/QHga/X/4r/2tFSzXK/g9E46A3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J3CwxQAAANwAAAAPAAAAAAAAAAAAAAAAAJgCAABkcnMv&#10;ZG93bnJldi54bWxQSwUGAAAAAAQABAD1AAAAigMAAAAA&#10;" path="m,l723900,e" filled="f" strokecolor="red">
                  <v:path arrowok="t" o:connecttype="custom" o:connectlocs="0,0;1547,0" o:connectangles="0,0"/>
                </v:shape>
                <v:shape id="219 Y" o:spid="_x0000_s1099" type="#_x0000_t123" style="position:absolute;left:25977;top:24581;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XkcIA&#10;AADcAAAADwAAAGRycy9kb3ducmV2LnhtbESPQYvCMBSE7wv+h/AEb2uqh65Wo4igeJK19uDx0Tzb&#10;YvNSm6j13xtB8DjMzDfMfNmZWtypdZVlBaNhBII4t7riQkF23PxOQDiPrLG2TAqe5GC56P3MMdH2&#10;wQe6p74QAcIuQQWl900ipctLMuiGtiEO3tm2Bn2QbSF1i48AN7UcR1EsDVYcFkpsaF1SfklvRsH+&#10;/y+Wq11Kt85es8MZp6dtpZUa9LvVDISnzn/Dn/ZOKxjHMbzPhCM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eZeRwgAAANwAAAAPAAAAAAAAAAAAAAAAAJgCAABkcnMvZG93&#10;bnJldi54bWxQSwUGAAAAAAQABAD1AAAAhwMAAAAA&#10;" fillcolor="#d8d8d8 [2732]" strokecolor="gray [1629]" strokeweight="1.5pt">
                  <v:path arrowok="t"/>
                  <o:lock v:ext="edit" aspectratio="t"/>
                </v:shape>
                <v:shape id="217 Forma libre" o:spid="_x0000_s1100" style="position:absolute;left:27787;top:26023;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lLXMUA&#10;AADcAAAADwAAAGRycy9kb3ducmV2LnhtbESPT2vCQBTE7wW/w/IK3uqmHqJJs0oRLD3ooVHB4yP7&#10;8gezb0N2TeK3dwuFHoeZ+Q2TbSfTioF611hW8L6IQBAXVjdcKTif9m9rEM4ja2wtk4IHOdhuZi8Z&#10;ptqO/END7isRIOxSVFB736VSuqImg25hO+LglbY36IPsK6l7HAPctHIZRbE02HBYqLGjXU3FLb8b&#10;BV/l9XZJhmP+2K3Z389HnbhDotT8dfr8AOFp8v/hv/a3VrCMV/B7JhwBu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UtcxQAAANwAAAAPAAAAAAAAAAAAAAAAAJgCAABkcnMv&#10;ZG93bnJldi54bWxQSwUGAAAAAAQABAD1AAAAigMAAAAA&#10;" path="m,l723900,e" filled="f" strokecolor="red">
                  <v:path arrowok="t" o:connecttype="custom" o:connectlocs="0,0;1547,0" o:connectangles="0,0"/>
                </v:shape>
                <v:shape id="218 Forma libre" o:spid="_x0000_s1101" style="position:absolute;left:27801;top:25427;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fLr4A&#10;AADcAAAADwAAAGRycy9kb3ducmV2LnhtbERPvQrCMBDeBd8hnOCmqQ5iq1FEUBx0sCo4Hs3ZFptL&#10;aWKtb28GwfHj+1+uO1OJlhpXWlYwGUcgiDOrS84VXC+70RyE88gaK8uk4EMO1qt+b4mJtm8+U5v6&#10;XIQQdgkqKLyvEyldVpBBN7Y1ceAetjHoA2xyqRt8h3BTyWkUzaTBkkNDgTVtC8qe6cso2D/uz1vc&#10;ntLPds7+dT3p2B1jpYaDbrMA4anzf/HPfdAKprOwNpwJR0Cu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Em3y6+AAAA3AAAAA8AAAAAAAAAAAAAAAAAmAIAAGRycy9kb3ducmV2&#10;LnhtbFBLBQYAAAAABAAEAPUAAACDAwAAAAA=&#10;" path="m,l723900,e" filled="f" strokecolor="red">
                  <v:path arrowok="t" o:connecttype="custom" o:connectlocs="0,0;1547,0" o:connectangles="0,0"/>
                </v:shape>
                <v:shape id="225 Y" o:spid="_x0000_s1102" type="#_x0000_t123" style="position:absolute;left:42423;top:24581;width:1793;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YD48QA&#10;AADcAAAADwAAAGRycy9kb3ducmV2LnhtbESPQWuDQBSE74X8h+UFeqtrc7CJzSoh0OKpNMZDjw/3&#10;RaXuW+Nuov333UAgx2FmvmG2+Wx6caXRdZYVvEYxCOLa6o4bBdXx42UNwnlkjb1lUvBHDvJs8bTF&#10;VNuJD3QtfSMChF2KClrvh1RKV7dk0EV2IA7eyY4GfZBjI/WIU4CbXq7iOJEGOw4LLQ60b6n+LS9G&#10;wdf3WyJ3RUmX2Z6rwwk3P5+dVup5Oe/eQXia/SN8bxdawSrZwO1MO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mA+PEAAAA3AAAAA8AAAAAAAAAAAAAAAAAmAIAAGRycy9k&#10;b3ducmV2LnhtbFBLBQYAAAAABAAEAPUAAACJAwAAAAA=&#10;" fillcolor="#d8d8d8 [2732]" strokecolor="gray [1629]" strokeweight="1.5pt">
                  <v:path arrowok="t"/>
                  <o:lock v:ext="edit" aspectratio="t"/>
                </v:shape>
                <v:shape id="226 Forma libre" o:spid="_x0000_s1103" style="position:absolute;left:44288;top:25427;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F9cEA&#10;AADcAAAADwAAAGRycy9kb3ducmV2LnhtbERPy4rCMBTdC/MP4Qqz01QXo+2YyiCMuNCFtQOzvDS3&#10;D2xuShNr/XuzEFweznuzHU0rBupdY1nBYh6BIC6sbrhSkF9+Z2sQziNrbC2Tggc52KYfkw0m2t75&#10;TEPmKxFC2CWooPa+S6R0RU0G3dx2xIErbW/QB9hXUvd4D+Gmlcso+pIGGw4NNXa0q6m4ZjejYF/+&#10;X//i4ZQ9dmv2t/ykY3eMlfqcjj/fIDyN/i1+uQ9awXIV5ocz4QjI9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JRfXBAAAA3AAAAA8AAAAAAAAAAAAAAAAAmAIAAGRycy9kb3du&#10;cmV2LnhtbFBLBQYAAAAABAAEAPUAAACGAwAAAAA=&#10;" path="m,l723900,e" filled="f" strokecolor="red">
                  <v:path arrowok="t" o:connecttype="custom" o:connectlocs="0,0;1547,0" o:connectangles="0,0"/>
                </v:shape>
                <v:shape id="223 Forma libre" o:spid="_x0000_s1104" style="position:absolute;left:44232;top:26023;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XgbsMA&#10;AADcAAAADwAAAGRycy9kb3ducmV2LnhtbESPQYvCMBSE78L+h/AWvGmqB7VdoyyC4kEPVgWPj+bZ&#10;FpuX0sRa/70RBI/DzHzDzJedqURLjSstKxgNIxDEmdUl5wpOx/VgBsJ5ZI2VZVLwJAfLxU9vjom2&#10;Dz5Qm/pcBAi7BBUU3teJlC4ryKAb2po4eFfbGPRBNrnUDT4C3FRyHEUTabDksFBgTauCslt6Nwo2&#10;18vtHLf79Lmasb+f9jp2u1ip/m/3/wfCU+e/4U97qxWMpyN4nwlH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XgbsMAAADcAAAADwAAAAAAAAAAAAAAAACYAgAAZHJzL2Rv&#10;d25yZXYueG1sUEsFBgAAAAAEAAQA9QAAAIgDAAAAAA==&#10;" path="m,l723900,e" filled="f" strokecolor="red">
                  <v:path arrowok="t" o:connecttype="custom" o:connectlocs="0,0;1547,0" o:connectangles="0,0"/>
                </v:shape>
                <v:shape id="231 Y" o:spid="_x0000_s1105" type="#_x0000_t123" style="position:absolute;left:59599;top:24581;width:1793;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HT8IA&#10;AADcAAAADwAAAGRycy9kb3ducmV2LnhtbESPzarCMBSE9xd8h3AEd9fULvypRpELV1yJ1i5cHppj&#10;W2xOahO1vr0RBJfDzHzDLFadqcWdWldZVjAaRiCIc6srLhRkx//fKQjnkTXWlknBkxyslr2fBSba&#10;PvhA99QXIkDYJaig9L5JpHR5SQbd0DbEwTvb1qAPsi2kbvER4KaWcRSNpcGKw0KJDf2VlF/Sm1Gw&#10;20/Gcr1N6dbZa3Y44+y0qbRSg363noPw1Plv+NPeagXxJIb3mX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mwdPwgAAANwAAAAPAAAAAAAAAAAAAAAAAJgCAABkcnMvZG93&#10;bnJldi54bWxQSwUGAAAAAAQABAD1AAAAhwMAAAAA&#10;" fillcolor="#d8d8d8 [2732]" strokecolor="gray [1629]" strokeweight="1.5pt">
                  <v:path arrowok="t"/>
                  <o:lock v:ext="edit" aspectratio="t"/>
                </v:shape>
                <v:shape id="232 Forma libre" o:spid="_x0000_s1106" style="position:absolute;left:61464;top:25427;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bgsQA&#10;AADcAAAADwAAAGRycy9kb3ducmV2LnhtbESPQYvCMBSE78L+h/AWvGmqgrbVKIuw4kEPVhf2+Gie&#10;bbF5KU2s9d8bYWGPw8x8w6w2valFR62rLCuYjCMQxLnVFRcKLufvUQzCeWSNtWVS8CQHm/XHYIWp&#10;tg8+UZf5QgQIuxQVlN43qZQuL8mgG9uGOHhX2xr0QbaF1C0+AtzUchpFc2mw4rBQYkPbkvJbdjcK&#10;dtff20/SHbPnNmZ/vxx14g6JUsPP/msJwlPv/8N/7b1WMF3M4H0mH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b24LEAAAA3AAAAA8AAAAAAAAAAAAAAAAAmAIAAGRycy9k&#10;b3ducmV2LnhtbFBLBQYAAAAABAAEAPUAAACJAwAAAAA=&#10;" path="m,l723900,e" filled="f" strokecolor="red">
                  <v:path arrowok="t" o:connecttype="custom" o:connectlocs="0,0;1547,0" o:connectangles="0,0"/>
                </v:shape>
                <v:shape id="233 CuadroTexto" o:spid="_x0000_s1107" type="#_x0000_t202" style="position:absolute;left:27143;top:23864;width:4513;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L4sQA&#10;AADcAAAADwAAAGRycy9kb3ducmV2LnhtbESPQWvCQBSE74L/YXmCt7qr2NZGVxFF6MnStBa8PbLP&#10;JJh9G7Krif/eFQoeh5n5hlmsOluJKzW+dKxhPFIgiDNnSs41/P7sXmYgfEA2WDkmDTfysFr2ewtM&#10;jGv5m65pyEWEsE9QQxFCnUjps4Is+pGriaN3co3FEGWTS9NgG+G2khOl3qTFkuNCgTVtCsrO6cVq&#10;OOxPx7+p+sq39rVuXack2w+p9XDQrecgAnXhGf5vfxoNk/c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C+LEAAAA3AAAAA8AAAAAAAAAAAAAAAAAmAIAAGRycy9k&#10;b3ducmV2LnhtbFBLBQYAAAAABAAEAPUAAACJAwAAAAA=&#10;" filled="f" stroked="f">
                  <v:textbox>
                    <w:txbxContent>
                      <w:p w14:paraId="2D8D4991"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shape id="234 CuadroTexto" o:spid="_x0000_s1108" type="#_x0000_t202" style="position:absolute;left:43609;top:23864;width:4514;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2DE69C"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shape id="235 CuadroTexto" o:spid="_x0000_s1109" type="#_x0000_t202" style="position:absolute;left:60873;top:23864;width:4513;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wDsMA&#10;AADcAAAADwAAAGRycy9kb3ducmV2LnhtbESPQWsCMRSE74L/ITzBmyZKtXY1ilgKPSm1teDtsXnu&#10;Lm5elk10139vBMHjMDPfMItVa0txpdoXjjWMhgoEcepMwZmGv9+vwQyED8gGS8ek4UYeVstuZ4GJ&#10;cQ3/0HUfMhEh7BPUkIdQJVL6NCeLfugq4uidXG0xRFln0tTYRLgt5VipqbRYcFzIsaJNTul5f7Ea&#10;DtvT8f9N7bJPO6ka1yrJ9kNq3e+16zmIQG14hZ/tb6Nh/D6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wDsMAAADcAAAADwAAAAAAAAAAAAAAAACYAgAAZHJzL2Rv&#10;d25yZXYueG1sUEsFBgAAAAAEAAQA9QAAAIgDAAAAAA==&#10;" filled="f" stroked="f">
                  <v:textbox>
                    <w:txbxContent>
                      <w:p w14:paraId="6FE047BF"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shape id="172 Forma libre" o:spid="_x0000_s1110" style="position:absolute;left:2265;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DdgcUA&#10;AADcAAAADwAAAGRycy9kb3ducmV2LnhtbESPzWvCQBTE7wX/h+UVvNVNPahJs0oRLD3ooVHB4yP7&#10;8oHZtyG75uO/dwuFHoeZ+Q2T7kbTiJ46V1tW8L6IQBDnVtdcKricD28bEM4ja2wsk4KJHOy2s5cU&#10;E20H/qE+86UIEHYJKqi8bxMpXV6RQbewLXHwCtsZ9EF2pdQdDgFuGrmMopU0WHNYqLClfUX5PXsY&#10;BV/F7X6N+1M27TfsH5eTjt0xVmr+On5+gPA0+v/wX/tbK1iu1/B7JhwBu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YN2BxQAAANwAAAAPAAAAAAAAAAAAAAAAAJgCAABkcnMv&#10;ZG93bnJldi54bWxQSwUGAAAAAAQABAD1AAAAigMAAAAA&#10;" path="m,l723900,e" filled="f" strokecolor="red">
                  <v:path arrowok="t" o:connecttype="custom" o:connectlocs="0,0;62,0" o:connectangles="0,0"/>
                </v:shape>
                <v:shape id="236 CuadroTexto" o:spid="_x0000_s1111" type="#_x0000_t202" style="position:absolute;left:138;top:36185;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B08B87C"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186 Forma libre" o:spid="_x0000_s1112" style="position:absolute;left:7871;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saMMA&#10;AADcAAAADwAAAGRycy9kb3ducmV2LnhtbESPQYvCMBSE74L/ITxhb5rqQW01igiKh/VgVfD4aJ5t&#10;sXkpTaz135uFBY/DzHzDLNedqURLjSstKxiPIhDEmdUl5wou591wDsJ5ZI2VZVLwJgfrVb+3xETb&#10;F5+oTX0uAoRdggoK7+tESpcVZNCNbE0cvLttDPogm1zqBl8Bbio5iaKpNFhyWCiwpm1B2SN9GgX7&#10;++1xjdtj+t7O2T8vRx2731ipn0G3WYDw1Plv+L990Aomsxj+zoQjIF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saMMAAADcAAAADwAAAAAAAAAAAAAAAACYAgAAZHJzL2Rv&#10;d25yZXYueG1sUEsFBgAAAAAEAAQA9QAAAIgDAAAAAA==&#10;" path="m,l723900,e" filled="f" strokecolor="red">
                  <v:path arrowok="t" o:connecttype="custom" o:connectlocs="0,0;62,0" o:connectangles="0,0"/>
                </v:shape>
                <v:shape id="237 CuadroTexto" o:spid="_x0000_s1113" type="#_x0000_t202" style="position:absolute;left:5889;top:36185;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7E204C5B"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189 Forma libre" o:spid="_x0000_s1114" style="position:absolute;left:19039;top:38701;width:954;height:474;visibility:visible;mso-wrap-style:square;v-text-anchor:middle" coordsize="723900,47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7acMA&#10;AADcAAAADwAAAGRycy9kb3ducmV2LnhtbESPQWvCQBSE7wX/w/IEb3VjDmJTVykFsfUgrUq9PrLP&#10;JJp9G7JPjf++Kwgeh5lvhpnOO1erC7Wh8mxgNExAEefeVlwY2G0XrxNQQZAt1p7JwI0CzGe9lylm&#10;1l/5ly4bKVQs4ZChgVKkybQOeUkOw9A3xNE7+NahRNkW2rZ4jeWu1mmSjLXDiuNCiQ19lpSfNmdn&#10;ID0v31L9c/oe+yD7tf07+pUcjRn0u493UEKdPMMP+stGbjKC+5l4BP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K7acMAAADcAAAADwAAAAAAAAAAAAAAAACYAgAAZHJzL2Rv&#10;d25yZXYueG1sUEsFBgAAAAAEAAQA9QAAAIgDAAAAAA==&#10;" path="m,l723900,e" filled="f" strokecolor="red">
                  <v:path arrowok="t" o:connecttype="custom" o:connectlocs="0,0;126,0" o:connectangles="0,0"/>
                </v:shape>
                <v:shape id="238 CuadroTexto" o:spid="_x0000_s1115" type="#_x0000_t202" style="position:absolute;left:17164;top:36185;width:4524;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GKsQA&#10;AADcAAAADwAAAGRycy9kb3ducmV2LnhtbESPT4vCMBTE74LfIbwFb5psccWtRhFlYU8r/lnB26N5&#10;tsXmpTRZ2/32RhA8DjPzG2a+7GwlbtT40rGG95ECQZw5U3Ku4Xj4Gk5B+IBssHJMGv7Jw3LR780x&#10;Na7lHd32IRcRwj5FDUUIdSqlzwqy6EeuJo7exTUWQ5RNLk2DbYTbSiZKTaTFkuNCgTWtC8qu+z+r&#10;4ffncj6N1Tbf2I+6dZ2SbD+l1oO3bjUDEagLr/Cz/W00JNME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4RirEAAAA3AAAAA8AAAAAAAAAAAAAAAAAmAIAAGRycy9k&#10;b3ducmV2LnhtbFBLBQYAAAAABAAEAPUAAACJAwAAAAA=&#10;" filled="f" stroked="f">
                  <v:textbox>
                    <w:txbxContent>
                      <w:p w14:paraId="77F5871F"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192 Forma libre" o:spid="_x0000_s1116" style="position:absolute;left:24844;top:38751;width:670;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6rpcQA&#10;AADcAAAADwAAAGRycy9kb3ducmV2LnhtbESPQYvCMBSE78L+h/AWvGmqwtJ2jSLCLh70YK2wx0fz&#10;bIvNS2lirf9+Iwgeh5n5hlmuB9OInjpXW1Ywm0YgiAuray4V5KefSQzCeWSNjWVS8CAH69XHaImp&#10;tnc+Up/5UgQIuxQVVN63qZSuqMigm9qWOHgX2xn0QXal1B3eA9w0ch5FX9JgzWGhwpa2FRXX7GYU&#10;/F7+ruekP2SPbcz+lh904vaJUuPPYfMNwtPg3+FXe6cVzOMF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q6XEAAAA3AAAAA8AAAAAAAAAAAAAAAAAmAIAAGRycy9k&#10;b3ducmV2LnhtbFBLBQYAAAAABAAEAPUAAACJAwAAAAA=&#10;" path="m,l723900,e" filled="f" strokecolor="red">
                  <v:path arrowok="t" o:connecttype="custom" o:connectlocs="0,0;62,0" o:connectangles="0,0"/>
                </v:shape>
                <v:shape id="239 CuadroTexto" o:spid="_x0000_s1117" type="#_x0000_t202" style="position:absolute;left:22787;top:36185;width:4514;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9D9D530"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198 Forma libre" o:spid="_x0000_s1118" style="position:absolute;left:41556;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WSsQA&#10;AADcAAAADwAAAGRycy9kb3ducmV2LnhtbESPQYvCMBSE78L+h/AWvGmq4NJ2jSLCLh70YK2wx0fz&#10;bIvNS2lirf9+Iwgeh5n5hlmuB9OInjpXW1Ywm0YgiAuray4V5KefSQzCeWSNjWVS8CAH69XHaImp&#10;tnc+Up/5UgQIuxQVVN63qZSuqMigm9qWOHgX2xn0QXal1B3eA9w0ch5FX9JgzWGhwpa2FRXX7GYU&#10;/F7+ruekP2SPbcz+lh904vaJUuPPYfMNwtPg3+FXe6cVzOMF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rlkrEAAAA3AAAAA8AAAAAAAAAAAAAAAAAmAIAAGRycy9k&#10;b3ducmV2LnhtbFBLBQYAAAAABAAEAPUAAACJAwAAAAA=&#10;" path="m,l723900,e" filled="f" strokecolor="red">
                  <v:path arrowok="t" o:connecttype="custom" o:connectlocs="0,0;62,0" o:connectangles="0,0"/>
                </v:shape>
                <v:shape id="241 CuadroTexto" o:spid="_x0000_s1119" type="#_x0000_t202" style="position:absolute;left:39474;top:36185;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AKcQA&#10;AADcAAAADwAAAGRycy9kb3ducmV2LnhtbESPQWvCQBSE7wX/w/KE3uquYoNGN0EsQk8tTVXw9sg+&#10;k2D2bchuTfrvu4VCj8PMfMNs89G24k69bxxrmM8UCOLSmYYrDcfPw9MKhA/IBlvHpOGbPOTZ5GGL&#10;qXEDf9C9CJWIEPYpaqhD6FIpfVmTRT9zHXH0rq63GKLsK2l6HCLctnKhVCItNhwXauxoX1N5K76s&#10;htPb9XJeqvfqxT53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DQCnEAAAA3AAAAA8AAAAAAAAAAAAAAAAAmAIAAGRycy9k&#10;b3ducmV2LnhtbFBLBQYAAAAABAAEAPUAAACJAwAAAAA=&#10;" filled="f" stroked="f">
                  <v:textbox>
                    <w:txbxContent>
                      <w:p w14:paraId="10BB7A77"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01 Forma libre" o:spid="_x0000_s1120" style="position:absolute;left:47134;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tpsQA&#10;AADcAAAADwAAAGRycy9kb3ducmV2LnhtbESPQYvCMBSE78L+h/AWvGmqB7ftGkWEXTzowVphj4/m&#10;2Rabl9LEWv/9RhA8DjPzDbNcD6YRPXWutqxgNo1AEBdW11wqyE8/kxiE88gaG8uk4EEO1quP0RJT&#10;be98pD7zpQgQdikqqLxvUyldUZFBN7UtcfAutjPog+xKqTu8B7hp5DyKFtJgzWGhwpa2FRXX7GYU&#10;/F7+ruekP2SPbcz+lh904vaJUuPPYfMNwtPg3+FXe6cVzOMveJ4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1rabEAAAA3AAAAA8AAAAAAAAAAAAAAAAAmAIAAGRycy9k&#10;b3ducmV2LnhtbFBLBQYAAAAABAAEAPUAAACJAwAAAAA=&#10;" path="m,l723900,e" filled="f" strokecolor="red">
                  <v:path arrowok="t" o:connecttype="custom" o:connectlocs="0,0;62,0" o:connectangles="0,0"/>
                </v:shape>
                <v:shape id="242 CuadroTexto" o:spid="_x0000_s1121" type="#_x0000_t202" style="position:absolute;left:45097;top:36185;width:4514;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0FF36095"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04 Forma libre" o:spid="_x0000_s1122" style="position:absolute;left:52831;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acT8UA&#10;AADcAAAADwAAAGRycy9kb3ducmV2LnhtbESPT2vCQBTE7wW/w/IEb3VTD5JE11ACSg/10FTB4yP7&#10;TILZtyG75s+37xYKPQ4z8xtmn02mFQP1rrGs4G0dgSAurW64UnD5Pr7GIJxH1thaJgUzOcgOi5c9&#10;ptqO/EVD4SsRIOxSVFB736VSurImg25tO+Lg3W1v0AfZV1L3OAa4aeUmirbSYMNhocaO8prKR/E0&#10;Ck732+OaDOdizmP2z8tZJ+4zUWq1nN53IDxN/j/81/7QCjZxAr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pxPxQAAANwAAAAPAAAAAAAAAAAAAAAAAJgCAABkcnMv&#10;ZG93bnJldi54bWxQSwUGAAAAAAQABAD1AAAAigMAAAAA&#10;" path="m,l723900,e" filled="f" strokecolor="red">
                  <v:path arrowok="t" o:connecttype="custom" o:connectlocs="0,0;62,0" o:connectangles="0,0"/>
                </v:shape>
                <v:shape id="243 CuadroTexto" o:spid="_x0000_s1123" type="#_x0000_t202" style="position:absolute;left:50763;top:36185;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14:paraId="0175CD9A"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roundrect id="141 Rectángulo redondeado" o:spid="_x0000_s1124" style="position:absolute;left:70372;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8m2sUA&#10;AADcAAAADwAAAGRycy9kb3ducmV2LnhtbESPQWsCMRSE74L/ITzBm2ZVKO1qlFIRBQ+ta4t4e2ye&#10;m203L0sSdfvvm0Khx2FmvmEWq8424kY+1I4VTMYZCOLS6ZorBe/HzegRRIjIGhvHpOCbAqyW/d4C&#10;c+3ufKBbESuRIBxyVGBibHMpQ2nIYhi7ljh5F+ctxiR9JbXHe4LbRk6z7EFarDktGGzpxVD5VVyt&#10;gtfN7uO8nqEv4r7eVifzWbyFo1LDQfc8BxGpi//hv/ZOK5g+TeD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ybaxQAAANwAAAAPAAAAAAAAAAAAAAAAAJgCAABkcnMv&#10;ZG93bnJldi54bWxQSwUGAAAAAAQABAD1AAAAigMAAAAA&#10;" fillcolor="#c6d9f1 [671]" strokecolor="#243f60 [1604]" strokeweight="1pt">
                  <v:path arrowok="t"/>
                  <o:lock v:ext="edit" aspectratio="t"/>
                  <v:textbox inset="0,0,0,0">
                    <w:txbxContent>
                      <w:p w14:paraId="55441A83"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30BA02D2"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142 Pantalla" o:spid="_x0000_s1125" type="#_x0000_t134" style="position:absolute;left:69478;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KgcUA&#10;AADcAAAADwAAAGRycy9kb3ducmV2LnhtbESPQWvCQBSE7wX/w/IEb3Vj0KLRVcRSsAUFE8HrM/tM&#10;gtm3Ibua9N93C4Ueh5n5hlltelOLJ7WusqxgMo5AEOdWV1woOGcfr3MQziNrrC2Tgm9ysFkPXlaY&#10;aNvxiZ6pL0SAsEtQQel9k0jp8pIMurFtiIN3s61BH2RbSN1iF+CmlnEUvUmDFYeFEhvalZTf04dR&#10;cGhmi0t60Nl79/k1Pc7O1wtmV6VGw367BOGp9//hv/ZeK4gXMfyeC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gqBxQAAANwAAAAPAAAAAAAAAAAAAAAAAJgCAABkcnMv&#10;ZG93bnJldi54bWxQSwUGAAAAAAQABAD1AAAAigMAAAAA&#10;" fillcolor="#d8d8d8 [2732]" strokecolor="#243f60 [1604]" strokeweight=".25pt">
                  <v:textbox style="layout-flow:vertical;mso-layout-flow-alt:bottom-to-top" inset="0,0,0,0">
                    <w:txbxContent>
                      <w:p w14:paraId="22B4B5F6"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143 Conector recto" o:spid="_x0000_s1126" style="position:absolute;flip:x;visibility:visible;mso-wrap-style:square" from="71627,39936" to="71627,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kpnMQAAADcAAAADwAAAGRycy9kb3ducmV2LnhtbESPT2sCMRTE74V+h/AK3mp2Vyi6GkUK&#10;FelF/ANeH5vnZnHzsiZRt9/eFASPw8z8hpktetuKG/nQOFaQDzMQxJXTDdcKDvufzzGIEJE1to5J&#10;wR8FWMzf32ZYanfnLd12sRYJwqFEBSbGrpQyVIYshqHriJN3ct5iTNLXUnu8J7htZZFlX9Jiw2nB&#10;YEffhqrz7moVbPPfUXE55GZ1PPrLvt6Mr+sqKDX46JdTEJH6+Ao/22utoJiM4P9MOg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2SmcxAAAANwAAAAPAAAAAAAAAAAA&#10;AAAAAKECAABkcnMvZG93bnJldi54bWxQSwUGAAAAAAQABAD5AAAAkgMAAAAA&#10;" strokecolor="#4579b8 [3044]" strokeweight=".25pt"/>
                <v:roundrect id="145 Rectángulo redondeado" o:spid="_x0000_s1127" style="position:absolute;left:76021;top:37426;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FQsYA&#10;AADcAAAADwAAAGRycy9kb3ducmV2LnhtbESPQWsCMRSE74X+h/AKvdVstUi7GqVUpIIH7VoRb4/N&#10;62Z187Ikqa7/3giFHoeZ+YYZTzvbiBP5UDtW8NzLQBCXTtdcKfjezJ9eQYSIrLFxTAouFGA6ub8b&#10;Y67dmb/oVMRKJAiHHBWYGNtcylAashh6riVO3o/zFmOSvpLa4znBbSP7WTaUFmtOCwZb+jBUHotf&#10;q2A1X2z3swH6Ii7rz2pnDsU6bJR6fOjeRyAidfE//NdeaAX9txe4nUlHQE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iFQsYAAADcAAAADwAAAAAAAAAAAAAAAACYAgAAZHJz&#10;L2Rvd25yZXYueG1sUEsFBgAAAAAEAAQA9QAAAIsDAAAAAA==&#10;" fillcolor="#c6d9f1 [671]" strokecolor="#243f60 [1604]" strokeweight="1pt">
                  <v:path arrowok="t"/>
                  <o:lock v:ext="edit" aspectratio="t"/>
                  <v:textbox inset="0,0,0,0">
                    <w:txbxContent>
                      <w:p w14:paraId="116F9F53"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023FFF3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146 Pantalla" o:spid="_x0000_s1128" type="#_x0000_t134" style="position:absolute;left:75126;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OS9cUA&#10;AADcAAAADwAAAGRycy9kb3ducmV2LnhtbESPQWvCQBSE7wX/w/IEb3WjmKLRVUQR2oKCieD1mX0m&#10;wezbkN2a9N93C4Ueh5n5hlltelOLJ7WusqxgMo5AEOdWV1wouGSH1zkI55E11pZJwTc52KwHLytM&#10;tO34TM/UFyJA2CWooPS+SaR0eUkG3dg2xMG729agD7ItpG6xC3BTy2kUvUmDFYeFEhvalZQ/0i+j&#10;4NjEi2t61Nm++/icneLL7YrZTanRsN8uQXjq/X/4r/2uFUwXMfyeC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05L1xQAAANwAAAAPAAAAAAAAAAAAAAAAAJgCAABkcnMv&#10;ZG93bnJldi54bWxQSwUGAAAAAAQABAD1AAAAigMAAAAA&#10;" fillcolor="#d8d8d8 [2732]" strokecolor="#243f60 [1604]" strokeweight=".25pt">
                  <v:textbox style="layout-flow:vertical;mso-layout-flow-alt:bottom-to-top" inset="0,0,0,0">
                    <w:txbxContent>
                      <w:p w14:paraId="489C2A6C"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147 Conector recto" o:spid="_x0000_s1129" style="position:absolute;flip:x;visibility:visible;mso-wrap-style:square" from="77275,39936" to="77275,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KBMQAAADcAAAADwAAAGRycy9kb3ducmV2LnhtbESPT2sCMRTE74V+h/AK3mp2tyC6GkUK&#10;LdKL+Ae8PjbPzeLmZU2irt++EQSPw8z8hpktetuKK/nQOFaQDzMQxJXTDdcK9rufzzGIEJE1to5J&#10;wZ0CLObvbzMstbvxhq7bWIsE4VCiAhNjV0oZKkMWw9B1xMk7Om8xJulrqT3eEty2ssiykbTYcFow&#10;2NG3oeq0vVgFm/zvqzjvc/N7OPjzrl6PL6sqKDX46JdTEJH6+Ao/2yutoJiM4HEmH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oExAAAANwAAAAPAAAAAAAAAAAA&#10;AAAAAKECAABkcnMvZG93bnJldi54bWxQSwUGAAAAAAQABAD5AAAAkgMAAAAA&#10;" strokecolor="#4579b8 [3044]" strokeweight=".25pt"/>
                <v:shape id="149 CuadroTexto" o:spid="_x0000_s1130" type="#_x0000_t202" style="position:absolute;left:72622;top:47338;width:13603;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6A70C877"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Dominio</w:t>
                        </w:r>
                      </w:p>
                      <w:p w14:paraId="03C769CE"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7030A0"/>
                            <w:kern w:val="24"/>
                            <w:sz w:val="16"/>
                            <w:szCs w:val="16"/>
                          </w:rPr>
                          <w:t>administrativo</w:t>
                        </w:r>
                        <w:proofErr w:type="gramEnd"/>
                        <w:r>
                          <w:rPr>
                            <w:rFonts w:ascii="Arial Narrow" w:hAnsi="Arial Narrow" w:cstheme="minorBidi"/>
                            <w:b/>
                            <w:bCs/>
                            <w:color w:val="7030A0"/>
                            <w:kern w:val="24"/>
                            <w:sz w:val="16"/>
                            <w:szCs w:val="16"/>
                          </w:rPr>
                          <w:t xml:space="preserve"> </w:t>
                        </w:r>
                        <w:r>
                          <w:rPr>
                            <w:rFonts w:ascii="Arial Narrow" w:hAnsi="Arial Narrow" w:cstheme="minorBidi"/>
                            <w:b/>
                            <w:bCs/>
                            <w:i/>
                            <w:iCs/>
                            <w:color w:val="7030A0"/>
                            <w:kern w:val="24"/>
                            <w:sz w:val="16"/>
                            <w:szCs w:val="16"/>
                          </w:rPr>
                          <w:t>8</w:t>
                        </w:r>
                      </w:p>
                    </w:txbxContent>
                  </v:textbox>
                </v:shape>
                <v:roundrect id="2 Rectángulo redondeado" o:spid="_x0000_s1131" style="position:absolute;left:81680;top:37426;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PR8MA&#10;AADcAAAADwAAAGRycy9kb3ducmV2LnhtbERPz2vCMBS+C/sfwht401QFcZ1RZEMm7KC2G2O3R/PW&#10;dGteSpJp/e/NQfD48f1ernvbihP50DhWMBlnIIgrpxuuFXyU29ECRIjIGlvHpOBCAdarh8ESc+3O&#10;fKRTEWuRQjjkqMDE2OVShsqQxTB2HXHifpy3GBP0tdQezynctnKaZXNpseHUYLCjF0PVX/FvFey3&#10;u8/v1xn6Ir43b/WX+S0OoVRq+NhvnkFE6uNdfHPvtILpU1qbzqQj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WPR8MAAADcAAAADwAAAAAAAAAAAAAAAACYAgAAZHJzL2Rv&#10;d25yZXYueG1sUEsFBgAAAAAEAAQA9QAAAIgDAAAAAA==&#10;" fillcolor="#c6d9f1 [671]" strokecolor="#243f60 [1604]" strokeweight="1pt">
                  <v:path arrowok="t"/>
                  <o:lock v:ext="edit" aspectratio="t"/>
                  <v:textbox inset="0,0,0,0">
                    <w:txbxContent>
                      <w:p w14:paraId="79D19CAB"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797451A4"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3 Pantalla" o:spid="_x0000_s1132" type="#_x0000_t134" style="position:absolute;left:80785;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Y8MUA&#10;AADcAAAADwAAAGRycy9kb3ducmV2LnhtbESPQWvCQBSE7wX/w/IEb3WjaDHRVUQR2oKCieD1mX0m&#10;wezbkN2a9N93C4Ueh5n5hlltelOLJ7WusqxgMo5AEOdWV1wouGSH1wUI55E11pZJwTc52KwHLytM&#10;tO34TM/UFyJA2CWooPS+SaR0eUkG3dg2xMG729agD7ItpG6xC3BTy2kUvUmDFYeFEhvalZQ/0i+j&#10;4NjM42t61Nm++/icneaX2xWzm1KjYb9dgvDU+//wX/tdK5jGMfyeC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pjwxQAAANwAAAAPAAAAAAAAAAAAAAAAAJgCAABkcnMv&#10;ZG93bnJldi54bWxQSwUGAAAAAAQABAD1AAAAigMAAAAA&#10;" fillcolor="#d8d8d8 [2732]" strokecolor="#243f60 [1604]" strokeweight=".25pt">
                  <v:textbox style="layout-flow:vertical;mso-layout-flow-alt:bottom-to-top" inset="0,0,0,0">
                    <w:txbxContent>
                      <w:p w14:paraId="34F7DF19"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5 Conector recto" o:spid="_x0000_s1133" style="position:absolute;flip:x;visibility:visible;mso-wrap-style:square" from="82934,39936" to="82935,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At8b8AAADcAAAADwAAAGRycy9kb3ducmV2LnhtbERPy4rCMBTdC/5DuMLsNK2CSDWKCIrM&#10;ZvABbi/NtSk2NzWJWv/eLAZcHs57sepsI57kQ+1YQT7KQBCXTtdcKTiftsMZiBCRNTaOScGbAqyW&#10;/d4CC+1efKDnMVYihXAoUIGJsS2kDKUhi2HkWuLEXZ23GBP0ldQeXyncNnKcZVNpsebUYLCljaHy&#10;dnxYBYf8dzK+n3Ozu1z8/VT9zR77Mij1M+jWcxCRuvgV/7v3WsEkS/PTmXQ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OAt8b8AAADcAAAADwAAAAAAAAAAAAAAAACh&#10;AgAAZHJzL2Rvd25yZXYueG1sUEsFBgAAAAAEAAQA+QAAAI0DAAAAAA==&#10;" strokecolor="#4579b8 [3044]" strokeweight=".25pt"/>
                <v:shape id="207 Forma libre" o:spid="_x0000_s1134" style="position:absolute;left:69718;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cjsQA&#10;AADcAAAADwAAAGRycy9kb3ducmV2LnhtbESPQYvCMBSE78L+h/AEb5rqwmK7piLCyh70YFXY46N5&#10;tqXNS2lirf9+Iwgeh5n5hlmtB9OInjpXWVYwn0UgiHOrKy4UnE8/0yUI55E1NpZJwYMcrNOP0QoT&#10;be98pD7zhQgQdgkqKL1vEyldXpJBN7MtcfCutjPog+wKqTu8B7hp5CKKvqTBisNCiS1tS8rr7GYU&#10;7K5/9SXuD9lju2R/Ox907PaxUpPxsPkG4Wnw7/Cr/asVfEZzeJ4JR0C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inI7EAAAA3AAAAA8AAAAAAAAAAAAAAAAAmAIAAGRycy9k&#10;b3ducmV2LnhtbFBLBQYAAAAABAAEAPUAAACJAwAAAAA=&#10;" path="m,l723900,e" filled="f" strokecolor="red">
                  <v:path arrowok="t" o:connecttype="custom" o:connectlocs="0,0;62,0" o:connectangles="0,0"/>
                </v:shape>
                <v:shape id="244 CuadroTexto" o:spid="_x0000_s1135" type="#_x0000_t202" style="position:absolute;left:67670;top:36185;width:4524;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14:paraId="5A59A8D3"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45 CuadroTexto" o:spid="_x0000_s1136" type="#_x0000_t202" style="position:absolute;left:22539;top:10891;width:4514;height:4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14:paraId="0ECBE4B5"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shape id="250 Y" o:spid="_x0000_s1137" type="#_x0000_t123" style="position:absolute;left:21372;top:12781;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GQMQA&#10;AADcAAAADwAAAGRycy9kb3ducmV2LnhtbESPS4vCQBCE74L/YWjBm07UxUfMKLKw4mlZowePTabz&#10;wExPzIwa//3OwoLHoqq+opJtZ2rxoNZVlhVMxhEI4szqigsF59PXaAnCeWSNtWVS8CIH202/l2Cs&#10;7ZOP9Eh9IQKEXYwKSu+bWEqXlWTQjW1DHLzctgZ9kG0hdYvPADe1nEbRXBqsOCyU2NBnSdk1vRsF&#10;3z+LudwdUrp39nY+5ri67Cut1HDQ7dYgPHX+Hf5vH7SCWfQBf2fCEZ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ZRkDEAAAA3AAAAA8AAAAAAAAAAAAAAAAAmAIAAGRycy9k&#10;b3ducmV2LnhtbFBLBQYAAAAABAAEAPUAAACJAwAAAAA=&#10;" fillcolor="#d8d8d8 [2732]" strokecolor="gray [1629]" strokeweight="1.5pt">
                  <v:path arrowok="t"/>
                  <o:lock v:ext="edit" aspectratio="t"/>
                </v:shape>
                <v:shape id="251 Forma libre" o:spid="_x0000_s1138" style="position:absolute;left:23238;top:13494;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ajcQA&#10;AADcAAAADwAAAGRycy9kb3ducmV2LnhtbESPQYvCMBSE78L+h/AEb5rqorRdoyyCiwc9WBX2+Gie&#10;bbF5KU2s9d8bYWGPw8x8wyzXvalFR62rLCuYTiIQxLnVFRcKzqftOAbhPLLG2jIpeJKD9epjsMRU&#10;2wcfqct8IQKEXYoKSu+bVEqXl2TQTWxDHLyrbQ36INtC6hYfAW5qOYuihTRYcVgosaFNSfktuxsF&#10;P9ff2yXpDtlzE7O/nw86cftEqdGw//4C4an3/+G/9k4r+Izm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Zmo3EAAAA3AAAAA8AAAAAAAAAAAAAAAAAmAIAAGRycy9k&#10;b3ducmV2LnhtbFBLBQYAAAAABAAEAPUAAACJAwAAAAA=&#10;" path="m,l723900,e" filled="f" strokecolor="red">
                  <v:path arrowok="t" o:connecttype="custom" o:connectlocs="0,0;1547,0" o:connectangles="0,0"/>
                </v:shape>
                <v:shape id="248 Forma libre" o:spid="_x0000_s1139" style="position:absolute;left:23181;top:13971;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E+sUA&#10;AADcAAAADwAAAGRycy9kb3ducmV2LnhtbESPzWrDMBCE74W+g9hCb42cFoztRg4h0JBDc6iTQI+L&#10;tbGNrZWx5J+8fVUo9DjMzDfMZruYTkw0uMaygvUqAkFcWt1wpeBy/nhJQDiPrLGzTAru5GCbPz5s&#10;MNN25i+aCl+JAGGXoYLa+z6T0pU1GXQr2xMH72YHgz7IoZJ6wDnATSdfoyiWBhsOCzX2tK+pbIvR&#10;KDjcvttrOp2K+z5hP15OOnWfqVLPT8vuHYSnxf+H/9pHreAtiuH3TD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ywT6xQAAANwAAAAPAAAAAAAAAAAAAAAAAJgCAABkcnMv&#10;ZG93bnJldi54bWxQSwUGAAAAAAQABAD1AAAAigMAAAAA&#10;" path="m,l723900,e" filled="f" strokecolor="red">
                  <v:path arrowok="t" o:connecttype="custom" o:connectlocs="0,0;1547,0" o:connectangles="0,0"/>
                </v:shape>
                <v:shape id="249 Forma libre" o:spid="_x0000_s1140" style="position:absolute;left:23195;top:13003;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ehYcQA&#10;AADcAAAADwAAAGRycy9kb3ducmV2LnhtbESPQYvCMBSE78L+h/AEb5rqgrZdoyyCiwc9WBX2+Gie&#10;bbF5KU2s9d8bYWGPw8x8wyzXvalFR62rLCuYTiIQxLnVFRcKzqftOAbhPLLG2jIpeJKD9epjsMRU&#10;2wcfqct8IQKEXYoKSu+bVEqXl2TQTWxDHLyrbQ36INtC6hYfAW5qOYuiuTRYcVgosaFNSfktuxsF&#10;P9ff2yXpDtlzE7O/nw86cftEqdGw//4C4an3/+G/9k4r+IwW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HoWHEAAAA3AAAAA8AAAAAAAAAAAAAAAAAmAIAAGRycy9k&#10;b3ducmV2LnhtbFBLBQYAAAAABAAEAPUAAACJAwAAAAA=&#10;" path="m,l723900,e" filled="f" strokecolor="red">
                  <v:path arrowok="t" o:connecttype="custom" o:connectlocs="0,0;1547,0" o:connectangles="0,0"/>
                </v:shape>
                <v:shape id="252 CuadroTexto" o:spid="_x0000_s1141" type="#_x0000_t202" style="position:absolute;left:50957;top:10891;width:4514;height:4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B8IA&#10;AADcAAAADwAAAGRycy9kb3ducmV2LnhtbERPW2vCMBR+H+w/hCPsbU28bMzOKEMZ7Emxm4Jvh+bY&#10;ljUnocls/ffmQdjjx3dfrAbbigt1oXGsYZwpEMSlMw1XGn6+P5/fQISIbLB1TBquFGC1fHxYYG5c&#10;z3u6FLESKYRDjhrqGH0uZShrshgy54kTd3adxZhgV0nTYZ/CbSsnSr1Kiw2nhho9rWsqf4s/q+Gw&#10;PZ+OM7WrNvbF925Qku1cav00Gj7eQUQa4r/47v4yGqYqrU1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n0HwgAAANwAAAAPAAAAAAAAAAAAAAAAAJgCAABkcnMvZG93&#10;bnJldi54bWxQSwUGAAAAAAQABAD1AAAAhwMAAAAA&#10;" filled="f" stroked="f">
                  <v:textbox>
                    <w:txbxContent>
                      <w:p w14:paraId="21CDE52E"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4"/>
                            <w:szCs w:val="14"/>
                          </w:rPr>
                          <w:t>pCAI</w:t>
                        </w:r>
                        <w:proofErr w:type="gramEnd"/>
                      </w:p>
                    </w:txbxContent>
                  </v:textbox>
                </v:shape>
                <v:shape id="257 Y" o:spid="_x0000_s1142" type="#_x0000_t123" style="position:absolute;left:49792;top:12692;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3sMA&#10;AADcAAAADwAAAGRycy9kb3ducmV2LnhtbESPS4vCQBCE74L/YWhhbzrRBR8xo4igeFo0evDYZDoP&#10;zPTEzKjZf7+zIHgsquorKll3phZPal1lWcF4FIEgzqyuuFBwOe+GcxDOI2usLZOCX3KwXvV7Ccba&#10;vvhEz9QXIkDYxaig9L6JpXRZSQbdyDbEwctta9AH2RZSt/gKcFPLSRRNpcGKw0KJDW1Lym7pwyj4&#10;Oc6mcnNI6dHZ++WU4+K6r7RSX4NuswThqfOf8Lt90Aq+owX8nw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p3sMAAADcAAAADwAAAAAAAAAAAAAAAACYAgAAZHJzL2Rv&#10;d25yZXYueG1sUEsFBgAAAAAEAAQA9QAAAIgDAAAAAA==&#10;" fillcolor="#d8d8d8 [2732]" strokecolor="gray [1629]" strokeweight="1.5pt">
                  <v:path arrowok="t"/>
                  <o:lock v:ext="edit" aspectratio="t"/>
                </v:shape>
                <v:shape id="258 Forma libre" o:spid="_x0000_s1143" style="position:absolute;left:51601;top:13459;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vyMIA&#10;AADcAAAADwAAAGRycy9kb3ducmV2LnhtbERPTWuDQBC9B/oflin0FldbKNG6CUVo6SEeYlLocXAn&#10;KnFnxd0Y/ffZQyHHx/vOd7PpxUSj6ywrSKIYBHFtdceNgtPxa70B4Tyyxt4yKVjIwW77tMox0/bG&#10;B5oq34gQwi5DBa33Qyalq1sy6CI7EAfubEeDPsCxkXrEWwg3vXyN43dpsOPQ0OJARUv1pboaBd/n&#10;v8tvOpXVUmzYX0+lTt0+Verlef78AOFp9g/xv/tHK3hLwvxwJhwB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t6/IwgAAANwAAAAPAAAAAAAAAAAAAAAAAJgCAABkcnMvZG93&#10;bnJldi54bWxQSwUGAAAAAAQABAD1AAAAhwMAAAAA&#10;" path="m,l723900,e" filled="f" strokecolor="red">
                  <v:path arrowok="t" o:connecttype="custom" o:connectlocs="0,0;1547,0" o:connectangles="0,0"/>
                </v:shape>
                <v:shape id="255 Forma libre" o:spid="_x0000_s1144" style="position:absolute;left:51601;top:13936;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sKU8QA&#10;AADcAAAADwAAAGRycy9kb3ducmV2LnhtbESPQYvCMBSE78L+h/AEb5rWhcVWo4iwsgc9bK3g8dE8&#10;22LzUppY67/fCMIeh5n5hlltBtOInjpXW1YQzyIQxIXVNZcK8tP3dAHCeWSNjWVS8CQHm/XHaIWp&#10;tg/+pT7zpQgQdikqqLxvUyldUZFBN7MtcfCutjPog+xKqTt8BLhp5DyKvqTBmsNChS3tKipu2d0o&#10;2F8vt3PSH7PnbsH+nh914g6JUpPxsF2C8DT4//C7/aMVfMYxvM6E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7ClPEAAAA3AAAAA8AAAAAAAAAAAAAAAAAmAIAAGRycy9k&#10;b3ducmV2LnhtbFBLBQYAAAAABAAEAPUAAACJAwAAAAA=&#10;" path="m,l723900,e" filled="f" strokecolor="red">
                  <v:path arrowok="t" o:connecttype="custom" o:connectlocs="0,0;1547,0" o:connectangles="0,0"/>
                </v:shape>
                <v:shape id="256 Forma libre" o:spid="_x0000_s1145" style="position:absolute;left:51601;top:12968;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mUJMMA&#10;AADcAAAADwAAAGRycy9kb3ducmV2LnhtbESPQYvCMBSE78L+h/AWvGmqgtiuURZB8aAHq4LHR/Ns&#10;i81LaWKt/94IgsdhZr5h5svOVKKlxpWWFYyGEQjizOqScwWn43owA+E8ssbKMil4koPl4qc3x0Tb&#10;Bx+oTX0uAoRdggoK7+tESpcVZNANbU0cvKttDPogm1zqBh8Bbio5jqKpNFhyWCiwplVB2S29GwWb&#10;6+V2jtt9+lzN2N9Pex27XaxU/7f7/wPhqfPf8Ke91QomozG8z4Qj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mUJMMAAADcAAAADwAAAAAAAAAAAAAAAACYAgAAZHJzL2Rv&#10;d25yZXYueG1sUEsFBgAAAAAEAAQA9QAAAIgDAAAAAA==&#10;" path="m,l723900,e" filled="f" strokecolor="red">
                  <v:path arrowok="t" o:connecttype="custom" o:connectlocs="0,0;1547,0" o:connectangles="0,0"/>
                </v:shape>
                <v:shape id="259 Forma libre" o:spid="_x0000_s1146" style="position:absolute;left:23205;top:14467;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Uxv8MA&#10;AADcAAAADwAAAGRycy9kb3ducmV2LnhtbESPQYvCMBSE78L+h/AWvGmqgtiuURZB8aAHq4LHR/Ns&#10;i81LaWKt/94IgsdhZr5h5svOVKKlxpWWFYyGEQjizOqScwWn43owA+E8ssbKMil4koPl4qc3x0Tb&#10;Bx+oTX0uAoRdggoK7+tESpcVZNANbU0cvKttDPogm1zqBh8Bbio5jqKpNFhyWCiwplVB2S29GwWb&#10;6+V2jtt9+lzN2N9Pex27XaxU/7f7/wPhqfPf8Ke91Qomowm8z4Qj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Uxv8MAAADcAAAADwAAAAAAAAAAAAAAAACYAgAAZHJzL2Rv&#10;d25yZXYueG1sUEsFBgAAAAAEAAQA9QAAAIgDAAAAAA==&#10;" path="m,l723900,e" filled="f" strokecolor="red">
                  <v:path arrowok="t" o:connecttype="custom" o:connectlocs="0,0;1547,0" o:connectangles="0,0"/>
                </v:shape>
                <v:shape id="267 CuadroTexto" o:spid="_x0000_s1147" type="#_x0000_t202" style="position:absolute;left:25027;top:56671;width:25334;height:6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42733CFD"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Nodos de conexión de acceso indirecto (NCAI)</w:t>
                        </w:r>
                      </w:p>
                    </w:txbxContent>
                  </v:textbox>
                </v:shape>
                <v:shape id="272 CuadroTexto" o:spid="_x0000_s1148" type="#_x0000_t202" style="position:absolute;left:71528;top:20476;width:29000;height:6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ERMQA&#10;AADcAAAADwAAAGRycy9kb3ducmV2LnhtbESPQWvCQBSE74L/YXmCt7qr1WJjNiKWQk+W2lrw9sg+&#10;k2D2bciuJv57t1DwOMzMN0y67m0trtT6yrGG6USBIM6dqbjQ8PP9/rQE4QOywdoxabiRh3U2HKSY&#10;GNfxF133oRARwj5BDWUITSKlz0uy6CeuIY7eybUWQ5RtIU2LXYTbWs6UepEWK44LJTa0LSk/7y9W&#10;w2F3Ov7O1WfxZhdN53ol2b5KrcejfrMCEagPj/B/+8NoeJ4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6RETEAAAA3AAAAA8AAAAAAAAAAAAAAAAAmAIAAGRycy9k&#10;b3ducmV2LnhtbFBLBQYAAAAABAAEAPUAAACJAwAAAAA=&#10;" filled="f" stroked="f">
                  <v:textbox>
                    <w:txbxContent>
                      <w:p w14:paraId="07E29AFB"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Punto de concentración regional </w:t>
                        </w:r>
                      </w:p>
                      <w:p w14:paraId="1B60389F"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(PCR).</w:t>
                        </w:r>
                      </w:p>
                    </w:txbxContent>
                  </v:textbox>
                </v:shape>
                <v:shape id="274 CuadroTexto" o:spid="_x0000_s1149" type="#_x0000_t202" style="position:absolute;left:71531;top:8586;width:29746;height:6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35DB3B38"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 xml:space="preserve">Nodos de concentración nacional </w:t>
                        </w:r>
                      </w:p>
                      <w:p w14:paraId="367B95BB" w14:textId="77777777" w:rsidR="00CA026A" w:rsidRDefault="00CA026A" w:rsidP="00F51B07">
                        <w:pPr>
                          <w:pStyle w:val="NormalWeb"/>
                          <w:spacing w:before="0" w:beforeAutospacing="0" w:after="0" w:afterAutospacing="0"/>
                        </w:pPr>
                        <w:r>
                          <w:rPr>
                            <w:rFonts w:ascii="Arial Narrow" w:hAnsi="Arial Narrow" w:cstheme="minorBidi"/>
                            <w:b/>
                            <w:bCs/>
                            <w:color w:val="000000" w:themeColor="text1"/>
                            <w:kern w:val="24"/>
                            <w:sz w:val="20"/>
                            <w:szCs w:val="20"/>
                          </w:rPr>
                          <w:t>(PCN).</w:t>
                        </w:r>
                      </w:p>
                    </w:txbxContent>
                  </v:textbox>
                </v:shape>
                <v:shape id="321 CuadroTexto" o:spid="_x0000_s1150" type="#_x0000_t202" style="position:absolute;left:2865;top:22586;width:1933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14:paraId="38C4C200"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1</w:t>
                        </w:r>
                      </w:p>
                    </w:txbxContent>
                  </v:textbox>
                </v:shape>
                <v:shape id="325 CuadroTexto" o:spid="_x0000_s1151" type="#_x0000_t202" style="position:absolute;left:11226;top:14596;width:2566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8B34892"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Dominios administrativos 1, 2, 3 y 4</w:t>
                        </w:r>
                      </w:p>
                    </w:txbxContent>
                  </v:textbox>
                </v:shape>
                <v:shape id="327 CuadroTexto" o:spid="_x0000_s1152" type="#_x0000_t202" style="position:absolute;left:39556;top:14601;width:2604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QcUA&#10;AADcAAAADwAAAGRycy9kb3ducmV2LnhtbESPT2sCMRTE74LfITzBmyZqLbrdKNJS6KnSVQu9PTZv&#10;/9DNy7JJ3e23bwqCx2FmfsOk+8E24kqdrx1rWMwVCOLcmZpLDefT62wDwgdkg41j0vBLHva78SjF&#10;xLieP+iahVJECPsENVQhtImUPq/Iop+7ljh6hesshii7UpoO+wi3jVwq9Sgt1hwXKmzpuaL8O/ux&#10;Gi7vxdfngzqWL3bd9m5Qku1Waj2dDIcnEIGGcA/f2m9Gw2q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05BxQAAANwAAAAPAAAAAAAAAAAAAAAAAJgCAABkcnMv&#10;ZG93bnJldi54bWxQSwUGAAAAAAQABAD1AAAAigMAAAAA&#10;" filled="f" stroked="f">
                  <v:textbox>
                    <w:txbxContent>
                      <w:p w14:paraId="6BAEF13B"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Dominios administrativos </w:t>
                        </w:r>
                        <w:r>
                          <w:rPr>
                            <w:rFonts w:ascii="Arial Narrow" w:hAnsi="Arial Narrow" w:cstheme="minorBidi"/>
                            <w:b/>
                            <w:bCs/>
                            <w:i/>
                            <w:iCs/>
                            <w:color w:val="000000" w:themeColor="text1"/>
                            <w:kern w:val="24"/>
                            <w:sz w:val="16"/>
                            <w:szCs w:val="16"/>
                          </w:rPr>
                          <w:t>5, 6, 7 y 8</w:t>
                        </w:r>
                      </w:p>
                    </w:txbxContent>
                  </v:textbox>
                </v:shape>
                <v:roundrect id="330 Rectángulo redondeado" o:spid="_x0000_s1153" style="position:absolute;left:64786;top:37426;width:2510;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1FO8MA&#10;AADcAAAADwAAAGRycy9kb3ducmV2LnhtbERPz2vCMBS+C/sfwhN209QKQzpjEYdM2GGzKmO3R/PW&#10;VJuXkmTa/ffLYeDx4/u9LAfbiSv50DpWMJtmIIhrp1tuFBwP28kCRIjIGjvHpOCXApSrh9ESC+1u&#10;vKdrFRuRQjgUqMDE2BdShtqQxTB1PXHivp23GBP0jdQebyncdjLPsidpseXUYLCnjaH6Uv1YBe/b&#10;3enrZY6+im/ta/NpztVHOCj1OB7WzyAiDfEu/nfvtIJ5nuan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1FO8MAAADcAAAADwAAAAAAAAAAAAAAAACYAgAAZHJzL2Rv&#10;d25yZXYueG1sUEsFBgAAAAAEAAQA9QAAAIgDAAAAAA==&#10;" fillcolor="#c6d9f1 [671]" strokecolor="#243f60 [1604]" strokeweight="1pt">
                  <v:path arrowok="t"/>
                  <o:lock v:ext="edit" aspectratio="t"/>
                  <v:textbox inset="0,0,0,0">
                    <w:txbxContent>
                      <w:p w14:paraId="2F4D00BF"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38225A6E"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331 Pantalla" o:spid="_x0000_s1154" type="#_x0000_t134" style="position:absolute;left:63892;top:50959;width:4300;height:42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ZSjMYA&#10;AADcAAAADwAAAGRycy9kb3ducmV2LnhtbESPQWvCQBSE7wX/w/IEb3WjNtKmriKK0BZSMBG8PrOv&#10;STD7NmRXk/77bqHQ4zAz3zCrzWAacafO1ZYVzKYRCOLC6ppLBaf88PgMwnlkjY1lUvBNDjbr0cMK&#10;E217PtI986UIEHYJKqi8bxMpXVGRQTe1LXHwvmxn0AfZlVJ32Ae4aeQ8ipbSYM1hocKWdhUV1+xm&#10;FKRt/HLOUp3v+/ePp8/4dDljflFqMh62ryA8Df4//Nd+0woW8x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ZSjMYAAADcAAAADwAAAAAAAAAAAAAAAACYAgAAZHJz&#10;L2Rvd25yZXYueG1sUEsFBgAAAAAEAAQA9QAAAIsDAAAAAA==&#10;" fillcolor="#d8d8d8 [2732]" strokecolor="#243f60 [1604]" strokeweight=".25pt">
                  <v:textbox style="layout-flow:vertical;mso-layout-flow-alt:bottom-to-top" inset="0,0,0,0">
                    <w:txbxContent>
                      <w:p w14:paraId="659F8C59" w14:textId="77777777" w:rsidR="00CA026A" w:rsidRDefault="00CA026A" w:rsidP="00F51B07">
                        <w:pPr>
                          <w:pStyle w:val="NormalWeb"/>
                          <w:spacing w:before="0" w:beforeAutospacing="0" w:after="0" w:afterAutospacing="0"/>
                          <w:jc w:val="center"/>
                        </w:pPr>
                        <w:r>
                          <w:rPr>
                            <w:rFonts w:ascii="Arial Narrow" w:hAnsi="Arial Narrow" w:cstheme="minorBidi"/>
                            <w:color w:val="000000" w:themeColor="text1"/>
                            <w:kern w:val="24"/>
                            <w:sz w:val="14"/>
                            <w:szCs w:val="14"/>
                          </w:rPr>
                          <w:t>Zona de cobertura</w:t>
                        </w:r>
                      </w:p>
                    </w:txbxContent>
                  </v:textbox>
                </v:shape>
                <v:line id="332 Conector recto" o:spid="_x0000_s1155" style="position:absolute;flip:x;visibility:visible;mso-wrap-style:square" from="66041,39936" to="66041,50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tKfcMAAADcAAAADwAAAGRycy9kb3ducmV2LnhtbESPT4vCMBTE7wt+h/CEva1pKyxSjSKC&#10;i+xF/ANeH82zKTYvNYna/fZmQfA4zMxvmNmit624kw+NYwX5KANBXDndcK3geFh/TUCEiKyxdUwK&#10;/ijAYj74mGGp3YN3dN/HWiQIhxIVmBi7UspQGbIYRq4jTt7ZeYsxSV9L7fGR4LaVRZZ9S4sNpwWD&#10;Ha0MVZf9zSrY5b/j4nrMzc/p5K+Heju5baqg1OewX05BROrjO/xqb7SCcVHA/5l0BO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LSn3DAAAA3AAAAA8AAAAAAAAAAAAA&#10;AAAAoQIAAGRycy9kb3ducmV2LnhtbFBLBQYAAAAABAAEAPkAAACRAwAAAAA=&#10;" strokecolor="#4579b8 [3044]" strokeweight=".25pt"/>
                <v:shape id="334 Forma libre" o:spid="_x0000_s1156" style="position:absolute;left:65879;top:26574;width:5825;height:10859;flip:x;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fvCcIA&#10;AADcAAAADwAAAGRycy9kb3ducmV2LnhtbESPUWvCQBCE34X+h2OFvki9GMFI6iltoZhXtT9gyW2T&#10;YG4vvVtj+u97hUIfh5n5htkdJterkULsPBtYLTNQxLW3HTcGPi7vT1tQUZAt9p7JwDdFOOwfZjss&#10;rb/zicazNCpBOJZooBUZSq1j3ZLDuPQDcfI+fXAoSYZG24D3BHe9zrNsox12nBZaHOitpfp6vjkD&#10;x9exCFIVffV1nOJWcrew2hnzOJ9enkEJTfIf/mtX1sA6X8PvmXQE9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8JwgAAANwAAAAPAAAAAAAAAAAAAAAAAJgCAABkcnMvZG93&#10;bnJldi54bWxQSwUGAAAAAAQABAD1AAAAhwMAAAAA&#10;" path="m,993120c2076,792907,108012,453552,216024,288032,324036,122512,539245,190550,648072,e" filled="f" strokecolor="red" strokeweight="1.5pt">
                  <v:path arrowok="t" o:connecttype="custom" o:connectlocs="0,11873;1745,3443;5236,0" o:connectangles="0,0,0"/>
                </v:shape>
                <v:shape id="337 Forma libre" o:spid="_x0000_s1157" style="position:absolute;left:64065;top:38751;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BjdsUA&#10;AADcAAAADwAAAGRycy9kb3ducmV2LnhtbESPT4vCMBTE78J+h/AWvGnqH6StRlmEFQ96sLqwx0fz&#10;bIvNS2lird/eCAt7HGbmN8xq05tadNS6yrKCyTgCQZxbXXGh4HL+HsUgnEfWWFsmBU9ysFl/DFaY&#10;avvgE3WZL0SAsEtRQel9k0rp8pIMurFtiIN3ta1BH2RbSN3iI8BNLadRtJAGKw4LJTa0LSm/ZXej&#10;YHf9vf0k3TF7bmP298tRJ+6QKDX87L+WIDz1/j/8195rBbPpHN5nwhG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4GN2xQAAANwAAAAPAAAAAAAAAAAAAAAAAJgCAABkcnMv&#10;ZG93bnJldi54bWxQSwUGAAAAAAQABAD1AAAAigMAAAAA&#10;" path="m,l723900,e" filled="f" strokecolor="red">
                  <v:path arrowok="t" o:connecttype="custom" o:connectlocs="0,0;62,0" o:connectangles="0,0"/>
                </v:shape>
                <v:shape id="338 CuadroTexto" o:spid="_x0000_s1158" type="#_x0000_t202" style="position:absolute;left:61997;top:36180;width:4514;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14:paraId="6345D864"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346 CuadroTexto" o:spid="_x0000_s1159" type="#_x0000_t202" style="position:absolute;left:13618;top:47338;width:13827;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14:paraId="42817F6E"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Dominio</w:t>
                        </w:r>
                      </w:p>
                      <w:p w14:paraId="7D0265C4" w14:textId="77777777" w:rsidR="00CA026A" w:rsidRDefault="00CA026A" w:rsidP="00F51B07">
                        <w:pPr>
                          <w:pStyle w:val="NormalWeb"/>
                          <w:spacing w:before="0" w:beforeAutospacing="0" w:after="0" w:afterAutospacing="0"/>
                          <w:jc w:val="center"/>
                        </w:pPr>
                        <w:r>
                          <w:rPr>
                            <w:rFonts w:ascii="Arial Narrow" w:hAnsi="Arial Narrow" w:cstheme="minorBidi"/>
                            <w:b/>
                            <w:bCs/>
                            <w:color w:val="FF0000"/>
                            <w:kern w:val="24"/>
                            <w:sz w:val="16"/>
                            <w:szCs w:val="16"/>
                          </w:rPr>
                          <w:t xml:space="preserve">Administrativo </w:t>
                        </w:r>
                        <w:r>
                          <w:rPr>
                            <w:rFonts w:ascii="Arial Narrow" w:hAnsi="Arial Narrow" w:cstheme="minorBidi"/>
                            <w:b/>
                            <w:bCs/>
                            <w:i/>
                            <w:iCs/>
                            <w:color w:val="FF0000"/>
                            <w:kern w:val="24"/>
                            <w:sz w:val="16"/>
                            <w:szCs w:val="16"/>
                          </w:rPr>
                          <w:t>2</w:t>
                        </w:r>
                      </w:p>
                    </w:txbxContent>
                  </v:textbox>
                </v:shape>
                <v:shape id="347 CuadroTexto" o:spid="_x0000_s1160" type="#_x0000_t202" style="position:absolute;left:61502;top:47338;width:13602;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14:paraId="080AAE9B" w14:textId="77777777" w:rsidR="00CA026A" w:rsidRDefault="00CA026A" w:rsidP="00F51B07">
                        <w:pPr>
                          <w:pStyle w:val="NormalWeb"/>
                          <w:spacing w:before="0" w:beforeAutospacing="0" w:after="0" w:afterAutospacing="0"/>
                          <w:jc w:val="center"/>
                        </w:pPr>
                        <w:r>
                          <w:rPr>
                            <w:rFonts w:ascii="Arial Narrow" w:hAnsi="Arial Narrow" w:cstheme="minorBidi"/>
                            <w:b/>
                            <w:bCs/>
                            <w:color w:val="7030A0"/>
                            <w:kern w:val="24"/>
                            <w:sz w:val="16"/>
                            <w:szCs w:val="16"/>
                          </w:rPr>
                          <w:t>Dominio</w:t>
                        </w:r>
                      </w:p>
                      <w:p w14:paraId="1CD92C1B"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7030A0"/>
                            <w:kern w:val="24"/>
                            <w:sz w:val="16"/>
                            <w:szCs w:val="16"/>
                          </w:rPr>
                          <w:t>administrativo</w:t>
                        </w:r>
                        <w:proofErr w:type="gramEnd"/>
                        <w:r>
                          <w:rPr>
                            <w:rFonts w:ascii="Arial Narrow" w:hAnsi="Arial Narrow" w:cstheme="minorBidi"/>
                            <w:b/>
                            <w:bCs/>
                            <w:color w:val="7030A0"/>
                            <w:kern w:val="24"/>
                            <w:sz w:val="16"/>
                            <w:szCs w:val="16"/>
                          </w:rPr>
                          <w:t xml:space="preserve"> </w:t>
                        </w:r>
                        <w:r>
                          <w:rPr>
                            <w:rFonts w:ascii="Arial Narrow" w:hAnsi="Arial Narrow" w:cstheme="minorBidi"/>
                            <w:b/>
                            <w:bCs/>
                            <w:i/>
                            <w:iCs/>
                            <w:color w:val="7030A0"/>
                            <w:kern w:val="24"/>
                            <w:sz w:val="16"/>
                            <w:szCs w:val="16"/>
                          </w:rPr>
                          <w:t>7</w:t>
                        </w:r>
                      </w:p>
                    </w:txbxContent>
                  </v:textbox>
                </v:shape>
                <v:shape id="348 CuadroTexto" o:spid="_x0000_s1161" type="#_x0000_t202" style="position:absolute;left:45367;top:47338;width:13602;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14:paraId="3C3BF48E" w14:textId="77777777" w:rsidR="00CA026A" w:rsidRDefault="00CA026A" w:rsidP="00F51B07">
                        <w:pPr>
                          <w:pStyle w:val="NormalWeb"/>
                          <w:spacing w:before="0" w:beforeAutospacing="0" w:after="0" w:afterAutospacing="0"/>
                          <w:jc w:val="center"/>
                        </w:pPr>
                        <w:r>
                          <w:rPr>
                            <w:rFonts w:ascii="Arial Narrow" w:hAnsi="Arial Narrow" w:cstheme="minorBidi"/>
                            <w:b/>
                            <w:bCs/>
                            <w:color w:val="00B050"/>
                            <w:kern w:val="24"/>
                            <w:sz w:val="16"/>
                            <w:szCs w:val="16"/>
                          </w:rPr>
                          <w:t>Dominio</w:t>
                        </w:r>
                      </w:p>
                      <w:p w14:paraId="6321BD08"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B050"/>
                            <w:kern w:val="24"/>
                            <w:sz w:val="16"/>
                            <w:szCs w:val="16"/>
                          </w:rPr>
                          <w:t>administrativo</w:t>
                        </w:r>
                        <w:proofErr w:type="gramEnd"/>
                        <w:r>
                          <w:rPr>
                            <w:rFonts w:ascii="Arial Narrow" w:hAnsi="Arial Narrow" w:cstheme="minorBidi"/>
                            <w:b/>
                            <w:bCs/>
                            <w:color w:val="00B050"/>
                            <w:kern w:val="24"/>
                            <w:sz w:val="16"/>
                            <w:szCs w:val="16"/>
                          </w:rPr>
                          <w:t xml:space="preserve"> </w:t>
                        </w:r>
                        <w:r>
                          <w:rPr>
                            <w:rFonts w:ascii="Arial Narrow" w:hAnsi="Arial Narrow" w:cstheme="minorBidi"/>
                            <w:b/>
                            <w:bCs/>
                            <w:i/>
                            <w:iCs/>
                            <w:color w:val="00B050"/>
                            <w:kern w:val="24"/>
                            <w:sz w:val="16"/>
                            <w:szCs w:val="16"/>
                          </w:rPr>
                          <w:t>5</w:t>
                        </w:r>
                      </w:p>
                    </w:txbxContent>
                  </v:textbox>
                </v:shape>
                <v:shape id="349 CuadroTexto" o:spid="_x0000_s1162" type="#_x0000_t202" style="position:absolute;left:38177;top:47338;width:13603;height:5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E/MQA&#10;AADcAAAADwAAAGRycy9kb3ducmV2LnhtbESPT4vCMBTE7wt+h/AEb2vinxWtRpFdBE8uuqvg7dE8&#10;22LzUppo67c3wsIeh5n5DbNYtbYUd6p94VjDoK9AEKfOFJxp+P3ZvE9B+IBssHRMGh7kYbXsvC0w&#10;Ma7hPd0PIRMRwj5BDXkIVSKlT3Oy6PuuIo7exdUWQ5R1Jk2NTYTbUg6VmkiLBceFHCv6zCm9Hm5W&#10;w3F3OZ/G6jv7sh9V41ol2c6k1r1uu56DCNSG//Bfe2s0jIY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hPzEAAAA3AAAAA8AAAAAAAAAAAAAAAAAmAIAAGRycy9k&#10;b3ducmV2LnhtbFBLBQYAAAAABAAEAPUAAACJAwAAAAA=&#10;" filled="f" stroked="f">
                  <v:textbox>
                    <w:txbxContent>
                      <w:p w14:paraId="489EB4B4" w14:textId="77777777" w:rsidR="00CA026A" w:rsidRDefault="00CA026A" w:rsidP="00F51B07">
                        <w:pPr>
                          <w:pStyle w:val="NormalWeb"/>
                          <w:spacing w:before="0" w:beforeAutospacing="0" w:after="0" w:afterAutospacing="0"/>
                          <w:jc w:val="center"/>
                        </w:pPr>
                        <w:r>
                          <w:rPr>
                            <w:rFonts w:ascii="Arial Narrow" w:hAnsi="Arial Narrow" w:cstheme="minorBidi"/>
                            <w:b/>
                            <w:bCs/>
                            <w:color w:val="17365D" w:themeColor="text2" w:themeShade="BF"/>
                            <w:kern w:val="24"/>
                            <w:sz w:val="16"/>
                            <w:szCs w:val="16"/>
                          </w:rPr>
                          <w:t>Dominio</w:t>
                        </w:r>
                      </w:p>
                      <w:p w14:paraId="0B872806"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17365D" w:themeColor="text2" w:themeShade="BF"/>
                            <w:kern w:val="24"/>
                            <w:sz w:val="16"/>
                            <w:szCs w:val="16"/>
                          </w:rPr>
                          <w:t>administrativo</w:t>
                        </w:r>
                        <w:proofErr w:type="gramEnd"/>
                        <w:r>
                          <w:rPr>
                            <w:rFonts w:ascii="Arial Narrow" w:hAnsi="Arial Narrow" w:cstheme="minorBidi"/>
                            <w:b/>
                            <w:bCs/>
                            <w:color w:val="17365D" w:themeColor="text2" w:themeShade="BF"/>
                            <w:kern w:val="24"/>
                            <w:sz w:val="16"/>
                            <w:szCs w:val="16"/>
                          </w:rPr>
                          <w:t xml:space="preserve"> </w:t>
                        </w:r>
                        <w:r>
                          <w:rPr>
                            <w:rFonts w:ascii="Arial Narrow" w:hAnsi="Arial Narrow" w:cstheme="minorBidi"/>
                            <w:b/>
                            <w:bCs/>
                            <w:i/>
                            <w:iCs/>
                            <w:color w:val="17365D" w:themeColor="text2" w:themeShade="BF"/>
                            <w:kern w:val="24"/>
                            <w:sz w:val="16"/>
                            <w:szCs w:val="16"/>
                          </w:rPr>
                          <w:t>4</w:t>
                        </w:r>
                      </w:p>
                    </w:txbxContent>
                  </v:textbox>
                </v:shape>
                <v:roundrect id="21 Rectángulo redondeado" o:spid="_x0000_s1163" style="position:absolute;left:19913;top:37426;width:2509;height:25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T5sIA&#10;AADcAAAADwAAAGRycy9kb3ducmV2LnhtbERPz2vCMBS+C/sfwht403QriHRGkQ1R2MHZOsTbo3k2&#10;3ZqXkmTa/ffLYeDx4/u9WA22E1fyoXWs4GmagSCunW65UXCsNpM5iBCRNXaOScEvBVgtH0YLLLS7&#10;8YGuZWxECuFQoAITY19IGWpDFsPU9cSJuzhvMSboG6k93lK47eRzls2kxZZTg8GeXg3V3+WPVbDf&#10;7D7Pbzn6Mr632+ZkvsqPUCk1fhzWLyAiDfEu/nfvtII8T/PTmXQ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NPmwgAAANwAAAAPAAAAAAAAAAAAAAAAAJgCAABkcnMvZG93&#10;bnJldi54bWxQSwUGAAAAAAQABAD1AAAAhwMAAAAA&#10;" fillcolor="#c6d9f1 [671]" strokecolor="#243f60 [1604]" strokeweight="1pt">
                  <v:path arrowok="t"/>
                  <o:lock v:ext="edit" aspectratio="t"/>
                  <v:textbox inset="0,0,0,0">
                    <w:txbxContent>
                      <w:p w14:paraId="20F48165"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(PCL)</w:t>
                        </w:r>
                      </w:p>
                      <w:p w14:paraId="5F14CE97" w14:textId="77777777" w:rsidR="00CA026A" w:rsidRDefault="00CA026A" w:rsidP="00F51B07">
                        <w:pPr>
                          <w:pStyle w:val="NormalWeb"/>
                          <w:spacing w:before="0" w:beforeAutospacing="0" w:after="0" w:afterAutospacing="0"/>
                          <w:jc w:val="center"/>
                        </w:pPr>
                        <w:r>
                          <w:rPr>
                            <w:rFonts w:asciiTheme="minorHAnsi" w:hAnsi="Calibri" w:cstheme="minorBidi"/>
                            <w:b/>
                            <w:bCs/>
                            <w:color w:val="000000" w:themeColor="text1"/>
                            <w:kern w:val="24"/>
                            <w:sz w:val="16"/>
                            <w:szCs w:val="16"/>
                          </w:rPr>
                          <w:t>NCAI</w:t>
                        </w:r>
                      </w:p>
                    </w:txbxContent>
                  </v:textbox>
                </v:roundrect>
                <v:shape id="184 CuadroTexto" o:spid="_x0000_s1164" type="#_x0000_t202" style="position:absolute;left:2824;top:26068;width:1933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eJ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E7H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HifEAAAA3AAAAA8AAAAAAAAAAAAAAAAAmAIAAGRycy9k&#10;b3ducmV2LnhtbFBLBQYAAAAABAAEAPUAAACJAwAAAAA=&#10;" filled="f" stroked="f">
                  <v:textbox>
                    <w:txbxContent>
                      <w:p w14:paraId="721C5C9E"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2</w:t>
                        </w:r>
                      </w:p>
                    </w:txbxContent>
                  </v:textbox>
                </v:shape>
                <v:shape id="187 CuadroTexto" o:spid="_x0000_s1165" type="#_x0000_t202" style="position:absolute;left:19714;top:22586;width:1933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14:paraId="1124CB02"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3</w:t>
                        </w:r>
                      </w:p>
                    </w:txbxContent>
                  </v:textbox>
                </v:shape>
                <v:shape id="190 CuadroTexto" o:spid="_x0000_s1166" type="#_x0000_t202" style="position:absolute;left:19908;top:26068;width:1933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14:paraId="73FA03C1"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4</w:t>
                        </w:r>
                      </w:p>
                    </w:txbxContent>
                  </v:textbox>
                </v:shape>
                <v:shape id="193 CuadroTexto" o:spid="_x0000_s1167" type="#_x0000_t202" style="position:absolute;left:36002;top:22586;width:19332;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9v8QA&#10;AADcAAAADwAAAGRycy9kb3ducmV2LnhtbESPT2vCQBTE7wW/w/KE3nTXPxUbXUUUwVOLaS14e2Sf&#10;STD7NmS3Jn57tyD0OMzMb5jlurOVuFHjS8caRkMFgjhzpuRcw/fXfjAH4QOywcoxabiTh/Wq97LE&#10;xLiWj3RLQy4ihH2CGooQ6kRKnxVk0Q9dTRy9i2sshiibXJoG2wi3lRwrNZMWS44LBda0LSi7pr9W&#10;w+njcv6Zqs98Z9/q1nVKsn2XWr/2u80CRKAu/Ief7YPRMJlM4e9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Dvb/EAAAA3AAAAA8AAAAAAAAAAAAAAAAAmAIAAGRycy9k&#10;b3ducmV2LnhtbFBLBQYAAAAABAAEAPUAAACJAwAAAAA=&#10;" filled="f" stroked="f">
                  <v:textbox>
                    <w:txbxContent>
                      <w:p w14:paraId="1240F337"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5</w:t>
                        </w:r>
                      </w:p>
                    </w:txbxContent>
                  </v:textbox>
                </v:shape>
                <v:shape id="196 CuadroTexto" o:spid="_x0000_s1168" type="#_x0000_t202" style="position:absolute;left:35961;top:26068;width:19332;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224D5908"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6</w:t>
                        </w:r>
                      </w:p>
                    </w:txbxContent>
                  </v:textbox>
                </v:shape>
                <v:shape id="199 CuadroTexto" o:spid="_x0000_s1169" type="#_x0000_t202" style="position:absolute;left:53587;top:22586;width:19331;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2GU8QA&#10;AADcAAAADwAAAGRycy9kb3ducmV2LnhtbESPQWvCQBSE74L/YXlCb7pbtWLTbESUQk8W01ro7ZF9&#10;JqHZtyG7NfHfu4WCx2FmvmHSzWAbcaHO1441PM4UCOLCmZpLDZ8fr9M1CB+QDTaOScOVPGyy8SjF&#10;xLiej3TJQykihH2CGqoQ2kRKX1Rk0c9cSxy9s+sshii7UpoO+wi3jZwrtZIWa44LFba0q6j4yX+t&#10;htPh/P21VO/l3j61vRuUZPsstX6YDNsXEIGGcA//t9+MhsViB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dhlPEAAAA3AAAAA8AAAAAAAAAAAAAAAAAmAIAAGRycy9k&#10;b3ducmV2LnhtbFBLBQYAAAAABAAEAPUAAACJAwAAAAA=&#10;" filled="f" stroked="f">
                  <v:textbox>
                    <w:txbxContent>
                      <w:p w14:paraId="73A72323"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7</w:t>
                        </w:r>
                      </w:p>
                    </w:txbxContent>
                  </v:textbox>
                </v:shape>
                <v:shape id="202 CuadroTexto" o:spid="_x0000_s1170" type="#_x0000_t202" style="position:absolute;left:53546;top:26068;width:19332;height:3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jyMQA&#10;AADcAAAADwAAAGRycy9kb3ducmV2LnhtbESPT2sCMRTE74LfIbxCb5pUW7Vbo0il4MlS/4G3x+a5&#10;u7h5WTbRXb+9KQgeh5n5DTOdt7YUV6p94VjDW1+BIE6dKTjTsNv+9CYgfEA2WDomDTfyMJ91O1NM&#10;jGv4j66bkIkIYZ+ghjyEKpHSpzlZ9H1XEUfv5GqLIco6k6bGJsJtKQdKjaTFguNCjhV955SeNxer&#10;Yb8+HQ/v6jdb2o+qca2SbD+l1q8v7eILRKA2PMOP9spoGA7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I8jEAAAA3AAAAA8AAAAAAAAAAAAAAAAAmAIAAGRycy9k&#10;b3ducmV2LnhtbFBLBQYAAAAABAAEAPUAAACJAwAAAAA=&#10;" filled="f" stroked="f">
                  <v:textbox>
                    <w:txbxContent>
                      <w:p w14:paraId="73334B6D" w14:textId="77777777" w:rsidR="00CA026A" w:rsidRDefault="00CA026A" w:rsidP="00F51B07">
                        <w:pPr>
                          <w:pStyle w:val="NormalWeb"/>
                          <w:spacing w:before="0" w:beforeAutospacing="0" w:after="0" w:afterAutospacing="0"/>
                          <w:jc w:val="center"/>
                        </w:pPr>
                        <w:r>
                          <w:rPr>
                            <w:rFonts w:ascii="Arial Narrow" w:hAnsi="Arial Narrow" w:cstheme="minorBidi"/>
                            <w:b/>
                            <w:bCs/>
                            <w:color w:val="000000" w:themeColor="text1"/>
                            <w:kern w:val="24"/>
                            <w:sz w:val="16"/>
                            <w:szCs w:val="16"/>
                          </w:rPr>
                          <w:t xml:space="preserve">Dominio administrativo </w:t>
                        </w:r>
                        <w:r>
                          <w:rPr>
                            <w:rFonts w:ascii="Arial Narrow" w:hAnsi="Arial Narrow" w:cstheme="minorBidi"/>
                            <w:b/>
                            <w:bCs/>
                            <w:i/>
                            <w:iCs/>
                            <w:color w:val="000000" w:themeColor="text1"/>
                            <w:kern w:val="24"/>
                            <w:sz w:val="16"/>
                            <w:szCs w:val="16"/>
                          </w:rPr>
                          <w:t>8</w:t>
                        </w:r>
                      </w:p>
                    </w:txbxContent>
                  </v:textbox>
                </v:shape>
                <v:shape id="205 Forma libre" o:spid="_x0000_s1171" style="position:absolute;left:61496;top:26023;width:3346;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rsEA&#10;AADcAAAADwAAAGRycy9kb3ducmV2LnhtbERPy4rCMBTdC/MP4Qqz01QFsR1TGYSRWejC2oFZXprb&#10;BzY3pYm1/r1ZCC4P573djaYVA/WusaxgMY9AEBdWN1wpyC8/sw0I55E1tpZJwYMc7NKPyRYTbe98&#10;piHzlQgh7BJUUHvfJVK6oiaDbm474sCVtjfoA+wrqXu8h3DTymUUraXBhkNDjR3tayqu2c0oOJT/&#10;1794OGWP/Yb9LT/p2B1jpT6n4/cXCE+jf4tf7l+tYLUKa8OZc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0/67BAAAA3AAAAA8AAAAAAAAAAAAAAAAAmAIAAGRycy9kb3du&#10;cmV2LnhtbFBLBQYAAAAABAAEAPUAAACGAwAAAAA=&#10;" path="m,l723900,e" filled="f" strokecolor="red">
                  <v:path arrowok="t" o:connecttype="custom" o:connectlocs="0,0;1547,0" o:connectangles="0,0"/>
                </v:shape>
                <v:shape id="230 Forma libre" o:spid="_x0000_s1172" style="position:absolute;left:51601;top:14370;width:3347;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haNcMA&#10;AADcAAAADwAAAGRycy9kb3ducmV2LnhtbESPQYvCMBSE74L/ITzBm6YqiK1GEcFlD3qwKnh8NM+2&#10;2LyUJtb6783CgsdhZr5hVpvOVKKlxpWWFUzGEQjizOqScwWX8360AOE8ssbKMil4k4PNut9bYaLt&#10;i0/Upj4XAcIuQQWF93UipcsKMujGtiYO3t02Bn2QTS51g68AN5WcRtFcGiw5LBRY066g7JE+jYKf&#10;++1xjdtj+t4t2D8vRx27Q6zUcNBtlyA8df4b/m//agWzWQx/Z8IRkOs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haNcMAAADcAAAADwAAAAAAAAAAAAAAAACYAgAAZHJzL2Rv&#10;d25yZXYueG1sUEsFBgAAAAAEAAQA9QAAAIgDAAAAAA==&#10;" path="m,l723900,e" filled="f" strokecolor="red">
                  <v:path arrowok="t" o:connecttype="custom" o:connectlocs="0,0;1547,0" o:connectangles="0,0"/>
                </v:shape>
                <v:group id="261 Grupo" o:spid="_x0000_s1173" style="position:absolute;left:15892;top:14966;width:16470;height:9255" coordorigin="15892,14966" coordsize="17887,1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262 Forma libre" o:spid="_x0000_s1174" style="position:absolute;left:15892;top:15063;width:12575;height:14451;visibility:visible;mso-wrap-style:square;v-text-anchor:middle" coordsize="648605,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vy8QA&#10;AADcAAAADwAAAGRycy9kb3ducmV2LnhtbESPQWsCMRSE70L/Q3gFb5pVS9GtUURoUaEHV/H82Lzu&#10;Lm5e1iRq/PdNoeBxmJlvmPkymlbcyPnGsoLRMANBXFrdcKXgePgcTEH4gKyxtUwKHuRhuXjpzTHX&#10;9s57uhWhEgnCPkcFdQhdLqUvazLoh7YjTt6PdQZDkq6S2uE9wU0rx1n2Lg02nBZq7GhdU3kurkbB&#10;bLr+utC2OhXudN4V103cfa+iUv3XuPoAESiGZ/i/vdEKJm8j+Du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Rb8vEAAAA3AAAAA8AAAAAAAAAAAAAAAAAmAIAAGRycy9k&#10;b3ducmV2LnhtbFBLBQYAAAAABAAEAPUAAACJAwAAAAA=&#10;" path="m,993120c2426,863206,35834,499985,143846,334465,251858,168945,648605,258090,648072,e" filled="f" strokecolor="red" strokeweight="1.5pt">
                    <v:path arrowok="t" o:connecttype="custom" o:connectlocs="0,21028;5407,7082;24361,0" o:connectangles="0,0,0"/>
                  </v:shape>
                  <v:shape id="265 Forma libre" o:spid="_x0000_s1175" style="position:absolute;left:29359;top:14966;width:4420;height:14548;flip:x;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MsMA&#10;AADcAAAADwAAAGRycy9kb3ducmV2LnhtbESPUWvCQBCE3wv9D8cWfCn1YlqqRE+pgpjXan/Aktsm&#10;wdxeerfG+O+9QqGPw8x8w6w2o+vUQCG2ng3Mphko4srblmsDX6f9ywJUFGSLnWcycKMIm/XjwwoL&#10;66/8ScNRapUgHAs00Ij0hdaxashhnPqeOHnfPjiUJEOtbcBrgrtO51n2rh22nBYa7GnXUHU+XpyB&#10;w3aYBynnXflzGONCcvdstTNm8jR+LEEJjfIf/muX1sDrWw6/Z9IR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vMsMAAADcAAAADwAAAAAAAAAAAAAAAACYAgAAZHJzL2Rv&#10;d25yZXYueG1sUEsFBgAAAAAEAAQA9QAAAIgDAAAAAA==&#10;" path="m,993120c1169,858149,33668,508061,141680,342541,249692,177021,625027,224094,648072,e" filled="f" strokecolor="red" strokeweight="1.5pt">
                    <v:path arrowok="t" o:connecttype="custom" o:connectlocs="0,21312;659,7351;3015,0" o:connectangles="0,0,0"/>
                  </v:shape>
                </v:group>
                <v:group id="266 Grupo" o:spid="_x0000_s1176" style="position:absolute;left:49027;top:14866;width:17154;height:9255;flip:x" coordorigin="49027,14866" coordsize="17887,1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4hMsIAAADcAAAADwAAAGRycy9kb3ducmV2LnhtbESPQYvCMBSE7wv+h/AE&#10;b2uqFpGuUURQRLxs1cXjo3nbhm1eShO1/nsjLHgcZuYbZr7sbC1u1HrjWMFomIAgLpw2XCo4HTef&#10;MxA+IGusHZOCB3lYLnofc8y0u/M33fJQighhn6GCKoQmk9IXFVn0Q9cQR+/XtRZDlG0pdYv3CLe1&#10;HCfJVFo0HBcqbGhdUfGXX62C88qklP5c9oekINppednmJlVq0O9WXyACdeEd/m/vtIJJOoHXmXgE&#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MeITLCAAAA3AAAAA8A&#10;AAAAAAAAAAAAAAAAqgIAAGRycy9kb3ducmV2LnhtbFBLBQYAAAAABAAEAPoAAACZAwAAAAA=&#10;">
                  <v:shape id="269 Forma libre" o:spid="_x0000_s1177" style="position:absolute;left:49027;top:14963;width:9781;height:14451;visibility:visible;mso-wrap-style:square;v-text-anchor:middle" coordsize="648605,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MU8QA&#10;AADcAAAADwAAAGRycy9kb3ducmV2LnhtbESPQWsCMRSE7wX/Q3gFbzXbKkW3RhGhokIPruL5sXnd&#10;Xdy8rEnU+O9NoeBxmJlvmOk8mlZcyfnGsoL3QQaCuLS64UrBYf/9NgbhA7LG1jIpuJOH+az3MsVc&#10;2xvv6FqESiQI+xwV1CF0uZS+rMmgH9iOOHm/1hkMSbpKaoe3BDet/MiyT2mw4bRQY0fLmspTcTEK&#10;JuPl6kyb6li442lbXNZx+7OISvVf4+ILRKAYnuH/9lorGI5G8HcmHQ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mzFPEAAAA3AAAAA8AAAAAAAAAAAAAAAAAmAIAAGRycy9k&#10;b3ducmV2LnhtbFBLBQYAAAAABAAEAPUAAACJAwAAAAA=&#10;" path="m,993120c2426,863206,35834,499985,143846,334465,251858,168945,648605,258090,648072,e" filled="f" strokecolor="red" strokeweight="1.5pt">
                    <v:path arrowok="t" o:connecttype="custom" o:connectlocs="0,21028;3271,7082;14738,0" o:connectangles="0,0,0"/>
                  </v:shape>
                  <v:shape id="276 Forma libre" o:spid="_x0000_s1178" style="position:absolute;left:59734;top:14866;width:7180;height:14548;flip:x;visibility:visible;mso-wrap-style:square;v-text-anchor:middle" coordsize="654088,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q28QA&#10;AADcAAAADwAAAGRycy9kb3ducmV2LnhtbESPT4vCMBTE74LfITxhb5qu/9CuUXRBqODFKp4fzbPt&#10;bvNSm6x2v70RBI/DzPyGWaxaU4kbNa60rOBzEIEgzqwuOVdwOm77MxDOI2usLJOCf3KwWnY7C4y1&#10;vfOBbqnPRYCwi1FB4X0dS+myggy6ga2Jg3exjUEfZJNL3eA9wE0lh1E0lQZLDgsF1vRdUPab/hkF&#10;Vxztzj/bZJifrvNsE/lET/ZjpT567foLhKfWv8OvdqIVjMYT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KKtvEAAAA3AAAAA8AAAAAAAAAAAAAAAAAmAIAAGRycy9k&#10;b3ducmV2LnhtbFBLBQYAAAAABAAEAPUAAACJAwAAAAA=&#10;" path="m,993120c1169,858149,33669,533593,141681,368073,249693,202553,654088,249627,648072,e" filled="f" strokecolor="red" strokeweight="1.5pt">
                    <v:path arrowok="t" o:connecttype="custom" o:connectlocs="0,21312;1707,7899;7809,0" o:connectangles="0,0,0"/>
                  </v:shape>
                </v:group>
                <v:shape id="188 Y" o:spid="_x0000_s1179" type="#_x0000_t123" style="position:absolute;left:17685;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3EbMMA&#10;AADcAAAADwAAAGRycy9kb3ducmV2LnhtbESPQYvCMBSE74L/ITzBm6bqUrUaRRZ28SRaPXh8NM+2&#10;2LzUJmr3328EweMwM98wy3VrKvGgxpWWFYyGEQjizOqScwWn489gBsJ5ZI2VZVLwRw7Wq25niYm2&#10;Tz7QI/W5CBB2CSoovK8TKV1WkEE3tDVx8C62MeiDbHKpG3wGuKnkOIpiabDksFBgTd8FZdf0bhTs&#10;9tNYbrYp3Vt7Ox0uOD//llqpfq/dLEB4av0n/G5vtYLJVwyvM+E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3EbMMAAADcAAAADwAAAAAAAAAAAAAAAACYAgAAZHJzL2Rv&#10;d25yZXYueG1sUEsFBgAAAAAEAAQA9QAAAIgDAAAAAA==&#10;" fillcolor="#d8d8d8 [2732]" strokecolor="gray [1629]" strokeweight="1.5pt">
                  <v:path arrowok="t"/>
                  <o:lock v:ext="edit" aspectratio="t"/>
                </v:shape>
                <v:shape id="173 Forma libre" o:spid="_x0000_s1180" style="position:absolute;left:13298;top:38721;width:954;height:475;visibility:visible;mso-wrap-style:square;v-text-anchor:middle" coordsize="723900,47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8zgcYA&#10;AADcAAAADwAAAGRycy9kb3ducmV2LnhtbESPW2vCQBSE3wX/w3KEvunGtHhJXUUKpZeHUi+0r4fs&#10;aRLNng3Zo6b/vlsQfBxm5htmsepcrc7UhsqzgfEoAUWce1txYWC/ex7OQAVBtlh7JgO/FGC17PcW&#10;mFl/4Q2dt1KoCOGQoYFSpMm0DnlJDsPIN8TR+/GtQ4myLbRt8RLhrtZpkky0w4rjQokNPZWUH7cn&#10;ZyA9vcxT/Xl8m/gg3x/26+Df5WDM3aBbP4IS6uQWvrZfrYH7hyn8n4lH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8zgcYAAADcAAAADwAAAAAAAAAAAAAAAACYAgAAZHJz&#10;L2Rvd25yZXYueG1sUEsFBgAAAAAEAAQA9QAAAIsDAAAAAA==&#10;" path="m,l723900,e" filled="f" strokecolor="red">
                  <v:path arrowok="t" o:connecttype="custom" o:connectlocs="0,0;126,0" o:connectangles="0,0"/>
                </v:shape>
                <v:shape id="174 Y" o:spid="_x0000_s1181" type="#_x0000_t123" style="position:absolute;left:11944;top:37818;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71hcAA&#10;AADcAAAADwAAAGRycy9kb3ducmV2LnhtbERPy4rCMBTdC/5DuII7TX2gMx2jiKC4EltdzPLSXNti&#10;c1ObqPXvzUJweTjvxao1lXhQ40rLCkbDCARxZnXJuYLzaTv4AeE8ssbKMil4kYPVsttZYKztkxN6&#10;pD4XIYRdjAoK7+tYSpcVZNANbU0cuIttDPoAm1zqBp8h3FRyHEUzabDk0FBgTZuCsmt6NwoOx/lM&#10;rvcp3Vt7OycX/P3flVqpfq9d/4Hw1Pqv+OPeawWTaVgbzo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P71hcAAAADcAAAADwAAAAAAAAAAAAAAAACYAgAAZHJzL2Rvd25y&#10;ZXYueG1sUEsFBgAAAAAEAAQA9QAAAIUDAAAAAA==&#10;" fillcolor="#d8d8d8 [2732]" strokecolor="gray [1629]" strokeweight="1.5pt">
                  <v:path arrowok="t"/>
                  <o:lock v:ext="edit" aspectratio="t"/>
                </v:shape>
                <v:shape id="185 Y" o:spid="_x0000_s1182" type="#_x0000_t123" style="position:absolute;left:6444;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JQHsMA&#10;AADcAAAADwAAAGRycy9kb3ducmV2LnhtbESPQYvCMBSE7wv+h/AEb2uqLq7WpiILK55EqwePj+bZ&#10;FpuX2kSt/34jCHscZuYbJll2phZ3al1lWcFoGIEgzq2uuFBwPPx+zkA4j6yxtkwKnuRgmfY+Eoy1&#10;ffCe7pkvRICwi1FB6X0TS+nykgy6oW2Ig3e2rUEfZFtI3eIjwE0tx1E0lQYrDgslNvRTUn7JbkbB&#10;dvc9latNRrfOXo/7M85P60orNeh3qwUIT53/D7/bG61g8jWH1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JQHsMAAADcAAAADwAAAAAAAAAAAAAAAACYAgAAZHJzL2Rv&#10;d25yZXYueG1sUEsFBgAAAAAEAAQA9QAAAIgDAAAAAA==&#10;" fillcolor="#d8d8d8 [2732]" strokecolor="gray [1629]" strokeweight="1.5pt">
                  <v:path arrowok="t"/>
                  <o:lock v:ext="edit" aspectratio="t"/>
                </v:shape>
                <v:shape id="101 Y" o:spid="_x0000_s1183" type="#_x0000_t123" style="position:absolute;left:806;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FvXr8A&#10;AADcAAAADwAAAGRycy9kb3ducmV2LnhtbERPTYvCMBC9C/6HMII3TVXU3a5RRFA8ia0e9jg0Y1ts&#10;JrWJWv+9OQgeH+97sWpNJR7UuNKygtEwAkGcWV1yruB82g5+QDiPrLGyTApe5GC17HYWGGv75IQe&#10;qc9FCGEXo4LC+zqW0mUFGXRDWxMH7mIbgz7AJpe6wWcIN5UcR9FMGiw5NBRY06ag7JrejYLDcT6T&#10;631K99bezskFf/93pVaq32vXfyA8tf4r/rj3WsFkGuaHM+EI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UW9evwAAANwAAAAPAAAAAAAAAAAAAAAAAJgCAABkcnMvZG93bnJl&#10;di54bWxQSwUGAAAAAAQABAD1AAAAhAMAAAAA&#10;" fillcolor="#d8d8d8 [2732]" strokecolor="gray [1629]" strokeweight="1.5pt">
                  <v:path arrowok="t"/>
                  <o:lock v:ext="edit" aspectratio="t"/>
                </v:shape>
                <v:shape id="191 Y" o:spid="_x0000_s1184" type="#_x0000_t123" style="position:absolute;left:23386;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3KxcQA&#10;AADcAAAADwAAAGRycy9kb3ducmV2LnhtbESPQWvCQBSE74L/YXlCb7rRotbUTRDBklOpqQePj+wz&#10;Cc2+jdnVpP/eLRQ8DjPzDbNNB9OIO3WutqxgPotAEBdW11wqOH0fpm8gnEfW2FgmBb/kIE3Goy3G&#10;2vZ8pHvuSxEg7GJUUHnfxlK6oiKDbmZb4uBdbGfQB9mVUnfYB7hp5CKKVtJgzWGhwpb2FRU/+c0o&#10;+Pxar+Quy+k22OvpeMHN+aPWSr1Mht07CE+Df4b/25lW8Lqcw9+ZcARk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dysXEAAAA3AAAAA8AAAAAAAAAAAAAAAAAmAIAAGRycy9k&#10;b3ducmV2LnhtbFBLBQYAAAAABAAEAPUAAACJAwAAAAA=&#10;" fillcolor="#d8d8d8 [2732]" strokecolor="gray [1629]" strokeweight="1.5pt">
                  <v:path arrowok="t"/>
                  <o:lock v:ext="edit" aspectratio="t"/>
                </v:shape>
                <v:shape id="175 Forma libre" o:spid="_x0000_s1185" style="position:absolute;left:35626;top:38721;width:954;height:475;visibility:visible;mso-wrap-style:square;v-text-anchor:middle" coordsize="723900,47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EGxMUA&#10;AADcAAAADwAAAGRycy9kb3ducmV2LnhtbESPQWvCQBSE70L/w/IKvenGlEqNrlIKpa2HYlX0+sg+&#10;k2j2bcg+Nf33bkHwOMzMN8x03rlanakNlWcDw0ECijj3tuLCwGb90X8FFQTZYu2ZDPxRgPnsoTfF&#10;zPoL/9J5JYWKEA4ZGihFmkzrkJfkMAx8Qxy9vW8dSpRtoW2Llwh3tU6TZKQdVhwXSmzovaT8uDo5&#10;A+npc5zq5fF75IPsfuz24BdyMObpsXubgBLq5B6+tb+sgeeXFP7PxCO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UQbExQAAANwAAAAPAAAAAAAAAAAAAAAAAJgCAABkcnMv&#10;ZG93bnJldi54bWxQSwUGAAAAAAQABAD1AAAAigMAAAAA&#10;" path="m,l723900,e" filled="f" strokecolor="red">
                  <v:path arrowok="t" o:connecttype="custom" o:connectlocs="0,0;126,0" o:connectangles="0,0"/>
                </v:shape>
                <v:shape id="176 Y" o:spid="_x0000_s1186" type="#_x0000_t123" style="position:absolute;left:34272;top:37818;width:1793;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PxKcUA&#10;AADcAAAADwAAAGRycy9kb3ducmV2LnhtbESPT2vCQBTE7wW/w/IKvdVNDbU1dSMitOQkmnrw+Mg+&#10;k9Ds25jd/Om37wpCj8PM/IZZbybTiIE6V1tW8DKPQBAXVtdcKjh9fz6/g3AeWWNjmRT8koNNOntY&#10;Y6LtyEcacl+KAGGXoILK+zaR0hUVGXRz2xIH72I7gz7IrpS6wzHATSMXUbSUBmsOCxW2tKuo+Ml7&#10;o2B/eFvKbZZTP9nr6XjB1fmr1ko9PU7bDxCeJv8fvrczrSB+jeF2Jhw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EpxQAAANwAAAAPAAAAAAAAAAAAAAAAAJgCAABkcnMv&#10;ZG93bnJldi54bWxQSwUGAAAAAAQABAD1AAAAigMAAAAA&#10;" fillcolor="#d8d8d8 [2732]" strokecolor="gray [1629]" strokeweight="1.5pt">
                  <v:path arrowok="t"/>
                  <o:lock v:ext="edit" aspectratio="t"/>
                </v:shape>
                <v:shape id="197 Y" o:spid="_x0000_s1187" type="#_x0000_t123" style="position:absolute;left:40066;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pXcUA&#10;AADcAAAADwAAAGRycy9kb3ducmV2LnhtbESPS2vDMBCE74X8B7GB3mq5jzzqRgmh0JJTqB0fclys&#10;jW1qrVxLsZ1/HwUCPQ4z8w2z2oymET11rras4DmKQRAXVtdcKsgPX09LEM4ja2wsk4ILOdisJw8r&#10;TLQdOKU+86UIEHYJKqi8bxMpXVGRQRfZljh4J9sZ9EF2pdQdDgFuGvkSx3NpsOawUGFLnxUVv9nZ&#10;KNj/LOZyu8voPNq/PD3h+/G71ko9TsftBwhPo/8P39s7reB19ga3M+EI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mldxQAAANwAAAAPAAAAAAAAAAAAAAAAAJgCAABkcnMv&#10;ZG93bnJldi54bWxQSwUGAAAAAAQABAD1AAAAigMAAAAA&#10;" fillcolor="#d8d8d8 [2732]" strokecolor="gray [1629]" strokeweight="1.5pt">
                  <v:path arrowok="t"/>
                  <o:lock v:ext="edit" aspectratio="t"/>
                </v:shape>
                <v:shape id="200 Y" o:spid="_x0000_s1188" type="#_x0000_t123" style="position:absolute;left:45675;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bMxsUA&#10;AADcAAAADwAAAGRycy9kb3ducmV2LnhtbESPT2vCQBTE7wW/w/KE3upGi2lN3YgILZ6KST14fGSf&#10;SWj2bcxu/vTbdwtCj8PM/IbZ7ibTiIE6V1tWsFxEIIgLq2suFZy/3p9eQTiPrLGxTAp+yMEunT1s&#10;MdF25IyG3JciQNglqKDyvk2kdEVFBt3CtsTBu9rOoA+yK6XucAxw08hVFMXSYM1hocKWDhUV33lv&#10;FHyeXmK5P+bUT/Z2zq64uXzUWqnH+bR/A+Fp8v/he/uoFTyv1/B3JhwB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szGxQAAANwAAAAPAAAAAAAAAAAAAAAAAJgCAABkcnMv&#10;ZG93bnJldi54bWxQSwUGAAAAAAQABAD1AAAAigMAAAAA&#10;" fillcolor="#d8d8d8 [2732]" strokecolor="gray [1629]" strokeweight="1.5pt">
                  <v:path arrowok="t"/>
                  <o:lock v:ext="edit" aspectratio="t"/>
                </v:shape>
                <v:shape id="203 Y" o:spid="_x0000_s1189" type="#_x0000_t123" style="position:absolute;left:51404;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scMA&#10;AADcAAAADwAAAGRycy9kb3ducmV2LnhtbESPQYvCMBSE74L/ITzBm6YqW7UaRRZ28SRaPXh8NM+2&#10;2LzUJmr3328EweMwM98wy3VrKvGgxpWWFYyGEQjizOqScwWn489gBsJ5ZI2VZVLwRw7Wq25niYm2&#10;Tz7QI/W5CBB2CSoovK8TKV1WkEE3tDVx8C62MeiDbHKpG3wGuKnkOIpiabDksFBgTd8FZdf0bhTs&#10;9tNYbrYp3Vt7Ox0uOD//llqpfq/dLEB4av0n/G5vtYLJVwyvM+E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scMAAADcAAAADwAAAAAAAAAAAAAAAACYAgAAZHJzL2Rv&#10;d25yZXYueG1sUEsFBgAAAAAEAAQA9QAAAIgDAAAAAA==&#10;" fillcolor="#d8d8d8 [2732]" strokecolor="gray [1629]" strokeweight="1.5pt">
                  <v:path arrowok="t"/>
                  <o:lock v:ext="edit" aspectratio="t"/>
                </v:shape>
                <v:shape id="336 Y" o:spid="_x0000_s1190" type="#_x0000_t123" style="position:absolute;left:62607;top:37798;width:1793;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3KsQA&#10;AADcAAAADwAAAGRycy9kb3ducmV2LnhtbESPQWvCQBSE74L/YXlCb7qpRa3RVYJgyanU6KHHR/aZ&#10;hGbfxuzGpP/eLRQ8DjPzDbPdD6YWd2pdZVnB6ywCQZxbXXGh4HI+Tt9BOI+ssbZMCn7JwX43Hm0x&#10;1rbnE90zX4gAYRejgtL7JpbS5SUZdDPbEAfvaluDPsi2kLrFPsBNLedRtJQGKw4LJTZ0KCn/yTqj&#10;4PNrtZRJmlE32NvldMX190ellXqZDMkGhKfBP8P/7VQreFus4O9MOAJy9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9yrEAAAA3AAAAA8AAAAAAAAAAAAAAAAAmAIAAGRycy9k&#10;b3ducmV2LnhtbFBLBQYAAAAABAAEAPUAAACJAwAAAAA=&#10;" fillcolor="#d8d8d8 [2732]" strokecolor="gray [1629]" strokeweight="1.5pt">
                  <v:path arrowok="t"/>
                  <o:lock v:ext="edit" aspectratio="t"/>
                </v:shape>
                <v:shape id="206 Y" o:spid="_x0000_s1191" type="#_x0000_t123" style="position:absolute;left:68228;top:37798;width:1794;height:1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djWL8A&#10;AADcAAAADwAAAGRycy9kb3ducmV2LnhtbERPTYvCMBC9C/6HMII3TVXU3a5RRFA8ia0e9jg0Y1ts&#10;JrWJWv+9OQgeH+97sWpNJR7UuNKygtEwAkGcWV1yruB82g5+QDiPrLGyTApe5GC17HYWGGv75IQe&#10;qc9FCGEXo4LC+zqW0mUFGXRDWxMH7mIbgz7AJpe6wWcIN5UcR9FMGiw5NBRY06ag7JrejYLDcT6T&#10;631K99bezskFf/93pVaq32vXfyA8tf4r/rj3WsFkGtaGM+EI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J2NYvwAAANwAAAAPAAAAAAAAAAAAAAAAAJgCAABkcnMvZG93bnJl&#10;di54bWxQSwUGAAAAAAQABAD1AAAAhAMAAAAA&#10;" fillcolor="#d8d8d8 [2732]" strokecolor="gray [1629]" strokeweight="1.5pt">
                  <v:path arrowok="t"/>
                  <o:lock v:ext="edit" aspectratio="t"/>
                </v:shape>
                <v:shape id="179 Forma libre" o:spid="_x0000_s1192" style="position:absolute;left:75286;top:38730;width:670;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lcUA&#10;AADcAAAADwAAAGRycy9kb3ducmV2LnhtbESPQWvCQBSE7wX/w/KE3pqNlRYTXYMEKj3UQ9MUPD6y&#10;zySYfRuya4z/vlsQPA4z8w2zySbTiZEG11pWsIhiEMSV1S3XCsqfj5cVCOeRNXaWScGNHGTb2dMG&#10;U22v/E1j4WsRIOxSVNB436dSuqohgy6yPXHwTnYw6IMcaqkHvAa46eRrHL9Lgy2HhQZ7yhuqzsXF&#10;KNifjuffZDwUt3zF/lIedOK+EqWe59NuDcLT5B/he/tTK1i+JfB/Jhw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7+VxQAAANwAAAAPAAAAAAAAAAAAAAAAAJgCAABkcnMv&#10;ZG93bnJldi54bWxQSwUGAAAAAAQABAD1AAAAigMAAAAA&#10;" path="m,l723900,e" filled="f" strokecolor="red">
                  <v:path arrowok="t" o:connecttype="custom" o:connectlocs="0,0;62,0" o:connectangles="0,0"/>
                </v:shape>
                <v:shape id="180 Y" o:spid="_x0000_s1193" type="#_x0000_t123" style="position:absolute;left:73828;top:37777;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2l478A&#10;AADcAAAADwAAAGRycy9kb3ducmV2LnhtbERPTYvCMBC9C/6HMII3Td2FqtUoIuziSbT24HFoxrbY&#10;TGoTtf57cxA8Pt73ct2ZWjyodZVlBZNxBII4t7riQkF2+hvNQDiPrLG2TApe5GC96veWmGj75CM9&#10;Ul+IEMIuQQWl900ipctLMujGtiEO3MW2Bn2AbSF1i88Qbmr5E0WxNFhxaCixoW1J+TW9GwX7wzSW&#10;m11K987esuMF5+f/Sis1HHSbBQhPnf+KP+6dVvAbh/nhTDgCcvU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PaXjvwAAANwAAAAPAAAAAAAAAAAAAAAAAJgCAABkcnMvZG93bnJl&#10;di54bWxQSwUGAAAAAAQABAD1AAAAhAMAAAAA&#10;" fillcolor="#d8d8d8 [2732]" strokecolor="gray [1629]" strokeweight="1.5pt">
                  <v:path arrowok="t"/>
                  <o:lock v:ext="edit" aspectratio="t"/>
                </v:shape>
                <v:shape id="208 Forma libre" o:spid="_x0000_s1194" style="position:absolute;left:80944;top:38813;width:669;height:0;visibility:visible;mso-wrap-style:square;v-text-anchor:middle" coordsize="723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5LsUA&#10;AADcAAAADwAAAGRycy9kb3ducmV2LnhtbESPT2vCQBTE74V+h+UVeqsbLYhJs0oJWHrQg1HB4yP7&#10;8gezb0N2E+O3dwsFj8PM/IZJN5NpxUi9aywrmM8iEMSF1Q1XCk7H7ccKhPPIGlvLpOBODjbr15cU&#10;E21vfKAx95UIEHYJKqi97xIpXVGTQTezHXHwStsb9EH2ldQ93gLctHIRRUtpsOGwUGNHWU3FNR+M&#10;gp/ycj3H4z6/Zyv2w2mvY7eLlXp/m76/QHia/DP83/7VCj6Xc/g7E4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kuxQAAANwAAAAPAAAAAAAAAAAAAAAAAJgCAABkcnMv&#10;ZG93bnJldi54bWxQSwUGAAAAAAQABAD1AAAAigMAAAAA&#10;" path="m,l723900,e" filled="f" strokecolor="red">
                  <v:path arrowok="t" o:connecttype="custom" o:connectlocs="0,0;62,0" o:connectangles="0,0"/>
                </v:shape>
                <v:shape id="210 Y" o:spid="_x0000_s1195" type="#_x0000_t123" style="position:absolute;left:79485;top:37860;width:1794;height:1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eD8MA&#10;AADcAAAADwAAAGRycy9kb3ducmV2LnhtbESPT4vCMBTE74LfITzBm6arUN1uo4iwiyfR6sHjo3n9&#10;wzYvtYna/fYbQfA4zMxvmHTdm0bcqXO1ZQUf0wgEcW51zaWC8+l7sgThPLLGxjIp+CMH69VwkGKi&#10;7YOPdM98KQKEXYIKKu/bREqXV2TQTW1LHLzCdgZ9kF0pdYePADeNnEVRLA3WHBYqbGlbUf6b3YyC&#10;/WERy80uo1tvr+djgZ+Xn1orNR71my8Qnnr/Dr/aO61gHs/geS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OeD8MAAADcAAAADwAAAAAAAAAAAAAAAACYAgAAZHJzL2Rv&#10;d25yZXYueG1sUEsFBgAAAAAEAAQA9QAAAIgDAAAAAA==&#10;" fillcolor="#d8d8d8 [2732]" strokecolor="gray [1629]" strokeweight="1.5pt">
                  <v:path arrowok="t"/>
                  <o:lock v:ext="edit" aspectratio="t"/>
                </v:shape>
                <v:shape id="211 CuadroTexto" o:spid="_x0000_s1196" type="#_x0000_t202" style="position:absolute;left:11699;top:36180;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K1sQA&#10;AADcAAAADwAAAGRycy9kb3ducmV2LnhtbESPQWvCQBSE74L/YXlCb7pbtWLTbESUQk8W01ro7ZF9&#10;JqHZtyG7NfHfu4WCx2FmvmHSzWAbcaHO1441PM4UCOLCmZpLDZ8fr9M1CB+QDTaOScOVPGyy8SjF&#10;xLiej3TJQykihH2CGqoQ2kRKX1Rk0c9cSxy9s+sshii7UpoO+wi3jZwrtZIWa44LFba0q6j4yX+t&#10;htPh/P21VO/l3j61vRuUZPsstX6YDNsXEIGGcA//t9+MhsVq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CtbEAAAA3AAAAA8AAAAAAAAAAAAAAAAAmAIAAGRycy9k&#10;b3ducmV2LnhtbFBLBQYAAAAABAAEAPUAAACJAwAAAAA=&#10;" filled="f" stroked="f">
                  <v:textbox>
                    <w:txbxContent>
                      <w:p w14:paraId="15DCD0CF"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14 CuadroTexto" o:spid="_x0000_s1197" type="#_x0000_t202" style="position:absolute;left:33863;top:36180;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591C7170"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16 CuadroTexto" o:spid="_x0000_s1198" type="#_x0000_t202" style="position:absolute;left:73271;top:36180;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2372E008"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20 CuadroTexto" o:spid="_x0000_s1199" type="#_x0000_t202" style="position:absolute;left:78912;top:36180;width:4513;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7B7E2EA" w14:textId="77777777" w:rsidR="00CA026A" w:rsidRDefault="00CA026A" w:rsidP="00F51B07">
                        <w:pPr>
                          <w:pStyle w:val="NormalWeb"/>
                          <w:spacing w:before="0" w:beforeAutospacing="0" w:after="0" w:afterAutospacing="0"/>
                          <w:jc w:val="center"/>
                        </w:pPr>
                        <w:proofErr w:type="gramStart"/>
                        <w:r>
                          <w:rPr>
                            <w:rFonts w:ascii="Arial Narrow" w:hAnsi="Arial Narrow" w:cstheme="minorBidi"/>
                            <w:b/>
                            <w:bCs/>
                            <w:color w:val="000000" w:themeColor="text1"/>
                            <w:kern w:val="24"/>
                            <w:sz w:val="12"/>
                            <w:szCs w:val="12"/>
                          </w:rPr>
                          <w:t>pCAI</w:t>
                        </w:r>
                        <w:proofErr w:type="gramEnd"/>
                      </w:p>
                    </w:txbxContent>
                  </v:textbox>
                </v:shape>
                <v:shape id="224 Forma libre" o:spid="_x0000_s1200" style="position:absolute;left:15530;top:26629;width:458;height:10777;visibility:visible;mso-wrap-style:square;v-text-anchor:middle" coordsize="64807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djMIA&#10;AADcAAAADwAAAGRycy9kb3ducmV2LnhtbERPy4rCMBTdC/MP4Q6403R8FKmmZRB8oLhQZzHLa3On&#10;LdPclCZq/XuzEFweznuRdaYWN2pdZVnB1zACQZxbXXGh4Oe8GsxAOI+ssbZMCh7kIEs/egtMtL3z&#10;kW4nX4gQwi5BBaX3TSKly0sy6Ia2IQ7cn20N+gDbQuoW7yHc1HIURbE0WHFoKLGhZUn5/+lqFBwm&#10;1nTR7LKsN6Pf/doWuJ/uUKn+Z/c9B+Gp82/xy73VCsZxWBv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GR2MwgAAANwAAAAPAAAAAAAAAAAAAAAAAJgCAABkcnMvZG93&#10;bnJldi54bWxQSwUGAAAAAAQABAD1AAAAhwMAAAAA&#10;" path="m,993120c93306,739638,108012,453552,216024,288032,324036,122512,539245,190550,648072,e" filled="f" strokecolor="red" strokeweight="1.5pt">
                  <v:path arrowok="t" o:connecttype="custom" o:connectlocs="0,11694;11,3392;32,0" o:connectangles="0,0,0"/>
                </v:shape>
                <v:shape id="227 Forma libre" o:spid="_x0000_s1201" style="position:absolute;left:32886;top:26736;width:4973;height:10749;flip:x;visibility:visible;mso-wrap-style:square;v-text-anchor:middle" coordsize="671893,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hqMQA&#10;AADcAAAADwAAAGRycy9kb3ducmV2LnhtbESPT4vCMBTE74LfITzBm6bq4p9qFNmlIHhYrB48Pppn&#10;U2xeShO1++03C8Ieh5n5DbPZdbYWT2p95VjBZJyAIC6crrhUcDlnoyUIH5A11o5JwQ952G37vQ2m&#10;2r34RM88lCJC2KeowITQpFL6wpBFP3YNcfRurrUYomxLqVt8Rbit5TRJ5tJixXHBYEOfhop7/rAK&#10;vo6HyUN+NJdy+t3lpyoz2XVhlBoOuv0aRKAu/Iff7YNWMJuv4O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FYajEAAAA3AAAAA8AAAAAAAAAAAAAAAAAmAIAAGRycy9k&#10;b3ducmV2LnhtbFBLBQYAAAAABAAEAPUAAACJAwAAAAA=&#10;" path="m23821,993120c,909639,131833,453552,239845,288032,347857,122512,563066,190550,671893,e" filled="f" strokecolor="red" strokeweight="1.5pt">
                  <v:path arrowok="t" o:connecttype="custom" o:connectlocs="130,11633;1314,3374;3681,0" o:connectangles="0,0,0"/>
                </v:shape>
                <v:shape id="228 Forma libre" o:spid="_x0000_s1202" style="position:absolute;left:49837;top:26750;width:10606;height:13540;flip:x;visibility:visible;mso-wrap-style:square;v-text-anchor:middle" coordsize="65262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AKicQA&#10;AADcAAAADwAAAGRycy9kb3ducmV2LnhtbERPy2rCQBTdF/oPwy10p5OmoG10FPEBWYhoLNLlNXNN&#10;UjN3QmbU+PfOQujycN7jaWdqcaXWVZYVfPQjEMS51RUXCn72q94XCOeRNdaWScGdHEwnry9jTLS9&#10;8Y6umS9ECGGXoILS+yaR0uUlGXR92xAH7mRbgz7AtpC6xVsIN7WMo2ggDVYcGkpsaF5Sfs4uRsF2&#10;TenvZnY4LuN9ev8+Rn+HYbxQ6v2tm41AeOr8v/jpTrWCz2GYH86EI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ConEAAAA3AAAAA8AAAAAAAAAAAAAAAAAmAIAAGRycy9k&#10;b3ducmV2LnhtbFBLBQYAAAAABAAEAPUAAACJAwAAAAA=&#10;" path="m4550,993120c,870728,112562,453552,220574,288032,328586,122512,543795,190550,652622,e" filled="f" strokecolor="red" strokeweight="1.5pt">
                  <v:path arrowok="t" o:connecttype="custom" o:connectlocs="120,18461;5826,5354;17237,0" o:connectangles="0,0,0"/>
                </v:shape>
                <v:shape id="229 Forma libre" o:spid="_x0000_s1203" style="position:absolute;left:66467;top:26736;width:10821;height:10661;flip:x;visibility:visible;mso-wrap-style:square;v-text-anchor:middle" coordsize="65262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vEscA&#10;AADcAAAADwAAAGRycy9kb3ducmV2LnhtbESPT2vCQBTE70K/w/IKvenGFKqmWUW0hRxK8U+RHl+y&#10;r0k0+zZktxq/fbcgeBxm5jdMuuhNI87UudqygvEoAkFcWF1zqeBr/z6cgnAeWWNjmRRcycFi/jBI&#10;MdH2wls673wpAoRdggoq79tESldUZNCNbEscvB/bGfRBdqXUHV4C3DQyjqIXabDmsFBhS6uKitPu&#10;1yjYfFD2/bk85G/xPrvO8uh4mMRrpZ4e++UrCE+9v4dv7UwreJ6M4f9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srxLHAAAA3AAAAA8AAAAAAAAAAAAAAAAAmAIAAGRy&#10;cy9kb3ducmV2LnhtbFBLBQYAAAAABAAEAPUAAACMAwAAAAA=&#10;" path="m4550,993120c,870728,112562,453552,220574,288032,328586,122512,543795,190550,652622,e" filled="f" strokecolor="red" strokeweight="1.5pt">
                  <v:path arrowok="t" o:connecttype="custom" o:connectlocs="125,11444;6064,3319;17941,0" o:connectangles="0,0,0"/>
                </v:shape>
                <v:shape id="246 Forma libre" o:spid="_x0000_s1204" style="position:absolute;left:67055;top:26763;width:15874;height:10660;flip:x;visibility:visible;mso-wrap-style:square;v-text-anchor:middle" coordsize="652622,99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4xZcYA&#10;AADcAAAADwAAAGRycy9kb3ducmV2LnhtbESPT2vCQBTE70K/w/IK3nTTFNSmriJaIQcR/xTp8Zl9&#10;TdJm34bsqvHbu4LgcZiZ3zDjaWsqcabGlZYVvPUjEMSZ1SXnCr73y94IhPPIGivLpOBKDqaTl84Y&#10;E20vvKXzzuciQNglqKDwvk6kdFlBBl3f1sTB+7WNQR9kk0vd4CXATSXjKBpIgyWHhQJrmheU/e9O&#10;RsFmRenPenY4fsX79PpxjP4Ow3ihVPe1nX2C8NT6Z/jRTrWC92EM9zPh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4xZcYAAADcAAAADwAAAAAAAAAAAAAAAACYAgAAZHJz&#10;L2Rvd25yZXYueG1sUEsFBgAAAAAEAAQA9QAAAIsDAAAAAA==&#10;" path="m4550,993120c,870728,112562,453552,220574,288032,328586,122512,543795,190550,652622,e" filled="f" strokecolor="red" strokeweight="1.5pt">
                  <v:path arrowok="t" o:connecttype="custom" o:connectlocs="269,11443;13049,3319;38610,0" o:connectangles="0,0,0"/>
                </v:shape>
                <w10:anchorlock/>
              </v:group>
            </w:pict>
          </mc:Fallback>
        </mc:AlternateContent>
      </w:r>
    </w:p>
    <w:p w14:paraId="524399EC" w14:textId="1C60BB08" w:rsidR="00F51B07" w:rsidRPr="00422CA2" w:rsidRDefault="00F51B07" w:rsidP="00F51B07">
      <w:pPr>
        <w:spacing w:line="360" w:lineRule="auto"/>
        <w:contextualSpacing/>
        <w:jc w:val="center"/>
        <w:rPr>
          <w:rFonts w:ascii="ITC Avant Garde" w:hAnsi="ITC Avant Garde"/>
          <w:i/>
          <w:sz w:val="18"/>
          <w:szCs w:val="18"/>
          <w:lang w:val="es-MX"/>
        </w:rPr>
      </w:pPr>
      <w:r w:rsidRPr="00422CA2">
        <w:rPr>
          <w:rFonts w:ascii="ITC Avant Garde" w:hAnsi="ITC Avant Garde"/>
          <w:i/>
          <w:sz w:val="18"/>
          <w:szCs w:val="18"/>
          <w:lang w:val="es-MX"/>
        </w:rPr>
        <w:t>Arquitectura del servicio de Concentración y Distribución</w:t>
      </w:r>
      <w:r w:rsidR="00205483" w:rsidRPr="00422CA2">
        <w:rPr>
          <w:rStyle w:val="Refdenotaalpie"/>
          <w:rFonts w:ascii="ITC Avant Garde" w:hAnsi="ITC Avant Garde"/>
          <w:i/>
          <w:sz w:val="18"/>
          <w:szCs w:val="18"/>
          <w:lang w:val="es-MX"/>
        </w:rPr>
        <w:footnoteReference w:id="57"/>
      </w:r>
    </w:p>
    <w:p w14:paraId="4C4E78C0" w14:textId="757EAACF"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Telmex de conformidad con lo establecido en la sección 3 de esta </w:t>
      </w:r>
      <w:r w:rsidR="005D7076" w:rsidRPr="00422CA2">
        <w:rPr>
          <w:rFonts w:ascii="ITC Avant Garde" w:hAnsi="ITC Avant Garde"/>
          <w:sz w:val="22"/>
          <w:szCs w:val="22"/>
          <w:lang w:val="es-MX"/>
        </w:rPr>
        <w:t>OREDA</w:t>
      </w:r>
      <w:r w:rsidRPr="00422CA2">
        <w:rPr>
          <w:rFonts w:ascii="ITC Avant Garde" w:hAnsi="ITC Avant Garde"/>
          <w:sz w:val="22"/>
          <w:szCs w:val="22"/>
          <w:lang w:val="es-MX"/>
        </w:rPr>
        <w:t xml:space="preserve"> proporcionará a los CS la información relativa a los NCAI y los dominios Ethernet a los que pertenecen, así como los puntos de concentración local, regional y nacional asociados</w:t>
      </w:r>
      <w:r w:rsidRPr="00422CA2">
        <w:rPr>
          <w:rStyle w:val="Refdenotaalpie"/>
          <w:rFonts w:ascii="ITC Avant Garde" w:hAnsi="ITC Avant Garde"/>
          <w:sz w:val="22"/>
          <w:szCs w:val="22"/>
          <w:lang w:val="es-MX"/>
        </w:rPr>
        <w:footnoteReference w:id="58"/>
      </w:r>
      <w:r w:rsidRPr="00422CA2">
        <w:rPr>
          <w:rFonts w:ascii="ITC Avant Garde" w:hAnsi="ITC Avant Garde"/>
          <w:sz w:val="22"/>
          <w:szCs w:val="22"/>
          <w:lang w:val="es-MX"/>
        </w:rPr>
        <w:t xml:space="preserve">. Adicionalmente, para mayor entendimiento de dicha información el CS puede consultar </w:t>
      </w:r>
      <w:r w:rsidRPr="00422CA2">
        <w:rPr>
          <w:rFonts w:ascii="ITC Avant Garde" w:hAnsi="ITC Avant Garde"/>
          <w:sz w:val="22"/>
          <w:szCs w:val="22"/>
          <w:lang w:val="es-ES"/>
        </w:rPr>
        <w:t>la descripción de la forma o estructura de los listados de las centrales o instalaciones equivalentes a</w:t>
      </w:r>
      <w:r w:rsidRPr="00422CA2">
        <w:rPr>
          <w:rFonts w:ascii="ITC Avant Garde" w:hAnsi="ITC Avant Garde"/>
          <w:sz w:val="22"/>
          <w:szCs w:val="22"/>
          <w:lang w:val="es-MX"/>
        </w:rPr>
        <w:t xml:space="preserve"> través de la interfaz que se habilitará en la página de internet donde se publique la </w:t>
      </w:r>
      <w:r w:rsidR="005D7076" w:rsidRPr="00422CA2">
        <w:rPr>
          <w:rFonts w:ascii="ITC Avant Garde" w:hAnsi="ITC Avant Garde"/>
          <w:sz w:val="22"/>
          <w:szCs w:val="22"/>
          <w:lang w:val="es-MX"/>
        </w:rPr>
        <w:t>OREDA</w:t>
      </w:r>
      <w:r w:rsidRPr="00422CA2">
        <w:rPr>
          <w:rFonts w:ascii="ITC Avant Garde" w:hAnsi="ITC Avant Garde"/>
          <w:sz w:val="22"/>
          <w:szCs w:val="22"/>
          <w:lang w:val="es-ES"/>
        </w:rPr>
        <w:t>.</w:t>
      </w:r>
    </w:p>
    <w:p w14:paraId="09B9AEE1" w14:textId="29CD09FB"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uso de la infraestructura y el mantenimiento asociado que Telmex realizará para este servicio, abarca desde la salida de los equipos de acceso (punto de terminación de SAIB), el pCAI correspondiente, la conexión del DFO Telmex hasta el DFO del CS utilizando los medios de transmisión de la red de Telmex. Los equipos de la red de transmisi</w:t>
      </w:r>
      <w:r w:rsidR="00542D62" w:rsidRPr="00422CA2">
        <w:rPr>
          <w:rFonts w:ascii="ITC Avant Garde" w:hAnsi="ITC Avant Garde"/>
          <w:sz w:val="22"/>
          <w:szCs w:val="22"/>
          <w:lang w:val="es-MX"/>
        </w:rPr>
        <w:t>ón Telmex asociados a los pCAI</w:t>
      </w:r>
      <w:r w:rsidRPr="00422CA2">
        <w:rPr>
          <w:rFonts w:ascii="ITC Avant Garde" w:hAnsi="ITC Avant Garde"/>
          <w:sz w:val="22"/>
          <w:szCs w:val="22"/>
          <w:lang w:val="es-MX"/>
        </w:rPr>
        <w:t xml:space="preserve">, así como los puntos de concentración local, regional y nacional, están certificados por organismos internacionales de estandarización para el correcto establecimiento de </w:t>
      </w:r>
      <w:r w:rsidRPr="00422CA2">
        <w:rPr>
          <w:rFonts w:ascii="ITC Avant Garde" w:hAnsi="ITC Avant Garde"/>
          <w:sz w:val="22"/>
          <w:szCs w:val="22"/>
          <w:lang w:val="es-MX"/>
        </w:rPr>
        <w:lastRenderedPageBreak/>
        <w:t>conexiones utilizando tecnología Ethernet. En el SC o SEG cuando esté disponible se pondrá a disposición de los CS las especificaciones técnicas de estos equipos.</w:t>
      </w:r>
    </w:p>
    <w:p w14:paraId="6C216979" w14:textId="425953C6"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podrá habilitar nuevos equipos de acceso en los diferent</w:t>
      </w:r>
      <w:r w:rsidR="00542D62" w:rsidRPr="00422CA2">
        <w:rPr>
          <w:rFonts w:ascii="ITC Avant Garde" w:hAnsi="ITC Avant Garde"/>
          <w:sz w:val="22"/>
          <w:szCs w:val="22"/>
          <w:lang w:val="es-MX"/>
        </w:rPr>
        <w:t>es NCAI</w:t>
      </w:r>
      <w:r w:rsidRPr="00422CA2">
        <w:rPr>
          <w:rFonts w:ascii="ITC Avant Garde" w:hAnsi="ITC Avant Garde"/>
          <w:sz w:val="22"/>
          <w:szCs w:val="22"/>
          <w:lang w:val="es-MX"/>
        </w:rPr>
        <w:t xml:space="preserve">, lo cual será notificada a los Concesionarios Solicitantes a través </w:t>
      </w:r>
      <w:r w:rsidRPr="00422CA2">
        <w:rPr>
          <w:rFonts w:ascii="ITC Avant Garde" w:hAnsi="ITC Avant Garde"/>
          <w:sz w:val="22"/>
          <w:szCs w:val="22"/>
          <w:lang w:val="es-ES"/>
        </w:rPr>
        <w:t>a</w:t>
      </w:r>
      <w:r w:rsidRPr="00422CA2">
        <w:rPr>
          <w:rFonts w:ascii="ITC Avant Garde" w:hAnsi="ITC Avant Garde"/>
          <w:sz w:val="22"/>
          <w:szCs w:val="22"/>
          <w:lang w:val="es-MX"/>
        </w:rPr>
        <w:t xml:space="preserve"> través de la interfaz que se habilitará en la página de internet donde se publique la </w:t>
      </w:r>
      <w:r w:rsidR="005D7076" w:rsidRPr="00422CA2">
        <w:rPr>
          <w:rFonts w:ascii="ITC Avant Garde" w:hAnsi="ITC Avant Garde"/>
          <w:sz w:val="22"/>
          <w:szCs w:val="22"/>
          <w:lang w:val="es-MX"/>
        </w:rPr>
        <w:t>OREDA</w:t>
      </w:r>
      <w:r w:rsidR="00542D62" w:rsidRPr="00422CA2">
        <w:rPr>
          <w:rFonts w:ascii="ITC Avant Garde" w:hAnsi="ITC Avant Garde"/>
          <w:sz w:val="22"/>
          <w:szCs w:val="22"/>
          <w:lang w:val="es-MX"/>
        </w:rPr>
        <w:t xml:space="preserve">, </w:t>
      </w:r>
      <w:r w:rsidRPr="00422CA2">
        <w:rPr>
          <w:rFonts w:ascii="ITC Avant Garde" w:hAnsi="ITC Avant Garde"/>
          <w:sz w:val="22"/>
          <w:szCs w:val="22"/>
          <w:lang w:val="es-MX"/>
        </w:rPr>
        <w:t>para que a su solicitud las VLANS de los nuevos equipos sean inclui</w:t>
      </w:r>
      <w:r w:rsidR="00542D62" w:rsidRPr="00422CA2">
        <w:rPr>
          <w:rFonts w:ascii="ITC Avant Garde" w:hAnsi="ITC Avant Garde"/>
          <w:sz w:val="22"/>
          <w:szCs w:val="22"/>
          <w:lang w:val="es-MX"/>
        </w:rPr>
        <w:t>das en sus pCAI</w:t>
      </w:r>
      <w:r w:rsidRPr="00422CA2">
        <w:rPr>
          <w:rFonts w:ascii="ITC Avant Garde" w:hAnsi="ITC Avant Garde"/>
          <w:sz w:val="22"/>
          <w:szCs w:val="22"/>
          <w:lang w:val="es-MX"/>
        </w:rPr>
        <w:t xml:space="preserve">. </w:t>
      </w:r>
    </w:p>
    <w:p w14:paraId="7ADB90E6" w14:textId="27AB4F5E" w:rsidR="00F51B07" w:rsidRPr="00422CA2" w:rsidRDefault="00F51B07" w:rsidP="002B6509">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Para la entrega de tráfico SAIB concentrado en el SCyD a sitios que se encuentren en ubicación distante, los CS podrán utilizar enlaces de transporte propios o arrendados</w:t>
      </w:r>
      <w:r w:rsidR="00E656D0" w:rsidRPr="00422CA2">
        <w:rPr>
          <w:rFonts w:ascii="ITC Avant Garde" w:hAnsi="ITC Avant Garde"/>
          <w:sz w:val="22"/>
          <w:szCs w:val="22"/>
        </w:rPr>
        <w:t>.</w:t>
      </w:r>
    </w:p>
    <w:p w14:paraId="5452C1D6" w14:textId="77777777"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caso de requerir el transporte o entrega de tráfico de datos entre centrales del mismo nivel que no se comuniquen entre ellas, es decir que no pertenezcan   al mismo dominio administrativo Ethernet, el CS podrá elegir entre la utilización de los servicios de enlaces de transporte (propios o arrendados) o solicitar la entrega en un punto de interconexión (NCAI) que tenga la capacidad de agregación del tráfico de dichas centrales o instalaciones equivalentes.</w:t>
      </w:r>
    </w:p>
    <w:p w14:paraId="7450F0D4" w14:textId="77777777"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Telmex permitirá que la conexión de los CS con los NCAI pueda llevarse a cabo mediante infraestructuras de terceros. Telmex ofrecerá asimismo el transporte de la señal para los CS interesados. Se podrá acordar entre varios CS la compartición de  infraestructuras de transporte sin autorización previa de Telmex.</w:t>
      </w:r>
    </w:p>
    <w:p w14:paraId="43E5FC01" w14:textId="72109AAB" w:rsidR="00F51B07" w:rsidRPr="00422CA2" w:rsidRDefault="00F51B07" w:rsidP="002B6509">
      <w:pPr>
        <w:autoSpaceDE w:val="0"/>
        <w:autoSpaceDN w:val="0"/>
        <w:adjustRightInd w:val="0"/>
        <w:spacing w:after="200" w:line="276" w:lineRule="auto"/>
        <w:jc w:val="both"/>
        <w:rPr>
          <w:rFonts w:ascii="ITC Avant Garde" w:hAnsi="ITC Avant Garde"/>
          <w:sz w:val="22"/>
          <w:szCs w:val="22"/>
        </w:rPr>
      </w:pPr>
      <w:r w:rsidRPr="00422CA2">
        <w:rPr>
          <w:rFonts w:ascii="ITC Avant Garde" w:hAnsi="ITC Avant Garde"/>
          <w:sz w:val="22"/>
          <w:szCs w:val="22"/>
        </w:rPr>
        <w:t xml:space="preserve">En la siguiente figura se muestran los elementos que intervienen en el </w:t>
      </w:r>
      <w:r w:rsidR="00FB2D13" w:rsidRPr="00422CA2">
        <w:rPr>
          <w:rFonts w:ascii="ITC Avant Garde" w:hAnsi="ITC Avant Garde"/>
          <w:sz w:val="22"/>
          <w:szCs w:val="22"/>
        </w:rPr>
        <w:t>SCyD</w:t>
      </w:r>
      <w:r w:rsidRPr="00422CA2">
        <w:rPr>
          <w:rFonts w:ascii="ITC Avant Garde" w:hAnsi="ITC Avant Garde"/>
          <w:sz w:val="22"/>
          <w:szCs w:val="22"/>
        </w:rPr>
        <w:t>, a fin de que el CS pueda identificar el plan de VLAN's y sus dominios administrativos en los nodos de concentración (NCAI), así como su alcance hasta los puertos de entrega pCAI:</w:t>
      </w:r>
    </w:p>
    <w:p w14:paraId="690195DE"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rPr>
      </w:pPr>
    </w:p>
    <w:p w14:paraId="7CDF47E0" w14:textId="77777777" w:rsidR="00F51B07" w:rsidRPr="00422CA2" w:rsidRDefault="00F51B07" w:rsidP="00E12D30">
      <w:pPr>
        <w:autoSpaceDE w:val="0"/>
        <w:autoSpaceDN w:val="0"/>
        <w:adjustRightInd w:val="0"/>
        <w:spacing w:line="360" w:lineRule="auto"/>
        <w:jc w:val="center"/>
        <w:rPr>
          <w:rFonts w:ascii="ITC Avant Garde" w:hAnsi="ITC Avant Garde" w:cs="Arial"/>
          <w:sz w:val="22"/>
          <w:szCs w:val="22"/>
        </w:rPr>
      </w:pPr>
      <w:r w:rsidRPr="00422CA2">
        <w:rPr>
          <w:rFonts w:ascii="ITC Avant Garde" w:hAnsi="ITC Avant Garde" w:cs="Arial"/>
          <w:noProof/>
          <w:sz w:val="22"/>
          <w:szCs w:val="22"/>
          <w:lang w:val="es-MX" w:eastAsia="es-MX"/>
        </w:rPr>
        <w:lastRenderedPageBreak/>
        <w:drawing>
          <wp:inline distT="0" distB="0" distL="0" distR="0" wp14:anchorId="71A6403E" wp14:editId="7B8C9D01">
            <wp:extent cx="4969207" cy="4428258"/>
            <wp:effectExtent l="19050" t="0" r="2843" b="0"/>
            <wp:docPr id="3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srcRect/>
                    <a:stretch>
                      <a:fillRect/>
                    </a:stretch>
                  </pic:blipFill>
                  <pic:spPr bwMode="auto">
                    <a:xfrm>
                      <a:off x="0" y="0"/>
                      <a:ext cx="4969207" cy="4428258"/>
                    </a:xfrm>
                    <a:prstGeom prst="rect">
                      <a:avLst/>
                    </a:prstGeom>
                    <a:noFill/>
                    <a:ln w="9525">
                      <a:noFill/>
                      <a:miter lim="800000"/>
                      <a:headEnd/>
                      <a:tailEnd/>
                    </a:ln>
                  </pic:spPr>
                </pic:pic>
              </a:graphicData>
            </a:graphic>
          </wp:inline>
        </w:drawing>
      </w:r>
    </w:p>
    <w:p w14:paraId="1CD5619A" w14:textId="2E28DC9B" w:rsidR="00F51B07" w:rsidRPr="00422CA2" w:rsidRDefault="00F51B07" w:rsidP="00F51B07">
      <w:pPr>
        <w:autoSpaceDE w:val="0"/>
        <w:autoSpaceDN w:val="0"/>
        <w:adjustRightInd w:val="0"/>
        <w:spacing w:line="360" w:lineRule="auto"/>
        <w:contextualSpacing/>
        <w:jc w:val="center"/>
        <w:rPr>
          <w:rFonts w:ascii="ITC Avant Garde" w:hAnsi="ITC Avant Garde"/>
          <w:i/>
          <w:sz w:val="18"/>
          <w:szCs w:val="18"/>
        </w:rPr>
      </w:pPr>
      <w:r w:rsidRPr="00422CA2">
        <w:rPr>
          <w:rFonts w:ascii="ITC Avant Garde" w:hAnsi="ITC Avant Garde"/>
          <w:i/>
          <w:sz w:val="18"/>
          <w:szCs w:val="18"/>
        </w:rPr>
        <w:t>Elementos que intervienen en el SCyD</w:t>
      </w:r>
      <w:r w:rsidR="00205483" w:rsidRPr="00422CA2">
        <w:rPr>
          <w:rStyle w:val="Refdenotaalpie"/>
          <w:rFonts w:ascii="ITC Avant Garde" w:hAnsi="ITC Avant Garde"/>
          <w:i/>
          <w:sz w:val="18"/>
          <w:szCs w:val="18"/>
        </w:rPr>
        <w:footnoteReference w:id="59"/>
      </w:r>
    </w:p>
    <w:p w14:paraId="0E2D7BDC" w14:textId="2691E3F0" w:rsidR="00F51B07" w:rsidRPr="00422CA2" w:rsidRDefault="00542D62" w:rsidP="00586B55">
      <w:pPr>
        <w:pStyle w:val="Ttulo1"/>
      </w:pPr>
      <w:bookmarkStart w:id="811" w:name="_Toc436840941"/>
      <w:bookmarkStart w:id="812" w:name="_Toc436846378"/>
      <w:bookmarkStart w:id="813" w:name="_Toc436848328"/>
      <w:bookmarkStart w:id="814" w:name="_Toc436856576"/>
      <w:bookmarkStart w:id="815" w:name="_Toc436862722"/>
      <w:bookmarkStart w:id="816" w:name="_Toc436866372"/>
      <w:bookmarkStart w:id="817" w:name="_Toc436870951"/>
      <w:bookmarkStart w:id="818" w:name="_Toc436875943"/>
      <w:bookmarkStart w:id="819" w:name="_Toc437602138"/>
      <w:r w:rsidRPr="00422CA2">
        <w:t>10.1</w:t>
      </w:r>
      <w:r w:rsidR="00F51B07" w:rsidRPr="00422CA2">
        <w:tab/>
        <w:t>Servicio de Concentración y Distribución-Local.</w:t>
      </w:r>
      <w:bookmarkEnd w:id="811"/>
      <w:bookmarkEnd w:id="812"/>
      <w:bookmarkEnd w:id="813"/>
      <w:bookmarkEnd w:id="814"/>
      <w:bookmarkEnd w:id="815"/>
      <w:bookmarkEnd w:id="816"/>
      <w:bookmarkEnd w:id="817"/>
      <w:bookmarkEnd w:id="818"/>
      <w:bookmarkEnd w:id="819"/>
    </w:p>
    <w:p w14:paraId="01F56DA9" w14:textId="687464BA"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w:t>
      </w:r>
      <w:r w:rsidR="00303E9C" w:rsidRPr="00422CA2">
        <w:rPr>
          <w:rFonts w:ascii="ITC Avant Garde" w:hAnsi="ITC Avant Garde" w:cs="Arial"/>
          <w:sz w:val="22"/>
          <w:szCs w:val="22"/>
          <w:lang w:val="es-MX"/>
        </w:rPr>
        <w:t>l</w:t>
      </w:r>
      <w:r w:rsidRPr="00422CA2">
        <w:rPr>
          <w:rFonts w:ascii="ITC Avant Garde" w:hAnsi="ITC Avant Garde" w:cs="Arial"/>
          <w:sz w:val="22"/>
          <w:szCs w:val="22"/>
          <w:lang w:val="es-MX"/>
        </w:rPr>
        <w:t xml:space="preserve"> </w:t>
      </w:r>
      <w:r w:rsidR="00303E9C" w:rsidRPr="00422CA2">
        <w:rPr>
          <w:rFonts w:ascii="ITC Avant Garde" w:hAnsi="ITC Avant Garde" w:cs="Arial"/>
          <w:sz w:val="22"/>
          <w:szCs w:val="22"/>
          <w:lang w:val="es-MX"/>
        </w:rPr>
        <w:t>SCyD a este nivel</w:t>
      </w:r>
      <w:r w:rsidRPr="00422CA2">
        <w:rPr>
          <w:rFonts w:ascii="ITC Avant Garde" w:hAnsi="ITC Avant Garde" w:cs="Arial"/>
          <w:sz w:val="22"/>
          <w:szCs w:val="22"/>
          <w:lang w:val="es-MX"/>
        </w:rPr>
        <w:t xml:space="preserve"> consiste en agregar los flujos del tráfico de datos provenientes de los equipos de acceso xDSL y GPON que conectan físicamente al usuario final dentro de una zona de cobertura y entregarlos a través de uno o más puertos del Servicio de Concentración y Distribución Local (SCyD-L).</w:t>
      </w:r>
    </w:p>
    <w:p w14:paraId="280022DD" w14:textId="55D26B1C"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tráfico de datos generado por los usuarios finales se transporta a través de VLAN’s, de acuerdo al plan de VLAN’s indicado en el apartado 10.5 de la presente </w:t>
      </w:r>
      <w:r w:rsidR="005D7076" w:rsidRPr="00422CA2">
        <w:rPr>
          <w:rFonts w:ascii="ITC Avant Garde" w:hAnsi="ITC Avant Garde" w:cs="Arial"/>
          <w:sz w:val="22"/>
          <w:szCs w:val="22"/>
          <w:lang w:val="es-MX"/>
        </w:rPr>
        <w:t>OREDA</w:t>
      </w:r>
      <w:r w:rsidRPr="00422CA2">
        <w:rPr>
          <w:rFonts w:ascii="ITC Avant Garde" w:hAnsi="ITC Avant Garde" w:cs="Arial"/>
          <w:sz w:val="22"/>
          <w:szCs w:val="22"/>
          <w:lang w:val="es-MX"/>
        </w:rPr>
        <w:t>, que va desde los puertos de los equipos de acceso (punto de terminación de SAIB) hasta los Puertos de Conexión de Acceso Indirecto</w:t>
      </w:r>
      <w:r w:rsidRPr="00422CA2">
        <w:rPr>
          <w:rFonts w:ascii="ITC Avant Garde" w:hAnsi="ITC Avant Garde" w:cs="Arial"/>
          <w:i/>
          <w:sz w:val="22"/>
          <w:szCs w:val="22"/>
          <w:lang w:val="es-MX"/>
        </w:rPr>
        <w:t xml:space="preserve"> </w:t>
      </w:r>
      <w:r w:rsidRPr="00422CA2">
        <w:rPr>
          <w:rFonts w:ascii="ITC Avant Garde" w:hAnsi="ITC Avant Garde" w:cs="Arial"/>
          <w:sz w:val="22"/>
          <w:szCs w:val="22"/>
          <w:lang w:val="es-MX"/>
        </w:rPr>
        <w:t xml:space="preserve">(pCAI), ubicados en un punto de concentración local. El puerto es físico e individual para cada CS y concentra el tráfico de hasta 50 equipos de acceso. </w:t>
      </w:r>
    </w:p>
    <w:p w14:paraId="2BACD41A"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El SCyD-L, está conformado por un NCAI, al menos un pCAI y el conjunto de los medios de transmisión que permiten la Concentración y Distribución de los equipos de acceso que conforman el punto de concentración local. La zona de cobertura asociada será la correspondiente a los usuarios conectados a los equipos de acceso existentes en el NCAI.</w:t>
      </w:r>
    </w:p>
    <w:p w14:paraId="7992D226" w14:textId="0464059D"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Cuando un CS </w:t>
      </w:r>
      <w:r w:rsidR="00EF6D60" w:rsidRPr="00422CA2">
        <w:rPr>
          <w:rFonts w:ascii="ITC Avant Garde" w:hAnsi="ITC Avant Garde" w:cs="Arial"/>
          <w:sz w:val="22"/>
          <w:szCs w:val="22"/>
          <w:lang w:val="es-MX"/>
        </w:rPr>
        <w:t>solicita la interconexión en</w:t>
      </w:r>
      <w:r w:rsidRPr="00422CA2">
        <w:rPr>
          <w:rFonts w:ascii="ITC Avant Garde" w:hAnsi="ITC Avant Garde" w:cs="Arial"/>
          <w:sz w:val="22"/>
          <w:szCs w:val="22"/>
          <w:lang w:val="es-MX"/>
        </w:rPr>
        <w:t xml:space="preserve"> un SCyD-L se realiza la configuración de las VLAN’s desde los equipos de Acceso de un NCAI hasta el pCAI, es decir, se configuran los equipos de acceso conectados al NCAI, considerando por cada pCAI hasta 50 equipos de acceso, esto con fines de que el CS pueda proveer sus servicios con la mayor calidad disponible. </w:t>
      </w:r>
    </w:p>
    <w:p w14:paraId="3CF99CE4" w14:textId="44600924"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podrá </w:t>
      </w:r>
      <w:r w:rsidR="00EF6D60" w:rsidRPr="00422CA2">
        <w:rPr>
          <w:rFonts w:ascii="ITC Avant Garde" w:hAnsi="ITC Avant Garde"/>
          <w:sz w:val="22"/>
          <w:szCs w:val="22"/>
          <w:lang w:val="es-MX"/>
        </w:rPr>
        <w:t>solicitar</w:t>
      </w:r>
      <w:r w:rsidRPr="00422CA2">
        <w:rPr>
          <w:rFonts w:ascii="ITC Avant Garde" w:hAnsi="ITC Avant Garde"/>
          <w:sz w:val="22"/>
          <w:szCs w:val="22"/>
          <w:lang w:val="es-MX"/>
        </w:rPr>
        <w:t xml:space="preserve"> todos los NCAI’s de un mismo edificio para lograr la cobertura total del edificio, o podrá </w:t>
      </w:r>
      <w:r w:rsidR="00EF6D60" w:rsidRPr="00422CA2">
        <w:rPr>
          <w:rFonts w:ascii="ITC Avant Garde" w:hAnsi="ITC Avant Garde"/>
          <w:sz w:val="22"/>
          <w:szCs w:val="22"/>
          <w:lang w:val="es-MX"/>
        </w:rPr>
        <w:t>solicitar</w:t>
      </w:r>
      <w:r w:rsidRPr="00422CA2">
        <w:rPr>
          <w:rFonts w:ascii="ITC Avant Garde" w:hAnsi="ITC Avant Garde"/>
          <w:sz w:val="22"/>
          <w:szCs w:val="22"/>
          <w:lang w:val="es-MX"/>
        </w:rPr>
        <w:t xml:space="preserve"> sólo NCAI’S específicos del mismo edificio de acuerdo con su interés de cobertura.</w:t>
      </w:r>
    </w:p>
    <w:p w14:paraId="4F04BE14" w14:textId="7ABD6CF5" w:rsidR="00F51B07" w:rsidRPr="00422CA2" w:rsidRDefault="00542D62" w:rsidP="00586B55">
      <w:pPr>
        <w:pStyle w:val="Ttulo1"/>
      </w:pPr>
      <w:bookmarkStart w:id="820" w:name="_Toc436840942"/>
      <w:bookmarkStart w:id="821" w:name="_Toc436846379"/>
      <w:bookmarkStart w:id="822" w:name="_Toc436848329"/>
      <w:bookmarkStart w:id="823" w:name="_Toc436856577"/>
      <w:bookmarkStart w:id="824" w:name="_Toc436862723"/>
      <w:bookmarkStart w:id="825" w:name="_Toc436866373"/>
      <w:bookmarkStart w:id="826" w:name="_Toc436870952"/>
      <w:bookmarkStart w:id="827" w:name="_Toc436875944"/>
      <w:bookmarkStart w:id="828" w:name="_Toc437602139"/>
      <w:bookmarkStart w:id="829" w:name="_Toc393983205"/>
      <w:r w:rsidRPr="00422CA2">
        <w:t>10.2</w:t>
      </w:r>
      <w:r w:rsidR="00F51B07" w:rsidRPr="00422CA2">
        <w:tab/>
        <w:t>Servicio de Concentración y Distribución-Regional</w:t>
      </w:r>
      <w:bookmarkEnd w:id="820"/>
      <w:bookmarkEnd w:id="821"/>
      <w:bookmarkEnd w:id="822"/>
      <w:bookmarkEnd w:id="823"/>
      <w:bookmarkEnd w:id="824"/>
      <w:bookmarkEnd w:id="825"/>
      <w:bookmarkEnd w:id="826"/>
      <w:bookmarkEnd w:id="827"/>
      <w:bookmarkEnd w:id="828"/>
    </w:p>
    <w:p w14:paraId="03FCEAA6" w14:textId="39681238" w:rsidR="00F51B07" w:rsidRPr="00422CA2" w:rsidRDefault="00F51B07" w:rsidP="002B6509">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En el</w:t>
      </w:r>
      <w:r w:rsidR="00303E9C" w:rsidRPr="00422CA2">
        <w:rPr>
          <w:rFonts w:ascii="ITC Avant Garde" w:hAnsi="ITC Avant Garde" w:cs="Arial"/>
          <w:sz w:val="22"/>
          <w:szCs w:val="22"/>
          <w:lang w:val="es-MX"/>
        </w:rPr>
        <w:t xml:space="preserve"> nivel de</w:t>
      </w:r>
      <w:r w:rsidRPr="00422CA2">
        <w:rPr>
          <w:rFonts w:ascii="ITC Avant Garde" w:hAnsi="ITC Avant Garde" w:cs="Arial"/>
          <w:sz w:val="22"/>
          <w:szCs w:val="22"/>
          <w:lang w:val="es-MX"/>
        </w:rPr>
        <w:t xml:space="preserve"> Servicio de Concentración y Distribución Regional (SCyD-R) se realiza la conducción y concentración del tráfico de SAIB procedente de NCAI’s de diferentes </w:t>
      </w:r>
      <w:r w:rsidRPr="00422CA2">
        <w:rPr>
          <w:rFonts w:ascii="ITC Avant Garde" w:hAnsi="ITC Avant Garde" w:cs="Arial"/>
          <w:sz w:val="22"/>
          <w:szCs w:val="22"/>
        </w:rPr>
        <w:t>zonas de cobertura pertenecientes a una misma región, siendo esta última un mismo dominio administrativo.</w:t>
      </w:r>
    </w:p>
    <w:p w14:paraId="7A975B3B" w14:textId="5909C39D"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Cuando un CS </w:t>
      </w:r>
      <w:r w:rsidR="00EF6D60" w:rsidRPr="00422CA2">
        <w:rPr>
          <w:rFonts w:ascii="ITC Avant Garde" w:hAnsi="ITC Avant Garde" w:cs="Arial"/>
          <w:sz w:val="22"/>
          <w:szCs w:val="22"/>
          <w:lang w:val="es-MX"/>
        </w:rPr>
        <w:t>solicita la interconexión en un nodo regional</w:t>
      </w:r>
      <w:r w:rsidRPr="00422CA2">
        <w:rPr>
          <w:rFonts w:ascii="ITC Avant Garde" w:hAnsi="ITC Avant Garde" w:cs="Arial"/>
          <w:sz w:val="22"/>
          <w:szCs w:val="22"/>
          <w:lang w:val="es-MX"/>
        </w:rPr>
        <w:t xml:space="preserve"> se realizará la configuración de las VLAN’s desde los equipos de Acceso hasta el punto de entrega pCAI regional en el mismo dominio administrativo, es decir, se configuran todos los equipos de acceso existentes de los NCAI elegidos por el CS del mismo dominio administrativo</w:t>
      </w:r>
      <w:r w:rsidR="00EF6D60" w:rsidRPr="00422CA2">
        <w:rPr>
          <w:rFonts w:ascii="ITC Avant Garde" w:hAnsi="ITC Avant Garde" w:cs="Arial"/>
          <w:sz w:val="22"/>
          <w:szCs w:val="22"/>
          <w:lang w:val="es-MX"/>
        </w:rPr>
        <w:t>.</w:t>
      </w:r>
    </w:p>
    <w:p w14:paraId="152BDFB8" w14:textId="7AF55F22"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podrá </w:t>
      </w:r>
      <w:r w:rsidR="00EF6D60" w:rsidRPr="00422CA2">
        <w:rPr>
          <w:rFonts w:ascii="ITC Avant Garde" w:hAnsi="ITC Avant Garde"/>
          <w:sz w:val="22"/>
          <w:szCs w:val="22"/>
          <w:lang w:val="es-MX"/>
        </w:rPr>
        <w:t>solicitar</w:t>
      </w:r>
      <w:r w:rsidRPr="00422CA2">
        <w:rPr>
          <w:rFonts w:ascii="ITC Avant Garde" w:hAnsi="ITC Avant Garde"/>
          <w:sz w:val="22"/>
          <w:szCs w:val="22"/>
          <w:lang w:val="es-MX"/>
        </w:rPr>
        <w:t xml:space="preserve"> todos los NCAI’s de una región para lograr la cobertura total del dominio administrativo, o podrá </w:t>
      </w:r>
      <w:r w:rsidR="00EF6D60" w:rsidRPr="00422CA2">
        <w:rPr>
          <w:rFonts w:ascii="ITC Avant Garde" w:hAnsi="ITC Avant Garde"/>
          <w:sz w:val="22"/>
          <w:szCs w:val="22"/>
          <w:lang w:val="es-MX"/>
        </w:rPr>
        <w:t>solicitar</w:t>
      </w:r>
      <w:r w:rsidRPr="00422CA2">
        <w:rPr>
          <w:rFonts w:ascii="ITC Avant Garde" w:hAnsi="ITC Avant Garde"/>
          <w:sz w:val="22"/>
          <w:szCs w:val="22"/>
          <w:lang w:val="es-MX"/>
        </w:rPr>
        <w:t xml:space="preserve"> NCAI’s específicos de la región de acuerdo con su interés de cobertura. Posterior a la habilitación del SCyD-R el CS podrá ampliar o reducir la cobertura a través del procedimiento de ampliación/eliminación de cobertura por NCAI, en el mismo nivel de agregación.</w:t>
      </w:r>
    </w:p>
    <w:p w14:paraId="4F325455" w14:textId="77777777" w:rsidR="00F51B07" w:rsidRPr="00422CA2" w:rsidRDefault="00F51B07" w:rsidP="00586B55">
      <w:pPr>
        <w:pStyle w:val="Ttulo1"/>
      </w:pPr>
      <w:bookmarkStart w:id="830" w:name="_Toc436840943"/>
      <w:bookmarkStart w:id="831" w:name="_Toc436846380"/>
      <w:bookmarkStart w:id="832" w:name="_Toc436848330"/>
      <w:bookmarkStart w:id="833" w:name="_Toc436856578"/>
      <w:bookmarkStart w:id="834" w:name="_Toc436862724"/>
      <w:bookmarkStart w:id="835" w:name="_Toc436866374"/>
      <w:bookmarkStart w:id="836" w:name="_Toc436870953"/>
      <w:bookmarkStart w:id="837" w:name="_Toc436875945"/>
      <w:bookmarkStart w:id="838" w:name="_Toc437602140"/>
      <w:r w:rsidRPr="00422CA2">
        <w:t>10.3</w:t>
      </w:r>
      <w:r w:rsidRPr="00422CA2">
        <w:tab/>
        <w:t>Servicio de Concentración y Distribución-Nacional</w:t>
      </w:r>
      <w:bookmarkEnd w:id="830"/>
      <w:bookmarkEnd w:id="831"/>
      <w:bookmarkEnd w:id="832"/>
      <w:bookmarkEnd w:id="833"/>
      <w:bookmarkEnd w:id="834"/>
      <w:bookmarkEnd w:id="835"/>
      <w:bookmarkEnd w:id="836"/>
      <w:bookmarkEnd w:id="837"/>
      <w:bookmarkEnd w:id="838"/>
    </w:p>
    <w:p w14:paraId="58DA2D73" w14:textId="6AD60E89" w:rsidR="00F51B07" w:rsidRPr="00422CA2" w:rsidRDefault="00F51B07" w:rsidP="002B6509">
      <w:pPr>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En el </w:t>
      </w:r>
      <w:r w:rsidR="00303E9C" w:rsidRPr="00422CA2">
        <w:rPr>
          <w:rFonts w:ascii="ITC Avant Garde" w:hAnsi="ITC Avant Garde" w:cs="Arial"/>
          <w:sz w:val="22"/>
          <w:szCs w:val="22"/>
          <w:lang w:val="es-MX"/>
        </w:rPr>
        <w:t>nivel de</w:t>
      </w:r>
      <w:r w:rsidRPr="00422CA2">
        <w:rPr>
          <w:rFonts w:ascii="ITC Avant Garde" w:hAnsi="ITC Avant Garde" w:cs="Arial"/>
          <w:sz w:val="22"/>
          <w:szCs w:val="22"/>
          <w:lang w:val="es-MX"/>
        </w:rPr>
        <w:t xml:space="preserve"> Servicio de Concentración y Distribución Nacional (SCyD-N), se realiza la conducción y concentración del tráfico procedente de NCAI’s de diferentes </w:t>
      </w:r>
      <w:r w:rsidRPr="00422CA2">
        <w:rPr>
          <w:rFonts w:ascii="ITC Avant Garde" w:hAnsi="ITC Avant Garde" w:cs="Arial"/>
          <w:sz w:val="22"/>
          <w:szCs w:val="22"/>
        </w:rPr>
        <w:t>zonas de cobertura pertenecientes a diferentes regiones.</w:t>
      </w:r>
    </w:p>
    <w:p w14:paraId="56D8C802" w14:textId="34DE3370"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Cuando un CS </w:t>
      </w:r>
      <w:r w:rsidR="00303E9C" w:rsidRPr="00422CA2">
        <w:rPr>
          <w:rFonts w:ascii="ITC Avant Garde" w:hAnsi="ITC Avant Garde" w:cs="Arial"/>
          <w:sz w:val="22"/>
          <w:szCs w:val="22"/>
          <w:lang w:val="es-MX"/>
        </w:rPr>
        <w:t>solicita la interconexión en</w:t>
      </w:r>
      <w:r w:rsidRPr="00422CA2">
        <w:rPr>
          <w:rFonts w:ascii="ITC Avant Garde" w:hAnsi="ITC Avant Garde" w:cs="Arial"/>
          <w:sz w:val="22"/>
          <w:szCs w:val="22"/>
          <w:lang w:val="es-MX"/>
        </w:rPr>
        <w:t xml:space="preserve"> un SCyD-N se realizará la configuración de las VLAN’s desde los equipos de Acceso hasta el pCAI nacional, es decir, se </w:t>
      </w:r>
      <w:r w:rsidRPr="00422CA2">
        <w:rPr>
          <w:rFonts w:ascii="ITC Avant Garde" w:hAnsi="ITC Avant Garde" w:cs="Arial"/>
          <w:sz w:val="22"/>
          <w:szCs w:val="22"/>
          <w:lang w:val="es-MX"/>
        </w:rPr>
        <w:lastRenderedPageBreak/>
        <w:t>configuran los equipos de acceso existentes de los NCAI elegidos por el CS de los diferentes dominios administrativos</w:t>
      </w:r>
      <w:r w:rsidR="00303E9C" w:rsidRPr="00422CA2">
        <w:rPr>
          <w:rFonts w:ascii="ITC Avant Garde" w:hAnsi="ITC Avant Garde" w:cs="Arial"/>
          <w:sz w:val="22"/>
          <w:szCs w:val="22"/>
          <w:lang w:val="es-MX"/>
        </w:rPr>
        <w:t>.</w:t>
      </w:r>
    </w:p>
    <w:p w14:paraId="5736792A" w14:textId="744AA604" w:rsidR="00F51B07" w:rsidRPr="00422CA2" w:rsidRDefault="00F51B07" w:rsidP="002B6509">
      <w:pPr>
        <w:autoSpaceDE w:val="0"/>
        <w:autoSpaceDN w:val="0"/>
        <w:adjustRightInd w:val="0"/>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podrá </w:t>
      </w:r>
      <w:r w:rsidR="00303E9C" w:rsidRPr="00422CA2">
        <w:rPr>
          <w:rFonts w:ascii="ITC Avant Garde" w:hAnsi="ITC Avant Garde"/>
          <w:sz w:val="22"/>
          <w:szCs w:val="22"/>
          <w:lang w:val="es-MX"/>
        </w:rPr>
        <w:t>solicitar</w:t>
      </w:r>
      <w:r w:rsidRPr="00422CA2">
        <w:rPr>
          <w:rFonts w:ascii="ITC Avant Garde" w:hAnsi="ITC Avant Garde"/>
          <w:sz w:val="22"/>
          <w:szCs w:val="22"/>
          <w:lang w:val="es-MX"/>
        </w:rPr>
        <w:t xml:space="preserve"> todos los NCAI’s de una región para lograr la cobertura total del punto nacional, o podrá </w:t>
      </w:r>
      <w:r w:rsidR="00303E9C" w:rsidRPr="00422CA2">
        <w:rPr>
          <w:rFonts w:ascii="ITC Avant Garde" w:hAnsi="ITC Avant Garde"/>
          <w:sz w:val="22"/>
          <w:szCs w:val="22"/>
          <w:lang w:val="es-MX"/>
        </w:rPr>
        <w:t>solicitar</w:t>
      </w:r>
      <w:r w:rsidRPr="00422CA2">
        <w:rPr>
          <w:rFonts w:ascii="ITC Avant Garde" w:hAnsi="ITC Avant Garde"/>
          <w:sz w:val="22"/>
          <w:szCs w:val="22"/>
          <w:lang w:val="es-MX"/>
        </w:rPr>
        <w:t xml:space="preserve"> NCAI’s específicos pertenecientes al mismo punto nacional. Posterior a la habilitación del SCyD-N el CS podrá ampliar o reducir la cobertura a través del procedimiento de ampliación/eliminación de cobertura por NCAI, en el mismo nivel de agregación.</w:t>
      </w:r>
    </w:p>
    <w:p w14:paraId="5FD327F5" w14:textId="77777777" w:rsidR="00F51B07" w:rsidRPr="00422CA2" w:rsidRDefault="00F51B07" w:rsidP="00586B55">
      <w:pPr>
        <w:pStyle w:val="Ttulo1"/>
      </w:pPr>
      <w:bookmarkStart w:id="839" w:name="_Toc436840944"/>
      <w:bookmarkStart w:id="840" w:name="_Toc436846381"/>
      <w:bookmarkStart w:id="841" w:name="_Toc436848331"/>
      <w:bookmarkStart w:id="842" w:name="_Toc436856579"/>
      <w:bookmarkStart w:id="843" w:name="_Toc436862725"/>
      <w:bookmarkStart w:id="844" w:name="_Toc436866375"/>
      <w:bookmarkStart w:id="845" w:name="_Toc436870954"/>
      <w:bookmarkStart w:id="846" w:name="_Toc436875946"/>
      <w:bookmarkStart w:id="847" w:name="_Toc437602141"/>
      <w:r w:rsidRPr="00422CA2">
        <w:t>10.4</w:t>
      </w:r>
      <w:r w:rsidRPr="00422CA2">
        <w:tab/>
        <w:t>Características de configuración física y lógica del pCAI</w:t>
      </w:r>
      <w:bookmarkEnd w:id="839"/>
      <w:bookmarkEnd w:id="840"/>
      <w:bookmarkEnd w:id="841"/>
      <w:bookmarkEnd w:id="842"/>
      <w:bookmarkEnd w:id="843"/>
      <w:bookmarkEnd w:id="844"/>
      <w:bookmarkEnd w:id="845"/>
      <w:bookmarkEnd w:id="846"/>
      <w:bookmarkEnd w:id="847"/>
      <w:r w:rsidRPr="00422CA2">
        <w:t xml:space="preserve"> </w:t>
      </w:r>
    </w:p>
    <w:p w14:paraId="42B0CAD4" w14:textId="77777777" w:rsidR="00F51B07" w:rsidRPr="00422CA2" w:rsidRDefault="00F51B07" w:rsidP="002B6509">
      <w:p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La configuración física de la interfaz es:</w:t>
      </w:r>
    </w:p>
    <w:p w14:paraId="13620547"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La interconexión del equipo de Red del CS se realizará en el puerto del NCAI (pCAI). Esta interconexión utilizará alguna de las interfaces siguientes Según IEEE 802.3-2008 sección 3:</w:t>
      </w:r>
    </w:p>
    <w:p w14:paraId="3D084F5F" w14:textId="0873E90A"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La conectividad física GE se realiza con interfaces IEEE 802.3-2008 sección 3 1000BASE-SX 50 µm MMF (7.5 dB @ 850 nm, &lt; 550 m) o con interfaces 1000BASE-LX 10 µm SMF (8dB @ 1310 nm, 5 km).</w:t>
      </w:r>
    </w:p>
    <w:p w14:paraId="02D9D3D8"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La conectividad física 10 GE se realiza con interfaces IEEE 802.3-2008 sección 4 10GBASE-SR 50 µm MMF (7.3dB @ 850 nm, &lt; 300 m) o con interfaces 10GEBASE-LR 10 µm SMF (9.4dB @ 1310 nm, 10 km).</w:t>
      </w:r>
    </w:p>
    <w:p w14:paraId="79A0C142" w14:textId="37DA7025"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 xml:space="preserve">Para puertos de 1 Gigabit Ethernet se debe configurar en modo Full-Duplex con </w:t>
      </w:r>
      <w:r w:rsidR="00E12D30" w:rsidRPr="00422CA2">
        <w:rPr>
          <w:rFonts w:ascii="ITC Avant Garde" w:hAnsi="ITC Avant Garde"/>
          <w:sz w:val="22"/>
          <w:szCs w:val="22"/>
        </w:rPr>
        <w:t>auto negociación</w:t>
      </w:r>
      <w:r w:rsidRPr="00422CA2">
        <w:rPr>
          <w:rFonts w:ascii="ITC Avant Garde" w:hAnsi="ITC Avant Garde"/>
          <w:sz w:val="22"/>
          <w:szCs w:val="22"/>
        </w:rPr>
        <w:t xml:space="preserve"> inactiva a una velocidad fija de 1000 Mbps.</w:t>
      </w:r>
    </w:p>
    <w:p w14:paraId="04A66DC1" w14:textId="77777777" w:rsidR="00F51B07" w:rsidRPr="00422CA2" w:rsidRDefault="00F51B07" w:rsidP="002B6509">
      <w:pPr>
        <w:spacing w:after="200" w:line="276" w:lineRule="auto"/>
        <w:jc w:val="both"/>
        <w:rPr>
          <w:rFonts w:ascii="ITC Avant Garde" w:hAnsi="ITC Avant Garde"/>
          <w:b/>
          <w:sz w:val="22"/>
          <w:szCs w:val="22"/>
        </w:rPr>
      </w:pPr>
      <w:r w:rsidRPr="00422CA2">
        <w:rPr>
          <w:rFonts w:ascii="ITC Avant Garde" w:hAnsi="ITC Avant Garde"/>
          <w:b/>
          <w:sz w:val="22"/>
          <w:szCs w:val="22"/>
        </w:rPr>
        <w:t xml:space="preserve">Para el nivel local </w:t>
      </w:r>
    </w:p>
    <w:p w14:paraId="7FCD2721" w14:textId="77777777" w:rsidR="00F51B07" w:rsidRPr="00422CA2" w:rsidRDefault="00F51B07" w:rsidP="002B6509">
      <w:pPr>
        <w:pStyle w:val="Prrafodelista"/>
        <w:numPr>
          <w:ilvl w:val="0"/>
          <w:numId w:val="22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100Base-xx: n x 10 Mbps hasta 100 Mbps. </w:t>
      </w:r>
    </w:p>
    <w:p w14:paraId="7C6308A8" w14:textId="77777777" w:rsidR="00F51B07" w:rsidRPr="00422CA2" w:rsidRDefault="00F51B07" w:rsidP="002B6509">
      <w:pPr>
        <w:pStyle w:val="Prrafodelista"/>
        <w:numPr>
          <w:ilvl w:val="0"/>
          <w:numId w:val="22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1000Base-xx: n x 100 Mbps hasta 1Gbps. </w:t>
      </w:r>
    </w:p>
    <w:p w14:paraId="7E5015FB" w14:textId="77777777" w:rsidR="00F51B07" w:rsidRPr="00422CA2" w:rsidRDefault="00F51B07" w:rsidP="002B6509">
      <w:pPr>
        <w:pStyle w:val="Prrafodelista"/>
        <w:numPr>
          <w:ilvl w:val="0"/>
          <w:numId w:val="222"/>
        </w:numPr>
        <w:spacing w:after="200" w:line="276" w:lineRule="auto"/>
        <w:jc w:val="both"/>
        <w:rPr>
          <w:rFonts w:ascii="ITC Avant Garde" w:hAnsi="ITC Avant Garde"/>
          <w:sz w:val="22"/>
          <w:szCs w:val="22"/>
        </w:rPr>
      </w:pPr>
      <w:r w:rsidRPr="00422CA2">
        <w:rPr>
          <w:rFonts w:ascii="ITC Avant Garde" w:hAnsi="ITC Avant Garde"/>
          <w:sz w:val="22"/>
          <w:szCs w:val="22"/>
        </w:rPr>
        <w:t>1000Base-xx 1 GbE</w:t>
      </w:r>
    </w:p>
    <w:p w14:paraId="61682F40" w14:textId="77777777" w:rsidR="00F51B07" w:rsidRPr="00422CA2" w:rsidRDefault="00F51B07" w:rsidP="002B6509">
      <w:pPr>
        <w:pStyle w:val="Prrafodelista"/>
        <w:numPr>
          <w:ilvl w:val="0"/>
          <w:numId w:val="222"/>
        </w:numPr>
        <w:spacing w:after="200" w:line="276" w:lineRule="auto"/>
        <w:jc w:val="both"/>
        <w:rPr>
          <w:rFonts w:ascii="ITC Avant Garde" w:hAnsi="ITC Avant Garde"/>
          <w:sz w:val="22"/>
          <w:szCs w:val="22"/>
        </w:rPr>
      </w:pPr>
      <w:r w:rsidRPr="00422CA2">
        <w:rPr>
          <w:rFonts w:ascii="ITC Avant Garde" w:hAnsi="ITC Avant Garde"/>
          <w:sz w:val="22"/>
          <w:szCs w:val="22"/>
        </w:rPr>
        <w:t>En caso de conexión con equipos coubicados y velocidad de 1GBE se utilizará IEEE 802.3-2008 sección 3 1000BASE-SX 50 µm MMF (7.5 dB @ 850 nm, &lt; 550 m). El puerto debe configurarse en modo Full-Dúplex con auto negociación inactiva.</w:t>
      </w:r>
    </w:p>
    <w:p w14:paraId="74E987D5" w14:textId="24CF720F" w:rsidR="00F51B07" w:rsidRPr="00422CA2" w:rsidRDefault="00F51B07" w:rsidP="002B6509">
      <w:pPr>
        <w:pStyle w:val="Prrafodelista"/>
        <w:numPr>
          <w:ilvl w:val="0"/>
          <w:numId w:val="222"/>
        </w:num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resto de los casos se negociará entre el CS y </w:t>
      </w:r>
      <w:r w:rsidR="008228C1" w:rsidRPr="00422CA2">
        <w:rPr>
          <w:rFonts w:ascii="ITC Avant Garde" w:hAnsi="ITC Avant Garde"/>
          <w:sz w:val="22"/>
          <w:szCs w:val="22"/>
        </w:rPr>
        <w:t>Telmex</w:t>
      </w:r>
      <w:r w:rsidRPr="00422CA2">
        <w:rPr>
          <w:rFonts w:ascii="ITC Avant Garde" w:hAnsi="ITC Avant Garde"/>
          <w:sz w:val="22"/>
          <w:szCs w:val="22"/>
        </w:rPr>
        <w:t xml:space="preserve"> el estándar a utilizar, teniendo en cuenta que el CS requiera conectividad hasta distancias de 10Km en velocidades de 1Gbps </w:t>
      </w:r>
    </w:p>
    <w:p w14:paraId="119BEC78"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b/>
          <w:sz w:val="22"/>
          <w:szCs w:val="22"/>
        </w:rPr>
        <w:lastRenderedPageBreak/>
        <w:t>Para el nivel regional</w:t>
      </w:r>
      <w:r w:rsidRPr="00422CA2">
        <w:rPr>
          <w:rFonts w:ascii="ITC Avant Garde" w:hAnsi="ITC Avant Garde"/>
          <w:sz w:val="22"/>
          <w:szCs w:val="22"/>
        </w:rPr>
        <w:t>.</w:t>
      </w:r>
    </w:p>
    <w:p w14:paraId="25CB7231" w14:textId="77777777" w:rsidR="00F51B07" w:rsidRPr="00422CA2" w:rsidRDefault="00F51B07" w:rsidP="002B6509">
      <w:pPr>
        <w:pStyle w:val="Prrafodelista"/>
        <w:numPr>
          <w:ilvl w:val="0"/>
          <w:numId w:val="223"/>
        </w:numPr>
        <w:spacing w:after="200" w:line="276" w:lineRule="auto"/>
        <w:jc w:val="both"/>
        <w:rPr>
          <w:rFonts w:ascii="ITC Avant Garde" w:hAnsi="ITC Avant Garde"/>
          <w:sz w:val="22"/>
          <w:szCs w:val="22"/>
        </w:rPr>
      </w:pPr>
      <w:r w:rsidRPr="00422CA2">
        <w:rPr>
          <w:rFonts w:ascii="ITC Avant Garde" w:hAnsi="ITC Avant Garde"/>
          <w:sz w:val="22"/>
          <w:szCs w:val="22"/>
        </w:rPr>
        <w:t>1000Base-xx 1 GbE</w:t>
      </w:r>
    </w:p>
    <w:p w14:paraId="08E876EE" w14:textId="77777777" w:rsidR="00F51B07" w:rsidRPr="00422CA2" w:rsidRDefault="00F51B07" w:rsidP="002B6509">
      <w:pPr>
        <w:pStyle w:val="Prrafodelista"/>
        <w:numPr>
          <w:ilvl w:val="0"/>
          <w:numId w:val="223"/>
        </w:numPr>
        <w:spacing w:after="200" w:line="276" w:lineRule="auto"/>
        <w:jc w:val="both"/>
        <w:rPr>
          <w:rFonts w:ascii="ITC Avant Garde" w:hAnsi="ITC Avant Garde"/>
          <w:sz w:val="22"/>
          <w:szCs w:val="22"/>
        </w:rPr>
      </w:pPr>
      <w:r w:rsidRPr="00422CA2">
        <w:rPr>
          <w:rFonts w:ascii="ITC Avant Garde" w:hAnsi="ITC Avant Garde"/>
          <w:sz w:val="22"/>
          <w:szCs w:val="22"/>
        </w:rPr>
        <w:t>10GBase-xx: 10 GbE</w:t>
      </w:r>
    </w:p>
    <w:p w14:paraId="5927339E" w14:textId="77777777" w:rsidR="00F51B07" w:rsidRPr="00422CA2" w:rsidRDefault="00F51B07" w:rsidP="002B6509">
      <w:pPr>
        <w:pStyle w:val="Prrafodelista"/>
        <w:numPr>
          <w:ilvl w:val="0"/>
          <w:numId w:val="223"/>
        </w:numPr>
        <w:spacing w:after="200" w:line="276" w:lineRule="auto"/>
        <w:jc w:val="both"/>
        <w:rPr>
          <w:rFonts w:ascii="ITC Avant Garde" w:hAnsi="ITC Avant Garde"/>
          <w:sz w:val="22"/>
          <w:szCs w:val="22"/>
        </w:rPr>
      </w:pPr>
      <w:r w:rsidRPr="00422CA2">
        <w:rPr>
          <w:rFonts w:ascii="ITC Avant Garde" w:hAnsi="ITC Avant Garde"/>
          <w:sz w:val="22"/>
          <w:szCs w:val="22"/>
        </w:rPr>
        <w:t>En caso de conexión con equipos coubicados y velocidad de 1GBE se utilizará IEEE 802.3-2008 sección 3 1000BASE-SX 50 µm MMF (7.5 dB @ 850 nm, &lt; 550 m). El puerto debe configurarse en modo Full-Dúplex con auto negociación inactiva.</w:t>
      </w:r>
    </w:p>
    <w:p w14:paraId="4FF42637" w14:textId="1C2DB370" w:rsidR="00F51B07" w:rsidRPr="00422CA2" w:rsidRDefault="00F51B07" w:rsidP="002B6509">
      <w:pPr>
        <w:pStyle w:val="Prrafodelista"/>
        <w:numPr>
          <w:ilvl w:val="0"/>
          <w:numId w:val="223"/>
        </w:num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resto de los casos se negociará entre el CS y </w:t>
      </w:r>
      <w:r w:rsidR="008228C1" w:rsidRPr="00422CA2">
        <w:rPr>
          <w:rFonts w:ascii="ITC Avant Garde" w:hAnsi="ITC Avant Garde"/>
          <w:sz w:val="22"/>
          <w:szCs w:val="22"/>
        </w:rPr>
        <w:t>Telmex</w:t>
      </w:r>
      <w:r w:rsidRPr="00422CA2">
        <w:rPr>
          <w:rFonts w:ascii="ITC Avant Garde" w:hAnsi="ITC Avant Garde"/>
          <w:sz w:val="22"/>
          <w:szCs w:val="22"/>
        </w:rPr>
        <w:t xml:space="preserve"> el estándar a utilizar, teniendo en cuenta que el </w:t>
      </w:r>
      <w:r w:rsidR="008228C1" w:rsidRPr="00422CA2">
        <w:rPr>
          <w:rFonts w:ascii="ITC Avant Garde" w:hAnsi="ITC Avant Garde"/>
          <w:sz w:val="22"/>
          <w:szCs w:val="22"/>
        </w:rPr>
        <w:t>Telmex</w:t>
      </w:r>
      <w:r w:rsidRPr="00422CA2">
        <w:rPr>
          <w:rFonts w:ascii="ITC Avant Garde" w:hAnsi="ITC Avant Garde"/>
          <w:sz w:val="22"/>
          <w:szCs w:val="22"/>
        </w:rPr>
        <w:t xml:space="preserve"> deberá aceptar solicitudes del CS válidas para obtener conectividad hasta distancias de 40Km en velocidades de 1Gbps y de 10Gbps.</w:t>
      </w:r>
    </w:p>
    <w:p w14:paraId="737E20C7" w14:textId="77777777" w:rsidR="00F51B07" w:rsidRPr="00422CA2" w:rsidRDefault="00F51B07" w:rsidP="002B6509">
      <w:pPr>
        <w:spacing w:after="200" w:line="276" w:lineRule="auto"/>
        <w:jc w:val="both"/>
        <w:rPr>
          <w:rFonts w:ascii="ITC Avant Garde" w:hAnsi="ITC Avant Garde"/>
          <w:b/>
          <w:sz w:val="22"/>
          <w:szCs w:val="22"/>
        </w:rPr>
      </w:pPr>
      <w:r w:rsidRPr="00422CA2">
        <w:rPr>
          <w:rFonts w:ascii="ITC Avant Garde" w:hAnsi="ITC Avant Garde"/>
          <w:b/>
          <w:sz w:val="22"/>
          <w:szCs w:val="22"/>
        </w:rPr>
        <w:t xml:space="preserve">Para el nivel nacional </w:t>
      </w:r>
    </w:p>
    <w:p w14:paraId="48BC6BAD" w14:textId="77777777" w:rsidR="00F51B07" w:rsidRPr="00422CA2" w:rsidRDefault="00F51B07" w:rsidP="002B6509">
      <w:pPr>
        <w:pStyle w:val="Prrafodelista"/>
        <w:numPr>
          <w:ilvl w:val="0"/>
          <w:numId w:val="224"/>
        </w:numPr>
        <w:spacing w:after="200" w:line="276" w:lineRule="auto"/>
        <w:jc w:val="both"/>
        <w:rPr>
          <w:rFonts w:ascii="ITC Avant Garde" w:hAnsi="ITC Avant Garde"/>
          <w:sz w:val="22"/>
          <w:szCs w:val="22"/>
        </w:rPr>
      </w:pPr>
      <w:r w:rsidRPr="00422CA2">
        <w:rPr>
          <w:rFonts w:ascii="ITC Avant Garde" w:hAnsi="ITC Avant Garde"/>
          <w:sz w:val="22"/>
          <w:szCs w:val="22"/>
        </w:rPr>
        <w:t>1000Base-xx 1 GbE, Según IEEE 802.3-2008 sección 3 1000BASE-SX 50 µm MMF (7.5 dB @ 850 nm, &lt; 550 m). El puerto debe configurarse en modo Full-Duplex con auto negociación inactiva.</w:t>
      </w:r>
    </w:p>
    <w:p w14:paraId="7F7BAF93" w14:textId="77777777" w:rsidR="00F51B07" w:rsidRPr="00422CA2" w:rsidRDefault="00F51B07" w:rsidP="002B6509">
      <w:pPr>
        <w:pStyle w:val="Prrafodelista"/>
        <w:numPr>
          <w:ilvl w:val="0"/>
          <w:numId w:val="224"/>
        </w:numPr>
        <w:spacing w:after="200" w:line="276" w:lineRule="auto"/>
        <w:jc w:val="both"/>
        <w:rPr>
          <w:rFonts w:ascii="ITC Avant Garde" w:hAnsi="ITC Avant Garde"/>
          <w:sz w:val="22"/>
          <w:szCs w:val="22"/>
        </w:rPr>
      </w:pPr>
      <w:r w:rsidRPr="00422CA2">
        <w:rPr>
          <w:rFonts w:ascii="ITC Avant Garde" w:hAnsi="ITC Avant Garde"/>
          <w:sz w:val="22"/>
          <w:szCs w:val="22"/>
        </w:rPr>
        <w:t>10GBase-xx: 10 GbE</w:t>
      </w:r>
    </w:p>
    <w:p w14:paraId="470B918A" w14:textId="77777777" w:rsidR="00F51B07" w:rsidRPr="00422CA2" w:rsidRDefault="00F51B07" w:rsidP="002B6509">
      <w:pPr>
        <w:pStyle w:val="Prrafodelista"/>
        <w:numPr>
          <w:ilvl w:val="0"/>
          <w:numId w:val="224"/>
        </w:numPr>
        <w:spacing w:after="200" w:line="276" w:lineRule="auto"/>
        <w:jc w:val="both"/>
        <w:rPr>
          <w:rFonts w:ascii="ITC Avant Garde" w:hAnsi="ITC Avant Garde"/>
          <w:sz w:val="22"/>
          <w:szCs w:val="22"/>
        </w:rPr>
      </w:pPr>
      <w:r w:rsidRPr="00422CA2">
        <w:rPr>
          <w:rFonts w:ascii="ITC Avant Garde" w:hAnsi="ITC Avant Garde"/>
          <w:sz w:val="22"/>
          <w:szCs w:val="22"/>
        </w:rPr>
        <w:t>En caso de conexión con equipos coubicados y velocidad de 1GBE se utilizará IEEE 802.3-2008 sección 3 1000BASE-SX 50 µm MMF (7.5 dB @ 850 nm, &lt; 550 m). El puerto debe configurarse en modo Full-Dúplex con auto negociación inactiva.</w:t>
      </w:r>
    </w:p>
    <w:p w14:paraId="21DB2DC8" w14:textId="68DF9914" w:rsidR="00F51B07" w:rsidRPr="00422CA2" w:rsidRDefault="00F51B07" w:rsidP="002B6509">
      <w:pPr>
        <w:pStyle w:val="Prrafodelista"/>
        <w:numPr>
          <w:ilvl w:val="0"/>
          <w:numId w:val="224"/>
        </w:numPr>
        <w:spacing w:after="200" w:line="276" w:lineRule="auto"/>
        <w:jc w:val="both"/>
        <w:rPr>
          <w:rFonts w:ascii="ITC Avant Garde" w:hAnsi="ITC Avant Garde"/>
          <w:sz w:val="22"/>
          <w:szCs w:val="22"/>
        </w:rPr>
      </w:pPr>
      <w:r w:rsidRPr="00422CA2">
        <w:rPr>
          <w:rFonts w:ascii="ITC Avant Garde" w:hAnsi="ITC Avant Garde"/>
          <w:sz w:val="22"/>
          <w:szCs w:val="22"/>
        </w:rPr>
        <w:t xml:space="preserve">Para el resto de los casos se negociará entre el CS y </w:t>
      </w:r>
      <w:r w:rsidR="008228C1" w:rsidRPr="00422CA2">
        <w:rPr>
          <w:rFonts w:ascii="ITC Avant Garde" w:hAnsi="ITC Avant Garde"/>
          <w:sz w:val="22"/>
          <w:szCs w:val="22"/>
        </w:rPr>
        <w:t>Telmex</w:t>
      </w:r>
      <w:r w:rsidRPr="00422CA2">
        <w:rPr>
          <w:rFonts w:ascii="ITC Avant Garde" w:hAnsi="ITC Avant Garde"/>
          <w:sz w:val="22"/>
          <w:szCs w:val="22"/>
        </w:rPr>
        <w:t xml:space="preserve"> el estándar a utilizar, teniendo en cuenta que </w:t>
      </w:r>
      <w:r w:rsidR="008228C1" w:rsidRPr="00422CA2">
        <w:rPr>
          <w:rFonts w:ascii="ITC Avant Garde" w:hAnsi="ITC Avant Garde"/>
          <w:sz w:val="22"/>
          <w:szCs w:val="22"/>
        </w:rPr>
        <w:t>Telmex</w:t>
      </w:r>
      <w:r w:rsidRPr="00422CA2">
        <w:rPr>
          <w:rFonts w:ascii="ITC Avant Garde" w:hAnsi="ITC Avant Garde"/>
          <w:sz w:val="22"/>
          <w:szCs w:val="22"/>
        </w:rPr>
        <w:t xml:space="preserve">  deberá aceptar solicitudes del CS válidas para obtener conectividad hasta distancias de 40Km en velocidades de 1Gbps y de 70 Km en 10Gbps.</w:t>
      </w:r>
    </w:p>
    <w:p w14:paraId="6DECD96D" w14:textId="77777777" w:rsidR="00F51B07" w:rsidRPr="00422CA2" w:rsidRDefault="00F51B07" w:rsidP="002B6509">
      <w:pPr>
        <w:autoSpaceDE w:val="0"/>
        <w:autoSpaceDN w:val="0"/>
        <w:spacing w:after="200" w:line="276" w:lineRule="auto"/>
        <w:jc w:val="both"/>
        <w:rPr>
          <w:rFonts w:ascii="ITC Avant Garde" w:hAnsi="ITC Avant Garde"/>
          <w:sz w:val="22"/>
          <w:szCs w:val="22"/>
          <w:lang w:val="es-MX"/>
        </w:rPr>
      </w:pPr>
      <w:r w:rsidRPr="00422CA2">
        <w:rPr>
          <w:rFonts w:ascii="ITC Avant Garde" w:hAnsi="ITC Avant Garde"/>
          <w:sz w:val="22"/>
          <w:szCs w:val="22"/>
        </w:rPr>
        <w:t>La configuración lógica de la interfaz es:</w:t>
      </w:r>
    </w:p>
    <w:p w14:paraId="325E2E66"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El formato de trama debe ser conforme al estándar IEEE 802.3-2008, clausula 3.1.1.</w:t>
      </w:r>
    </w:p>
    <w:p w14:paraId="6226C603" w14:textId="6500804F"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 xml:space="preserve">El intercambio de tráfico debe soportarse con tramas bajo el estándar 802.1q, para C-VLAN. Esta etiqueta será administrada e indicada por </w:t>
      </w:r>
      <w:r w:rsidR="009C4AC5" w:rsidRPr="00422CA2">
        <w:rPr>
          <w:rFonts w:ascii="ITC Avant Garde" w:hAnsi="ITC Avant Garde"/>
          <w:sz w:val="22"/>
          <w:szCs w:val="22"/>
        </w:rPr>
        <w:t>Telmex</w:t>
      </w:r>
      <w:r w:rsidRPr="00422CA2">
        <w:rPr>
          <w:rFonts w:ascii="ITC Avant Garde" w:hAnsi="ITC Avant Garde"/>
          <w:sz w:val="22"/>
          <w:szCs w:val="22"/>
        </w:rPr>
        <w:t xml:space="preserve"> a cada CS dentro del dominio válido de 4,094 valores.</w:t>
      </w:r>
    </w:p>
    <w:p w14:paraId="04873B75"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El tamaño máximo de trama MTU debe ser de 1518 Bytes.</w:t>
      </w:r>
    </w:p>
    <w:p w14:paraId="5300AD3A"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lastRenderedPageBreak/>
        <w:t>El tráfico que se intercambia debe ser marcado con P-bit=0, de acuerdo al estándar 802.1p.</w:t>
      </w:r>
    </w:p>
    <w:p w14:paraId="641B83AB" w14:textId="77777777" w:rsidR="00F51B07" w:rsidRPr="00422CA2" w:rsidRDefault="00F51B07" w:rsidP="002B6509">
      <w:pPr>
        <w:autoSpaceDE w:val="0"/>
        <w:autoSpaceDN w:val="0"/>
        <w:spacing w:after="200" w:line="276" w:lineRule="auto"/>
        <w:jc w:val="both"/>
        <w:rPr>
          <w:rFonts w:ascii="ITC Avant Garde" w:hAnsi="ITC Avant Garde"/>
          <w:sz w:val="22"/>
          <w:szCs w:val="22"/>
          <w:lang w:val="es-MX"/>
        </w:rPr>
      </w:pPr>
      <w:r w:rsidRPr="00422CA2">
        <w:rPr>
          <w:rFonts w:ascii="ITC Avant Garde" w:hAnsi="ITC Avant Garde"/>
          <w:sz w:val="22"/>
          <w:szCs w:val="22"/>
        </w:rPr>
        <w:t>Las características técnicas de la interfaz (pCAI) son:</w:t>
      </w:r>
    </w:p>
    <w:p w14:paraId="0E971097"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El tipo de fibra a utilizar es la multimodo de 50/125 micras, adecuada para ser utilizado en la ventana de 850 nm de acuerdo a la ITU REC G.651.1. Esta definición apoya a las recomendaciones y normas de sistemas relacionados IEC.</w:t>
      </w:r>
    </w:p>
    <w:p w14:paraId="54641FAF"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Los conectores de remate en el DFO deben ser SC/UPC.</w:t>
      </w:r>
    </w:p>
    <w:p w14:paraId="20206A92"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Se podrán conectar hasta 50 equipos de acceso por pCAI para el nivel local y regional cuando se utilizan interfaces GE.</w:t>
      </w:r>
    </w:p>
    <w:p w14:paraId="16A52F65"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Se podrán conectar hasta 50 y hasta 500 equipos de acceso (VLAN’s) por pCAI para el nivel regional.</w:t>
      </w:r>
    </w:p>
    <w:p w14:paraId="5A17ECB0"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Se podrán conectar hasta 500 equipos de acceso (VLAN’s) por pCAI para el nivel regional cuando se utilizan interfaces 10GE.</w:t>
      </w:r>
    </w:p>
    <w:p w14:paraId="62E00236" w14:textId="77777777" w:rsidR="00F51B07" w:rsidRPr="00422CA2" w:rsidRDefault="00F51B07" w:rsidP="002B6509">
      <w:pPr>
        <w:pStyle w:val="Prrafodelista"/>
        <w:numPr>
          <w:ilvl w:val="0"/>
          <w:numId w:val="116"/>
        </w:numPr>
        <w:autoSpaceDE w:val="0"/>
        <w:autoSpaceDN w:val="0"/>
        <w:spacing w:after="200" w:line="276" w:lineRule="auto"/>
        <w:jc w:val="both"/>
        <w:rPr>
          <w:rFonts w:ascii="ITC Avant Garde" w:hAnsi="ITC Avant Garde"/>
          <w:sz w:val="22"/>
          <w:szCs w:val="22"/>
        </w:rPr>
      </w:pPr>
      <w:r w:rsidRPr="00422CA2">
        <w:rPr>
          <w:rFonts w:ascii="ITC Avant Garde" w:hAnsi="ITC Avant Garde"/>
          <w:sz w:val="22"/>
          <w:szCs w:val="22"/>
        </w:rPr>
        <w:t>Se podrán conectar hasta 500 equipos de acceso por pCAI para el nivel nacional.</w:t>
      </w:r>
    </w:p>
    <w:p w14:paraId="47118225" w14:textId="77777777" w:rsidR="00F51B07" w:rsidRPr="00422CA2" w:rsidRDefault="00F51B07" w:rsidP="00586B55">
      <w:pPr>
        <w:pStyle w:val="Ttulo1"/>
        <w:rPr>
          <w:iCs/>
        </w:rPr>
      </w:pPr>
      <w:bookmarkStart w:id="848" w:name="_Toc436840945"/>
      <w:bookmarkStart w:id="849" w:name="_Toc436846382"/>
      <w:bookmarkStart w:id="850" w:name="_Toc436848332"/>
      <w:bookmarkStart w:id="851" w:name="_Toc436856580"/>
      <w:bookmarkStart w:id="852" w:name="_Toc436862726"/>
      <w:bookmarkStart w:id="853" w:name="_Toc436866376"/>
      <w:bookmarkStart w:id="854" w:name="_Toc436870955"/>
      <w:bookmarkStart w:id="855" w:name="_Toc436875947"/>
      <w:bookmarkStart w:id="856" w:name="_Toc437602142"/>
      <w:r w:rsidRPr="00422CA2">
        <w:t>10.5</w:t>
      </w:r>
      <w:r w:rsidRPr="00422CA2">
        <w:tab/>
        <w:t>Plan de VLAN’s: Servicio de Concentración y Distribución Local, Regional y Nacional</w:t>
      </w:r>
      <w:bookmarkEnd w:id="848"/>
      <w:bookmarkEnd w:id="849"/>
      <w:bookmarkEnd w:id="850"/>
      <w:bookmarkEnd w:id="851"/>
      <w:bookmarkEnd w:id="852"/>
      <w:bookmarkEnd w:id="853"/>
      <w:bookmarkEnd w:id="854"/>
      <w:bookmarkEnd w:id="855"/>
      <w:bookmarkEnd w:id="856"/>
    </w:p>
    <w:p w14:paraId="65C204B4"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Conectividad e intercambio de tráfico.</w:t>
      </w:r>
    </w:p>
    <w:p w14:paraId="01D1E0F8"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La solución técnica adoptada establecerá una conectividad punto a punto para cada CS desde cada DSLAM/OLT hasta cada pCAI, con una calidad similar a la obtenida por Telmex para su red de acceso a Internet en puntos de agregación similares.</w:t>
      </w:r>
    </w:p>
    <w:p w14:paraId="63BB15C3"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La red del Telmex cursará tramas Ethernet con etiqueta de VLAN según estándar IEEE 802.3-2008, clausula 3.1.1. El valor de la etiqueta interna (C-tag, identificador de C-VLAN) será asignado y administrado por Telmex. El tamaño máximo de la trama MTU debe ser de 1518 Bytes. El tráfico debe intercambiarse marcado en P-bit=0.</w:t>
      </w:r>
    </w:p>
    <w:p w14:paraId="533A40F2"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Estos valores se considerarán en la conexión del pCAI, en la conexión DSLAM/OLT – Red Ethernet, y en la conexión Modem o ONT a equipo de la Red de Acceso (DSLAM/OLT).</w:t>
      </w:r>
    </w:p>
    <w:p w14:paraId="6228B151"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Se soportarán hasta 4.096 identificadores de VLAN externa diferentes por pCAI. El esquema de identificación deberá ser acordado entre Telmex y los CS.</w:t>
      </w:r>
    </w:p>
    <w:p w14:paraId="553EDA07"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Plan de VLAN’s.</w:t>
      </w:r>
    </w:p>
    <w:p w14:paraId="7CDBDF25" w14:textId="77777777" w:rsidR="00F51B07" w:rsidRPr="00422CA2" w:rsidRDefault="00F51B07" w:rsidP="002B6509">
      <w:p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Validar que en la asignación de identificadores de VLAN en un pCAI no existan duplicidades. Los identificadores de VLAN son únicos e irrepetibles en un dominio administrativo, no obstante se pueden repetir en diferentes dominios administrativos.</w:t>
      </w:r>
    </w:p>
    <w:p w14:paraId="70728E8C"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El plan de VLAN's utilizado para establecer las conexiones de entrega de tráfico SAIB a cada CS, cuenta con hasta 4,094 identificadores de VLAN. Estos identificadores de VLAN son asignados a cada uno de los equipos de acceso existentes en los NCAI de un mismo dominio administrativo Ethernet. Los identificadores son valores inherentes a los estándares de Ethernet, por lo que son únicos e irrepetibles en un dominio administrativo.</w:t>
      </w:r>
    </w:p>
    <w:p w14:paraId="4C40B4DF"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Para la asignación de los identificadores de VLAN, se requiere una administración del plan de VLAN's, la cual contempla:</w:t>
      </w:r>
    </w:p>
    <w:p w14:paraId="4B3268EF" w14:textId="77777777" w:rsidR="00F51B07" w:rsidRPr="00422CA2" w:rsidRDefault="00F51B07" w:rsidP="002B6509">
      <w:pPr>
        <w:pStyle w:val="Prrafodelista"/>
        <w:numPr>
          <w:ilvl w:val="0"/>
          <w:numId w:val="59"/>
        </w:numPr>
        <w:spacing w:after="200" w:line="276" w:lineRule="auto"/>
        <w:jc w:val="both"/>
        <w:rPr>
          <w:rFonts w:ascii="ITC Avant Garde" w:hAnsi="ITC Avant Garde"/>
          <w:sz w:val="22"/>
          <w:szCs w:val="22"/>
        </w:rPr>
      </w:pPr>
      <w:r w:rsidRPr="00422CA2">
        <w:rPr>
          <w:rFonts w:ascii="ITC Avant Garde" w:hAnsi="ITC Avant Garde"/>
          <w:sz w:val="22"/>
          <w:szCs w:val="22"/>
        </w:rPr>
        <w:t>Configurar una VLAN para el intercambio de tráfico de SAIB entre cada equipo de acceso (DSLAM/OLT) y el pCAI de conexión al CS.</w:t>
      </w:r>
    </w:p>
    <w:p w14:paraId="0D2F83A9" w14:textId="77777777" w:rsidR="00F51B07" w:rsidRPr="00422CA2" w:rsidRDefault="00F51B07" w:rsidP="002B6509">
      <w:pPr>
        <w:pStyle w:val="Prrafodelista"/>
        <w:numPr>
          <w:ilvl w:val="0"/>
          <w:numId w:val="217"/>
        </w:numPr>
        <w:spacing w:after="200" w:line="276" w:lineRule="auto"/>
        <w:jc w:val="both"/>
        <w:rPr>
          <w:rFonts w:ascii="ITC Avant Garde" w:hAnsi="ITC Avant Garde"/>
          <w:sz w:val="22"/>
          <w:szCs w:val="22"/>
        </w:rPr>
      </w:pPr>
      <w:r w:rsidRPr="00422CA2">
        <w:rPr>
          <w:rFonts w:ascii="ITC Avant Garde" w:hAnsi="ITC Avant Garde"/>
          <w:sz w:val="22"/>
          <w:szCs w:val="22"/>
        </w:rPr>
        <w:t>Configurar las VLAN necesarias en tantos pCAI como requiera el CS para el intercambio de tráfico proveniente de diferentes equipos de acceso (DSLAM/OLT).</w:t>
      </w:r>
    </w:p>
    <w:p w14:paraId="46C7D29E" w14:textId="77777777" w:rsidR="00F51B07" w:rsidRPr="00422CA2" w:rsidRDefault="00F51B07" w:rsidP="002B6509">
      <w:pPr>
        <w:pStyle w:val="Prrafodelista"/>
        <w:numPr>
          <w:ilvl w:val="0"/>
          <w:numId w:val="59"/>
        </w:numPr>
        <w:spacing w:after="200" w:line="276" w:lineRule="auto"/>
        <w:jc w:val="both"/>
        <w:rPr>
          <w:rFonts w:ascii="ITC Avant Garde" w:hAnsi="ITC Avant Garde"/>
          <w:sz w:val="22"/>
          <w:szCs w:val="22"/>
        </w:rPr>
      </w:pPr>
      <w:r w:rsidRPr="00422CA2">
        <w:rPr>
          <w:rFonts w:ascii="ITC Avant Garde" w:hAnsi="ITC Avant Garde"/>
          <w:sz w:val="22"/>
          <w:szCs w:val="22"/>
        </w:rPr>
        <w:t>Validar que en la asignación de identificadores de VLAN en un pCAI no existan duplicidades. Los identificadores de VLAN son únicos e irrepetibles en un dominio administrativo, no obstante se pueden repetir en diferentes dominios administrativos.</w:t>
      </w:r>
    </w:p>
    <w:p w14:paraId="28CBF46C" w14:textId="77777777" w:rsidR="00F51B07" w:rsidRPr="00422CA2" w:rsidRDefault="00F51B07" w:rsidP="002B6509">
      <w:pPr>
        <w:pStyle w:val="Prrafodelista"/>
        <w:numPr>
          <w:ilvl w:val="0"/>
          <w:numId w:val="59"/>
        </w:numPr>
        <w:spacing w:after="200" w:line="276" w:lineRule="auto"/>
        <w:jc w:val="both"/>
        <w:rPr>
          <w:rFonts w:ascii="ITC Avant Garde" w:hAnsi="ITC Avant Garde"/>
          <w:sz w:val="22"/>
          <w:szCs w:val="22"/>
        </w:rPr>
      </w:pPr>
      <w:r w:rsidRPr="00422CA2">
        <w:rPr>
          <w:rFonts w:ascii="ITC Avant Garde" w:hAnsi="ITC Avant Garde"/>
          <w:sz w:val="22"/>
          <w:szCs w:val="22"/>
        </w:rPr>
        <w:t>Para concentraciones regionales, administrar que por cada 50 equipos de acceso se contrate un pCAI de 1 Gbps y que por cada 500 equipos de acceso se contrate un pCAI de 10 Gbps, para que el CS pueda acceder a todos los usuarios sin tener una saturación de tráfico en el puerto.</w:t>
      </w:r>
    </w:p>
    <w:p w14:paraId="68EE1DF4" w14:textId="77777777" w:rsidR="00F51B07" w:rsidRPr="00422CA2" w:rsidRDefault="00F51B07" w:rsidP="002B6509">
      <w:pPr>
        <w:pStyle w:val="Prrafodelista"/>
        <w:numPr>
          <w:ilvl w:val="0"/>
          <w:numId w:val="59"/>
        </w:numPr>
        <w:spacing w:after="200" w:line="276" w:lineRule="auto"/>
        <w:jc w:val="both"/>
        <w:rPr>
          <w:rFonts w:ascii="ITC Avant Garde" w:hAnsi="ITC Avant Garde"/>
          <w:sz w:val="22"/>
          <w:szCs w:val="22"/>
        </w:rPr>
      </w:pPr>
      <w:r w:rsidRPr="00422CA2">
        <w:rPr>
          <w:rFonts w:ascii="ITC Avant Garde" w:hAnsi="ITC Avant Garde"/>
          <w:sz w:val="22"/>
          <w:szCs w:val="22"/>
        </w:rPr>
        <w:t xml:space="preserve">Para concentraciones nacionales, administrar que por cada 500 equipos de acceso se contrate un pCAI de 10 Gbps para que el CS pueda acceder a todos los usuarios sin tener una saturación de tráfico en el puerto. </w:t>
      </w:r>
    </w:p>
    <w:p w14:paraId="0164A0F0" w14:textId="77777777" w:rsidR="00F51B07" w:rsidRPr="00422CA2" w:rsidRDefault="00F51B07" w:rsidP="00F51B07">
      <w:pPr>
        <w:pStyle w:val="IFTnormal"/>
        <w:rPr>
          <w:i/>
          <w:iCs/>
        </w:rPr>
      </w:pPr>
      <w:r w:rsidRPr="00422CA2">
        <w:t>Control de tráfico (descendente) por CS</w:t>
      </w:r>
    </w:p>
    <w:p w14:paraId="0C7ED2AF" w14:textId="74BF4F61"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lastRenderedPageBreak/>
        <w:t>En sentido descendente (desde pCAI a DSLAM/OLT) se establecerán los mecanismos necesarios en la red Ethernet para asegurar el correcto funcionamiento de los servicios y la no interferencia de unos sobre otros. Este aspecto es particularmente r</w:t>
      </w:r>
      <w:r w:rsidR="00542D62" w:rsidRPr="00422CA2">
        <w:rPr>
          <w:rFonts w:ascii="ITC Avant Garde" w:hAnsi="ITC Avant Garde"/>
          <w:sz w:val="22"/>
          <w:szCs w:val="22"/>
        </w:rPr>
        <w:t>elevante entre servicios de CS</w:t>
      </w:r>
      <w:r w:rsidRPr="00422CA2">
        <w:rPr>
          <w:rFonts w:ascii="ITC Avant Garde" w:hAnsi="ITC Avant Garde"/>
          <w:sz w:val="22"/>
          <w:szCs w:val="22"/>
        </w:rPr>
        <w:t xml:space="preserve"> diferentes.</w:t>
      </w:r>
    </w:p>
    <w:p w14:paraId="5F457C27"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 xml:space="preserve">Se podrán establecer por Telmex las medidas siguientes: </w:t>
      </w:r>
    </w:p>
    <w:p w14:paraId="07B8C2CE" w14:textId="77777777" w:rsidR="00F51B07" w:rsidRPr="00422CA2" w:rsidRDefault="00F51B07" w:rsidP="002B6509">
      <w:pPr>
        <w:pStyle w:val="Prrafodelista"/>
        <w:numPr>
          <w:ilvl w:val="0"/>
          <w:numId w:val="218"/>
        </w:numPr>
        <w:spacing w:after="200" w:line="276" w:lineRule="auto"/>
        <w:jc w:val="both"/>
        <w:rPr>
          <w:rFonts w:ascii="ITC Avant Garde" w:hAnsi="ITC Avant Garde"/>
          <w:sz w:val="22"/>
          <w:szCs w:val="22"/>
        </w:rPr>
      </w:pPr>
      <w:r w:rsidRPr="00422CA2">
        <w:rPr>
          <w:rFonts w:ascii="ITC Avant Garde" w:hAnsi="ITC Avant Garde"/>
          <w:sz w:val="22"/>
          <w:szCs w:val="22"/>
        </w:rPr>
        <w:t>Medidas de protección contra bucles físicos. En el puerto pCAI, el NCAI de la red Ethernet podrá bloquear el puerto cuando detecte un bucle físico y quedará bloqueado mientras perdure el bucle.</w:t>
      </w:r>
    </w:p>
    <w:p w14:paraId="2941AF73" w14:textId="77777777" w:rsidR="00F51B07" w:rsidRPr="00422CA2" w:rsidRDefault="00F51B07" w:rsidP="002B6509">
      <w:pPr>
        <w:pStyle w:val="Prrafodelista"/>
        <w:numPr>
          <w:ilvl w:val="0"/>
          <w:numId w:val="218"/>
        </w:numPr>
        <w:spacing w:after="200" w:line="276" w:lineRule="auto"/>
        <w:jc w:val="both"/>
        <w:rPr>
          <w:rFonts w:ascii="ITC Avant Garde" w:hAnsi="ITC Avant Garde"/>
          <w:sz w:val="22"/>
          <w:szCs w:val="22"/>
        </w:rPr>
      </w:pPr>
      <w:r w:rsidRPr="00422CA2">
        <w:rPr>
          <w:rFonts w:ascii="ITC Avant Garde" w:hAnsi="ITC Avant Garde"/>
          <w:sz w:val="22"/>
          <w:szCs w:val="22"/>
        </w:rPr>
        <w:t>Medidas de protección contra saturación de interfaces. Para evitar que errores de configuración u otro tipo de problemas en los módems/router de los CS puedan provocar saturación en alguno de los enlaces (GbE) entre nodo NCAI y DSLAM/OLT, se aplicará un rate limit por VLAN entre pCAI-E y DSLAM/OLT. Este límite garantizará el funcionamiento normal de todos los servicios. Este rate_limit se realizará en base al caudal agregado del servicio por CS y equipo DSLAM/OLT.</w:t>
      </w:r>
    </w:p>
    <w:p w14:paraId="5C1013F2"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Se podrán realizar diversas mediciones del tráfico, como, por ejemplo:</w:t>
      </w:r>
    </w:p>
    <w:p w14:paraId="1B794054" w14:textId="5F47540D" w:rsidR="00F51B07" w:rsidRPr="00422CA2" w:rsidRDefault="008228C1" w:rsidP="002B6509">
      <w:pPr>
        <w:pStyle w:val="Prrafodelista"/>
        <w:numPr>
          <w:ilvl w:val="0"/>
          <w:numId w:val="219"/>
        </w:numPr>
        <w:spacing w:after="200" w:line="276" w:lineRule="auto"/>
        <w:jc w:val="both"/>
        <w:rPr>
          <w:rFonts w:ascii="ITC Avant Garde" w:hAnsi="ITC Avant Garde"/>
          <w:sz w:val="22"/>
          <w:szCs w:val="22"/>
        </w:rPr>
      </w:pPr>
      <w:r w:rsidRPr="00422CA2">
        <w:rPr>
          <w:rFonts w:ascii="ITC Avant Garde" w:hAnsi="ITC Avant Garde"/>
          <w:sz w:val="22"/>
          <w:szCs w:val="22"/>
        </w:rPr>
        <w:t>N</w:t>
      </w:r>
      <w:r w:rsidR="00F51B07" w:rsidRPr="00422CA2">
        <w:rPr>
          <w:rFonts w:ascii="ITC Avant Garde" w:hAnsi="ITC Avant Garde"/>
          <w:sz w:val="22"/>
          <w:szCs w:val="22"/>
        </w:rPr>
        <w:t xml:space="preserve">úmero de tramas Ethernet recibidas / enviadas por puerto de acceso pCAI </w:t>
      </w:r>
    </w:p>
    <w:p w14:paraId="15A59CBA" w14:textId="4E707281" w:rsidR="00F51B07" w:rsidRPr="00422CA2" w:rsidRDefault="008228C1" w:rsidP="002B6509">
      <w:pPr>
        <w:pStyle w:val="Prrafodelista"/>
        <w:numPr>
          <w:ilvl w:val="0"/>
          <w:numId w:val="219"/>
        </w:numPr>
        <w:spacing w:after="200" w:line="276" w:lineRule="auto"/>
        <w:jc w:val="both"/>
        <w:rPr>
          <w:rFonts w:ascii="ITC Avant Garde" w:hAnsi="ITC Avant Garde"/>
          <w:sz w:val="22"/>
          <w:szCs w:val="22"/>
        </w:rPr>
      </w:pPr>
      <w:r w:rsidRPr="00422CA2">
        <w:rPr>
          <w:rFonts w:ascii="ITC Avant Garde" w:hAnsi="ITC Avant Garde"/>
          <w:sz w:val="22"/>
          <w:szCs w:val="22"/>
        </w:rPr>
        <w:t>N</w:t>
      </w:r>
      <w:r w:rsidR="00F51B07" w:rsidRPr="00422CA2">
        <w:rPr>
          <w:rFonts w:ascii="ITC Avant Garde" w:hAnsi="ITC Avant Garde"/>
          <w:sz w:val="22"/>
          <w:szCs w:val="22"/>
        </w:rPr>
        <w:t>úmero de tramas Ethernet descartadas por puerto de acceso pCAI</w:t>
      </w:r>
    </w:p>
    <w:p w14:paraId="0D7A469E"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Estas mediciones del tráfico se realizarán por Telmex, a nivel interno, para tareas de mantenimiento.</w:t>
      </w:r>
    </w:p>
    <w:p w14:paraId="7317B040" w14:textId="77777777" w:rsidR="00F51B07" w:rsidRPr="00422CA2" w:rsidRDefault="00F51B07" w:rsidP="00F51B07">
      <w:pPr>
        <w:pStyle w:val="IFTnormal"/>
        <w:rPr>
          <w:i/>
          <w:iCs/>
        </w:rPr>
      </w:pPr>
      <w:r w:rsidRPr="00422CA2">
        <w:t>Control de tráfico (ascendente) por CS.</w:t>
      </w:r>
    </w:p>
    <w:p w14:paraId="757493D6" w14:textId="53794BD5" w:rsidR="00F51B07" w:rsidRPr="00422CA2" w:rsidRDefault="00542D62" w:rsidP="002B6509">
      <w:pPr>
        <w:spacing w:after="200" w:line="276" w:lineRule="auto"/>
        <w:jc w:val="both"/>
        <w:rPr>
          <w:rFonts w:ascii="ITC Avant Garde" w:hAnsi="ITC Avant Garde"/>
          <w:sz w:val="22"/>
          <w:szCs w:val="22"/>
        </w:rPr>
      </w:pPr>
      <w:r w:rsidRPr="00422CA2">
        <w:rPr>
          <w:rFonts w:ascii="ITC Avant Garde" w:hAnsi="ITC Avant Garde"/>
          <w:sz w:val="22"/>
          <w:szCs w:val="22"/>
        </w:rPr>
        <w:t>E</w:t>
      </w:r>
      <w:r w:rsidR="00F51B07" w:rsidRPr="00422CA2">
        <w:rPr>
          <w:rFonts w:ascii="ITC Avant Garde" w:hAnsi="ITC Avant Garde"/>
          <w:sz w:val="22"/>
          <w:szCs w:val="22"/>
        </w:rPr>
        <w:t>n sentido ascendente el nodo de acceso (DSLAM/OLT) realizará el control de tráfico.</w:t>
      </w:r>
    </w:p>
    <w:p w14:paraId="2F30E097" w14:textId="74EDA84D" w:rsidR="00F51B07" w:rsidRPr="00422CA2" w:rsidRDefault="00F51B07" w:rsidP="00586B55">
      <w:pPr>
        <w:pStyle w:val="Ttulo1"/>
      </w:pPr>
      <w:bookmarkStart w:id="857" w:name="_Toc436840946"/>
      <w:bookmarkStart w:id="858" w:name="_Toc436846383"/>
      <w:bookmarkStart w:id="859" w:name="_Toc436848333"/>
      <w:bookmarkStart w:id="860" w:name="_Toc436856581"/>
      <w:bookmarkStart w:id="861" w:name="_Toc436862727"/>
      <w:bookmarkStart w:id="862" w:name="_Toc436866377"/>
      <w:bookmarkStart w:id="863" w:name="_Toc436870956"/>
      <w:bookmarkStart w:id="864" w:name="_Toc436875948"/>
      <w:bookmarkStart w:id="865" w:name="_Toc437602143"/>
      <w:r w:rsidRPr="00422CA2">
        <w:t>10.6</w:t>
      </w:r>
      <w:r w:rsidR="00CD49C7" w:rsidRPr="00422CA2">
        <w:t>.</w:t>
      </w:r>
      <w:r w:rsidRPr="00422CA2">
        <w:tab/>
        <w:t>Servicio a Ubicación Distante</w:t>
      </w:r>
      <w:bookmarkEnd w:id="857"/>
      <w:bookmarkEnd w:id="858"/>
      <w:bookmarkEnd w:id="859"/>
      <w:bookmarkEnd w:id="860"/>
      <w:bookmarkEnd w:id="861"/>
      <w:bookmarkEnd w:id="862"/>
      <w:bookmarkEnd w:id="863"/>
      <w:bookmarkEnd w:id="864"/>
      <w:bookmarkEnd w:id="865"/>
    </w:p>
    <w:p w14:paraId="0124C605" w14:textId="77777777" w:rsidR="00F51B07" w:rsidRPr="00422CA2" w:rsidRDefault="00F51B07" w:rsidP="002B6509">
      <w:pPr>
        <w:spacing w:after="200" w:line="276" w:lineRule="auto"/>
        <w:jc w:val="both"/>
        <w:rPr>
          <w:rFonts w:ascii="ITC Avant Garde" w:hAnsi="ITC Avant Garde"/>
          <w:sz w:val="22"/>
          <w:szCs w:val="22"/>
        </w:rPr>
      </w:pPr>
      <w:r w:rsidRPr="00422CA2">
        <w:rPr>
          <w:rFonts w:ascii="ITC Avant Garde" w:hAnsi="ITC Avant Garde"/>
          <w:sz w:val="22"/>
          <w:szCs w:val="22"/>
        </w:rPr>
        <w:t>El CS podrá solicitar que el SCyD sea terminado en un DFO para CS, de acuerdo con el Servicio de Tendido de Cable sobre Infraestructura Desagregada de la Oferta de Referencia de Compartición de Infraestructura Pasiva. En cuyo caso, las características del cable de Fibra Óptica deberán permitir distancias de conectividad de 40Km en velocidades de 1Gbps y de 70 Km en 10Gbps.</w:t>
      </w:r>
    </w:p>
    <w:p w14:paraId="4C85D227" w14:textId="674DFB42" w:rsidR="00F51B07" w:rsidRPr="00422CA2" w:rsidRDefault="00F51B07" w:rsidP="00586B55">
      <w:pPr>
        <w:pStyle w:val="Ttulo1"/>
      </w:pPr>
      <w:bookmarkStart w:id="866" w:name="_Toc436840947"/>
      <w:bookmarkStart w:id="867" w:name="_Toc436846384"/>
      <w:bookmarkStart w:id="868" w:name="_Toc436848334"/>
      <w:bookmarkStart w:id="869" w:name="_Toc436856582"/>
      <w:bookmarkStart w:id="870" w:name="_Toc436862728"/>
      <w:bookmarkStart w:id="871" w:name="_Toc436866378"/>
      <w:bookmarkStart w:id="872" w:name="_Toc436870957"/>
      <w:bookmarkStart w:id="873" w:name="_Toc436875949"/>
      <w:bookmarkStart w:id="874" w:name="_Toc437602144"/>
      <w:r w:rsidRPr="00422CA2">
        <w:lastRenderedPageBreak/>
        <w:t>10.7</w:t>
      </w:r>
      <w:r w:rsidRPr="00422CA2">
        <w:tab/>
        <w:t xml:space="preserve">Procedimientos de </w:t>
      </w:r>
      <w:r w:rsidR="00D929BE" w:rsidRPr="00422CA2">
        <w:t>solicitud</w:t>
      </w:r>
      <w:r w:rsidRPr="00422CA2">
        <w:t>, modificación y baja del SCyD.</w:t>
      </w:r>
      <w:bookmarkEnd w:id="829"/>
      <w:bookmarkEnd w:id="866"/>
      <w:bookmarkEnd w:id="867"/>
      <w:bookmarkEnd w:id="868"/>
      <w:bookmarkEnd w:id="869"/>
      <w:bookmarkEnd w:id="870"/>
      <w:bookmarkEnd w:id="871"/>
      <w:bookmarkEnd w:id="872"/>
      <w:bookmarkEnd w:id="873"/>
      <w:bookmarkEnd w:id="874"/>
    </w:p>
    <w:p w14:paraId="2D6D1264" w14:textId="417FDF66" w:rsidR="009224D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Queda establecido que mediante el envío de la solicitud, el CS </w:t>
      </w:r>
      <w:r w:rsidR="00303E9C" w:rsidRPr="00422CA2">
        <w:rPr>
          <w:rFonts w:ascii="ITC Avant Garde" w:hAnsi="ITC Avant Garde"/>
          <w:sz w:val="22"/>
          <w:szCs w:val="22"/>
          <w:lang w:val="es-MX"/>
        </w:rPr>
        <w:t xml:space="preserve">se compromete a habilitar el equipamiento </w:t>
      </w:r>
      <w:r w:rsidR="00AF193D" w:rsidRPr="00422CA2">
        <w:rPr>
          <w:rFonts w:ascii="ITC Avant Garde" w:hAnsi="ITC Avant Garde"/>
          <w:sz w:val="22"/>
          <w:szCs w:val="22"/>
          <w:lang w:val="es-MX"/>
        </w:rPr>
        <w:t xml:space="preserve">necesario para la interconexión con los pCAI </w:t>
      </w:r>
      <w:r w:rsidR="00303E9C" w:rsidRPr="00422CA2">
        <w:rPr>
          <w:rFonts w:ascii="ITC Avant Garde" w:hAnsi="ITC Avant Garde"/>
          <w:sz w:val="22"/>
          <w:szCs w:val="22"/>
          <w:lang w:val="es-MX"/>
        </w:rPr>
        <w:t>en su lado correspondiente de la red. Asimismo si el CS cancela</w:t>
      </w:r>
      <w:r w:rsidR="009224D7" w:rsidRPr="00422CA2">
        <w:rPr>
          <w:rFonts w:ascii="ITC Avant Garde" w:hAnsi="ITC Avant Garde"/>
          <w:sz w:val="22"/>
          <w:szCs w:val="22"/>
          <w:lang w:val="es-MX"/>
        </w:rPr>
        <w:t xml:space="preserve"> la solicitud del punto de interconexión deberá compensar a Telmex por los costos incurridos</w:t>
      </w:r>
      <w:r w:rsidR="00AF193D" w:rsidRPr="00422CA2">
        <w:rPr>
          <w:rFonts w:ascii="ITC Avant Garde" w:hAnsi="ITC Avant Garde"/>
          <w:sz w:val="22"/>
          <w:szCs w:val="22"/>
          <w:lang w:val="es-MX"/>
        </w:rPr>
        <w:t xml:space="preserve"> no recuperados por vía del SAIB</w:t>
      </w:r>
      <w:r w:rsidR="009224D7" w:rsidRPr="00422CA2">
        <w:rPr>
          <w:rFonts w:ascii="ITC Avant Garde" w:hAnsi="ITC Avant Garde"/>
          <w:sz w:val="22"/>
          <w:szCs w:val="22"/>
          <w:lang w:val="es-MX"/>
        </w:rPr>
        <w:t>.</w:t>
      </w:r>
    </w:p>
    <w:p w14:paraId="6B6DA482" w14:textId="776677D1" w:rsidR="000A2D32" w:rsidRPr="00422CA2" w:rsidRDefault="000A2D32"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que el CS previo a la contratación pueda consultar los pares asociados a cada NCAI, la consulta se realizará conforme a lo establecido en la sección 3 de esta  </w:t>
      </w:r>
      <w:r w:rsidR="00CA026A">
        <w:rPr>
          <w:rFonts w:ascii="ITC Avant Garde" w:hAnsi="ITC Avant Garde"/>
          <w:sz w:val="22"/>
          <w:szCs w:val="22"/>
          <w:lang w:val="es-MX"/>
        </w:rPr>
        <w:t>OREDA</w:t>
      </w:r>
      <w:r w:rsidRPr="00422CA2">
        <w:rPr>
          <w:rFonts w:ascii="ITC Avant Garde" w:hAnsi="ITC Avant Garde"/>
          <w:sz w:val="22"/>
          <w:szCs w:val="22"/>
          <w:lang w:val="es-MX"/>
        </w:rPr>
        <w:t xml:space="preserve"> en lo relativo a la información tipo “a”. Información para el SAIB. </w:t>
      </w:r>
    </w:p>
    <w:p w14:paraId="48FA5038" w14:textId="5D1D5EFF" w:rsidR="006A69B2" w:rsidRPr="00422CA2" w:rsidRDefault="00B01B05"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El CS podrá tener acceso a la</w:t>
      </w:r>
      <w:r w:rsidR="006A69B2" w:rsidRPr="00422CA2">
        <w:rPr>
          <w:rFonts w:ascii="ITC Avant Garde" w:hAnsi="ITC Avant Garde"/>
          <w:sz w:val="22"/>
          <w:szCs w:val="22"/>
          <w:lang w:val="es-MX"/>
        </w:rPr>
        <w:t xml:space="preserve"> infraestructura de obra civil, incluyendo cualquier elemento o característica que sea necesaria para la correcta prestación de los servicios de desagre</w:t>
      </w:r>
      <w:r w:rsidRPr="00422CA2">
        <w:rPr>
          <w:rFonts w:ascii="ITC Avant Garde" w:hAnsi="ITC Avant Garde"/>
          <w:sz w:val="22"/>
          <w:szCs w:val="22"/>
          <w:lang w:val="es-MX"/>
        </w:rPr>
        <w:t>gación solicitados.</w:t>
      </w:r>
    </w:p>
    <w:p w14:paraId="5ACF1C60" w14:textId="2A349677" w:rsidR="00F51B07" w:rsidRPr="00422CA2" w:rsidRDefault="00F51B07" w:rsidP="002B6509">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Procedimiento de </w:t>
      </w:r>
      <w:r w:rsidR="00AF193D" w:rsidRPr="00422CA2">
        <w:rPr>
          <w:rFonts w:ascii="ITC Avant Garde" w:hAnsi="ITC Avant Garde"/>
          <w:b/>
          <w:sz w:val="22"/>
          <w:szCs w:val="22"/>
          <w:lang w:val="es-MX"/>
        </w:rPr>
        <w:t>Solicitud</w:t>
      </w:r>
      <w:r w:rsidRPr="00422CA2">
        <w:rPr>
          <w:rFonts w:ascii="ITC Avant Garde" w:hAnsi="ITC Avant Garde"/>
          <w:b/>
          <w:sz w:val="22"/>
          <w:szCs w:val="22"/>
          <w:lang w:val="es-MX"/>
        </w:rPr>
        <w:t xml:space="preserve"> y Entrega d</w:t>
      </w:r>
      <w:r w:rsidR="00157C07" w:rsidRPr="00422CA2">
        <w:rPr>
          <w:rFonts w:ascii="ITC Avant Garde" w:hAnsi="ITC Avant Garde"/>
          <w:b/>
          <w:sz w:val="22"/>
          <w:szCs w:val="22"/>
          <w:lang w:val="es-MX"/>
        </w:rPr>
        <w:t>e SCyD</w:t>
      </w:r>
      <w:r w:rsidRPr="00422CA2">
        <w:rPr>
          <w:rFonts w:ascii="ITC Avant Garde" w:hAnsi="ITC Avant Garde"/>
          <w:b/>
          <w:sz w:val="22"/>
          <w:szCs w:val="22"/>
          <w:lang w:val="es-MX"/>
        </w:rPr>
        <w:t>:</w:t>
      </w:r>
    </w:p>
    <w:p w14:paraId="56807740" w14:textId="0FE3B045" w:rsidR="00F51B07" w:rsidRPr="00422CA2" w:rsidRDefault="00F51B07" w:rsidP="002B6509">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w:t>
      </w:r>
      <w:r w:rsidR="009224D7" w:rsidRPr="00422CA2">
        <w:rPr>
          <w:rFonts w:ascii="ITC Avant Garde" w:hAnsi="ITC Avant Garde" w:cs="Arial"/>
          <w:sz w:val="22"/>
          <w:szCs w:val="22"/>
          <w:lang w:val="es-ES" w:eastAsia="es-MX"/>
        </w:rPr>
        <w:t>solicitud</w:t>
      </w:r>
      <w:r w:rsidRPr="00422CA2">
        <w:rPr>
          <w:rFonts w:ascii="ITC Avant Garde" w:hAnsi="ITC Avant Garde" w:cs="Arial"/>
          <w:sz w:val="22"/>
          <w:szCs w:val="22"/>
          <w:lang w:val="es-ES" w:eastAsia="es-MX"/>
        </w:rPr>
        <w:t xml:space="preserve"> y entrega de los servicios Concentración y Distribución</w:t>
      </w:r>
      <w:r w:rsidR="009224D7" w:rsidRPr="00422CA2">
        <w:rPr>
          <w:rFonts w:ascii="ITC Avant Garde" w:hAnsi="ITC Avant Garde" w:cs="Arial"/>
          <w:sz w:val="22"/>
          <w:szCs w:val="22"/>
          <w:lang w:val="es-ES" w:eastAsia="es-MX"/>
        </w:rPr>
        <w:t xml:space="preserve"> en el punto de interconexión</w:t>
      </w:r>
      <w:r w:rsidRPr="00422CA2">
        <w:rPr>
          <w:rFonts w:ascii="ITC Avant Garde" w:hAnsi="ITC Avant Garde" w:cs="Arial"/>
          <w:sz w:val="22"/>
          <w:szCs w:val="22"/>
          <w:lang w:val="es-ES" w:eastAsia="es-MX"/>
        </w:rPr>
        <w:t xml:space="preserve">; las fases en que se divide este procedimiento son: (i) Entrega y validación de la solicitud para que el CS manifieste su intención de </w:t>
      </w:r>
      <w:r w:rsidR="009224D7" w:rsidRPr="00422CA2">
        <w:rPr>
          <w:rFonts w:ascii="ITC Avant Garde" w:hAnsi="ITC Avant Garde" w:cs="Arial"/>
          <w:sz w:val="22"/>
          <w:szCs w:val="22"/>
          <w:lang w:val="es-ES" w:eastAsia="es-MX"/>
        </w:rPr>
        <w:t xml:space="preserve">solicitar el </w:t>
      </w:r>
      <w:r w:rsidR="00AF193D" w:rsidRPr="00422CA2">
        <w:rPr>
          <w:rFonts w:ascii="ITC Avant Garde" w:hAnsi="ITC Avant Garde" w:cs="Arial"/>
          <w:sz w:val="22"/>
          <w:szCs w:val="22"/>
          <w:lang w:val="es-ES" w:eastAsia="es-MX"/>
        </w:rPr>
        <w:t>pCAI</w:t>
      </w:r>
      <w:r w:rsidRPr="00422CA2">
        <w:rPr>
          <w:rFonts w:ascii="ITC Avant Garde" w:hAnsi="ITC Avant Garde" w:cs="Arial"/>
          <w:sz w:val="22"/>
          <w:szCs w:val="22"/>
          <w:lang w:val="es-ES" w:eastAsia="es-MX"/>
        </w:rPr>
        <w:t xml:space="preserve">, las características que solicita para el mismo, y la validación por parte de Telmex de que la solicitud cuenta con todos los elementos para </w:t>
      </w:r>
      <w:r w:rsidR="00AF193D" w:rsidRPr="00422CA2">
        <w:rPr>
          <w:rFonts w:ascii="ITC Avant Garde" w:hAnsi="ITC Avant Garde" w:cs="Arial"/>
          <w:sz w:val="22"/>
          <w:szCs w:val="22"/>
          <w:lang w:val="es-ES" w:eastAsia="es-MX"/>
        </w:rPr>
        <w:t>el suministro</w:t>
      </w:r>
      <w:r w:rsidRPr="00422CA2">
        <w:rPr>
          <w:rFonts w:ascii="ITC Avant Garde" w:hAnsi="ITC Avant Garde" w:cs="Arial"/>
          <w:sz w:val="22"/>
          <w:szCs w:val="22"/>
          <w:lang w:val="es-ES" w:eastAsia="es-MX"/>
        </w:rPr>
        <w:t xml:space="preserve"> del </w:t>
      </w:r>
      <w:r w:rsidR="00AF193D" w:rsidRPr="00422CA2">
        <w:rPr>
          <w:rFonts w:ascii="ITC Avant Garde" w:hAnsi="ITC Avant Garde" w:cs="Arial"/>
          <w:sz w:val="22"/>
          <w:szCs w:val="22"/>
          <w:lang w:val="es-ES" w:eastAsia="es-MX"/>
        </w:rPr>
        <w:t>servicio</w:t>
      </w:r>
      <w:r w:rsidRPr="00422CA2">
        <w:rPr>
          <w:rFonts w:ascii="ITC Avant Garde" w:hAnsi="ITC Avant Garde" w:cs="Arial"/>
          <w:sz w:val="22"/>
          <w:szCs w:val="22"/>
          <w:lang w:val="es-ES" w:eastAsia="es-MX"/>
        </w:rPr>
        <w:t xml:space="preserve">; (ii) </w:t>
      </w:r>
      <w:r w:rsidRPr="00422CA2">
        <w:rPr>
          <w:rFonts w:ascii="ITC Avant Garde" w:hAnsi="ITC Avant Garde" w:cs="Arial"/>
          <w:sz w:val="22"/>
          <w:szCs w:val="22"/>
        </w:rPr>
        <w:t xml:space="preserve">Análisis de Factibilidad técnica </w:t>
      </w:r>
      <w:r w:rsidR="000A2D32" w:rsidRPr="00422CA2">
        <w:rPr>
          <w:rFonts w:ascii="ITC Avant Garde" w:hAnsi="ITC Avant Garde" w:cs="Arial"/>
          <w:sz w:val="22"/>
          <w:szCs w:val="22"/>
        </w:rPr>
        <w:t>a fin de que Telmex pueda verificar que cuenta con los elementos para brindar el servicio solicitado;</w:t>
      </w:r>
      <w:r w:rsidRPr="00422CA2">
        <w:rPr>
          <w:rFonts w:ascii="ITC Avant Garde" w:hAnsi="ITC Avant Garde" w:cs="Arial"/>
          <w:sz w:val="22"/>
          <w:szCs w:val="22"/>
        </w:rPr>
        <w:t xml:space="preserve"> y (iii) Habilitación y aprovisionamiento del servicio solicitado, que detonará los procesos de pruebas de </w:t>
      </w:r>
      <w:r w:rsidR="00AF193D" w:rsidRPr="00422CA2">
        <w:rPr>
          <w:rFonts w:ascii="ITC Avant Garde" w:hAnsi="ITC Avant Garde" w:cs="Arial"/>
          <w:sz w:val="22"/>
          <w:szCs w:val="22"/>
        </w:rPr>
        <w:t>puesta en servicio del pCAI.</w:t>
      </w:r>
    </w:p>
    <w:p w14:paraId="52DB1E58" w14:textId="77777777"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lang w:val="es-MX" w:eastAsia="es-MX"/>
        </w:rPr>
        <w:t xml:space="preserve"> o del SEG una vez que entre en operación. Si el servicio es solicitado a Ubicación Distante el CS deberá enviar el NIS-Referencia del servicio de Compartición de Infraestructura.</w:t>
      </w:r>
    </w:p>
    <w:p w14:paraId="098EA2B0" w14:textId="77777777"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La solicitud del CS será validada en un plazo máximo de 1 día hábil, se dará seguimiento a la solicitud con folio hasta que se asigne un NIS, si la solicitud no cumple con la información correspondiente, será devuelta al CS para que sea corregida y reenviada a Telmex a fin de que vuelva a ser validad, junto con el motivo por el cual no fue validada la solicitud.</w:t>
      </w:r>
    </w:p>
    <w:p w14:paraId="03BEBE11" w14:textId="77777777" w:rsidR="00302BFC" w:rsidRPr="00422CA2" w:rsidRDefault="00302BFC"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Después de haber sido validada la solicitud, se verificará la factibilidad técnica en un plazo máximo de 3 días hábiles, conforme a lo siguiente: </w:t>
      </w:r>
    </w:p>
    <w:p w14:paraId="478E3AB6" w14:textId="77777777" w:rsidR="00302BFC" w:rsidRPr="00422CA2" w:rsidRDefault="00302BFC" w:rsidP="002B6509">
      <w:pPr>
        <w:pStyle w:val="Prrafodelista"/>
        <w:numPr>
          <w:ilvl w:val="1"/>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lastRenderedPageBreak/>
        <w:t>Si existen facilidades, se entregará un NIS por SCyD habilitado, un NIS o referencia por NCAI y un NIS o Referencia por cada pCAI y se enviará cotización.</w:t>
      </w:r>
    </w:p>
    <w:p w14:paraId="366F3C39" w14:textId="54A7BDED" w:rsidR="00302BFC" w:rsidRPr="00422CA2" w:rsidRDefault="00302BFC" w:rsidP="002B6509">
      <w:pPr>
        <w:pStyle w:val="Prrafodelista"/>
        <w:numPr>
          <w:ilvl w:val="1"/>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no existen facilidades </w:t>
      </w:r>
      <w:r w:rsidRPr="00422CA2">
        <w:rPr>
          <w:rFonts w:ascii="ITC Avant Garde" w:hAnsi="ITC Avant Garde" w:cs="Arial"/>
          <w:sz w:val="22"/>
          <w:szCs w:val="22"/>
        </w:rPr>
        <w:t>se presentará al CS, a través del SC o del SEG, la justificación de los motivos descritos en el apartado 1.4 relativo a los recursos de red asociados a los servicios, así como las evidencias correspondientes</w:t>
      </w:r>
      <w:r w:rsidRPr="00422CA2">
        <w:rPr>
          <w:rFonts w:ascii="ITC Avant Garde" w:hAnsi="ITC Avant Garde" w:cs="Arial"/>
          <w:sz w:val="22"/>
          <w:szCs w:val="22"/>
          <w:lang w:val="es-MX"/>
        </w:rPr>
        <w:t xml:space="preserve">. A solicitud del CS se iniciará el procedimiento de Trabajo Especial contenido en la sección 11 de esta </w:t>
      </w:r>
      <w:r w:rsidR="000F3B5A">
        <w:rPr>
          <w:rFonts w:ascii="ITC Avant Garde" w:hAnsi="ITC Avant Garde" w:cs="Arial"/>
          <w:sz w:val="22"/>
          <w:szCs w:val="22"/>
          <w:lang w:val="es-MX"/>
        </w:rPr>
        <w:t>OREDA</w:t>
      </w:r>
      <w:r w:rsidRPr="00422CA2">
        <w:rPr>
          <w:rFonts w:ascii="ITC Avant Garde" w:hAnsi="ITC Avant Garde" w:cs="Arial"/>
          <w:sz w:val="22"/>
          <w:szCs w:val="22"/>
          <w:lang w:val="es-MX"/>
        </w:rPr>
        <w:t>.</w:t>
      </w:r>
    </w:p>
    <w:p w14:paraId="1DB1D201" w14:textId="4199827D" w:rsidR="00F51B07" w:rsidRPr="00422CA2" w:rsidRDefault="00302BFC" w:rsidP="00285D7C">
      <w:pPr>
        <w:pStyle w:val="Prrafodelista"/>
        <w:numPr>
          <w:ilvl w:val="0"/>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ES" w:eastAsia="es-MX"/>
        </w:rPr>
        <w:t>El CS contará con 5 días hábiles para realizar la aceptación del servicio</w:t>
      </w:r>
      <w:r w:rsidRPr="00422CA2">
        <w:rPr>
          <w:rFonts w:ascii="ITC Avant Garde" w:hAnsi="ITC Avant Garde" w:cs="Arial"/>
          <w:sz w:val="22"/>
          <w:szCs w:val="22"/>
          <w:lang w:val="es-ES"/>
        </w:rPr>
        <w:t xml:space="preserve">. </w:t>
      </w:r>
      <w:r w:rsidRPr="00422CA2">
        <w:rPr>
          <w:rFonts w:ascii="ITC Avant Garde" w:hAnsi="ITC Avant Garde" w:cs="Arial"/>
          <w:sz w:val="22"/>
          <w:szCs w:val="22"/>
        </w:rPr>
        <w:t>Si no se acepta se entenderá que el CS rechazó el servicio.</w:t>
      </w:r>
      <w:r w:rsidR="00F51B07" w:rsidRPr="00422CA2">
        <w:rPr>
          <w:rFonts w:ascii="ITC Avant Garde" w:hAnsi="ITC Avant Garde" w:cs="Arial"/>
          <w:sz w:val="22"/>
          <w:szCs w:val="22"/>
          <w:lang w:val="es-MX"/>
        </w:rPr>
        <w:t xml:space="preserve"> </w:t>
      </w:r>
    </w:p>
    <w:p w14:paraId="49D239DE" w14:textId="7AEC46F5"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En el caso de Ubicación Distante, el servicio será instalado en un máximo de 45 días hábiles por cada SCyD habilitado, los cuales se contabilizarán a partir del ingreso de la solicitud. </w:t>
      </w:r>
    </w:p>
    <w:p w14:paraId="2102DAC2" w14:textId="77777777"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En el caso en que el CS aportara enlace propio o arrendado, contará con 20 días hábiles a partir del momento en que estuviera constituido el enlace</w:t>
      </w:r>
      <w:r w:rsidRPr="00422CA2">
        <w:rPr>
          <w:rFonts w:ascii="ITC Avant Garde" w:hAnsi="ITC Avant Garde" w:cs="Arial"/>
          <w:sz w:val="22"/>
          <w:szCs w:val="22"/>
        </w:rPr>
        <w:t>.</w:t>
      </w:r>
    </w:p>
    <w:p w14:paraId="058F078B" w14:textId="77777777"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rPr>
        <w:t>Telmex notificará cuando esté disponible el servicio indicando las VLAN’s configuradas a su servicio local, regional o nacional</w:t>
      </w:r>
      <w:r w:rsidRPr="00422CA2">
        <w:rPr>
          <w:rFonts w:ascii="ITC Avant Garde" w:hAnsi="ITC Avant Garde"/>
          <w:sz w:val="22"/>
          <w:szCs w:val="22"/>
        </w:rPr>
        <w:t>.</w:t>
      </w:r>
    </w:p>
    <w:p w14:paraId="5B210269" w14:textId="77777777"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que haya sido habilitado, el CS tendrá 5 días hábiles para realizar la prueba en conjunto del servicio</w:t>
      </w:r>
      <w:r w:rsidRPr="00422CA2">
        <w:rPr>
          <w:rStyle w:val="Refdenotaalpie"/>
          <w:rFonts w:ascii="ITC Avant Garde" w:hAnsi="ITC Avant Garde" w:cs="Arial"/>
          <w:sz w:val="22"/>
          <w:szCs w:val="22"/>
        </w:rPr>
        <w:footnoteReference w:id="60"/>
      </w:r>
      <w:r w:rsidRPr="00422CA2">
        <w:rPr>
          <w:rFonts w:ascii="ITC Avant Garde" w:hAnsi="ITC Avant Garde" w:cs="Arial"/>
          <w:sz w:val="22"/>
          <w:szCs w:val="22"/>
        </w:rPr>
        <w:t xml:space="preserve"> y además se le entregarán los resultados de las pruebas realizadas en el momento de la habilitación del servicio, En caso de que no se realice la prueba, se entenderá que el CS ha aceptado de conformidad el servicio. </w:t>
      </w:r>
    </w:p>
    <w:p w14:paraId="1C6668B6" w14:textId="556B2BE0" w:rsidR="00F51B07" w:rsidRPr="00422CA2" w:rsidRDefault="00F51B07" w:rsidP="002B6509">
      <w:pPr>
        <w:pStyle w:val="Prrafodelista"/>
        <w:numPr>
          <w:ilvl w:val="0"/>
          <w:numId w:val="4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aceptado el servicio, se entregará un Acta de Recepción del Servicio por SCyD y se comenzará a </w:t>
      </w:r>
      <w:r w:rsidR="00F75E4A" w:rsidRPr="00422CA2">
        <w:rPr>
          <w:rFonts w:ascii="ITC Avant Garde" w:hAnsi="ITC Avant Garde" w:cs="Arial"/>
          <w:sz w:val="22"/>
          <w:szCs w:val="22"/>
        </w:rPr>
        <w:t>suministrar el tráfico correspondiente.</w:t>
      </w:r>
    </w:p>
    <w:p w14:paraId="77F1102A" w14:textId="2FA1F1ED" w:rsidR="00F51B07" w:rsidRPr="00422CA2" w:rsidRDefault="00A524E1" w:rsidP="002B6509">
      <w:pPr>
        <w:spacing w:after="200" w:line="276" w:lineRule="auto"/>
        <w:jc w:val="both"/>
        <w:rPr>
          <w:rFonts w:ascii="ITC Avant Garde" w:hAnsi="ITC Avant Garde"/>
          <w:b/>
          <w:sz w:val="22"/>
          <w:szCs w:val="22"/>
          <w:lang w:val="es-MX"/>
        </w:rPr>
      </w:pPr>
      <w:r w:rsidRPr="00422CA2">
        <w:rPr>
          <w:rFonts w:ascii="ITC Avant Garde" w:hAnsi="ITC Avant Garde" w:cs="Arial"/>
          <w:b/>
          <w:sz w:val="22"/>
          <w:szCs w:val="22"/>
          <w:lang w:val="es-MX" w:eastAsia="es-MX"/>
        </w:rPr>
        <w:t>Solicitud</w:t>
      </w:r>
      <w:r w:rsidR="00F51B07" w:rsidRPr="00422CA2">
        <w:rPr>
          <w:rFonts w:ascii="ITC Avant Garde" w:hAnsi="ITC Avant Garde" w:cs="Arial"/>
          <w:b/>
          <w:sz w:val="22"/>
          <w:szCs w:val="22"/>
          <w:lang w:val="es-MX" w:eastAsia="es-MX"/>
        </w:rPr>
        <w:t xml:space="preserve"> de pCAI por SCyD</w:t>
      </w:r>
      <w:r w:rsidR="00F51B07" w:rsidRPr="00422CA2">
        <w:rPr>
          <w:rFonts w:ascii="ITC Avant Garde" w:hAnsi="ITC Avant Garde"/>
          <w:b/>
          <w:sz w:val="22"/>
          <w:szCs w:val="22"/>
          <w:lang w:val="es-MX"/>
        </w:rPr>
        <w:t>.</w:t>
      </w:r>
    </w:p>
    <w:p w14:paraId="76061E9B" w14:textId="0A8DC540" w:rsidR="00F51B07" w:rsidRPr="00422CA2" w:rsidRDefault="00F51B07" w:rsidP="002B6509">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w:t>
      </w:r>
      <w:r w:rsidR="00A524E1" w:rsidRPr="00422CA2">
        <w:rPr>
          <w:rFonts w:ascii="ITC Avant Garde" w:hAnsi="ITC Avant Garde" w:cs="Arial"/>
          <w:sz w:val="22"/>
          <w:szCs w:val="22"/>
          <w:lang w:val="es-ES" w:eastAsia="es-MX"/>
        </w:rPr>
        <w:t>solicitud</w:t>
      </w:r>
      <w:r w:rsidRPr="00422CA2">
        <w:rPr>
          <w:rFonts w:ascii="ITC Avant Garde" w:hAnsi="ITC Avant Garde" w:cs="Arial"/>
          <w:sz w:val="22"/>
          <w:szCs w:val="22"/>
          <w:lang w:val="es-ES" w:eastAsia="es-MX"/>
        </w:rPr>
        <w:t xml:space="preserve"> de un nuevo pCAI en un SCyD en operación; las fases en que se divide este procedimiento son: (i) Entrega y validación de la solicitud para que el CS manifieste su intención de </w:t>
      </w:r>
      <w:r w:rsidR="00A524E1" w:rsidRPr="00422CA2">
        <w:rPr>
          <w:rFonts w:ascii="ITC Avant Garde" w:hAnsi="ITC Avant Garde" w:cs="Arial"/>
          <w:sz w:val="22"/>
          <w:szCs w:val="22"/>
          <w:lang w:val="es-ES" w:eastAsia="es-MX"/>
        </w:rPr>
        <w:t>solicitar</w:t>
      </w:r>
      <w:r w:rsidRPr="00422CA2">
        <w:rPr>
          <w:rFonts w:ascii="ITC Avant Garde" w:hAnsi="ITC Avant Garde" w:cs="Arial"/>
          <w:sz w:val="22"/>
          <w:szCs w:val="22"/>
          <w:lang w:val="es-ES" w:eastAsia="es-MX"/>
        </w:rPr>
        <w:t xml:space="preserve"> el servicio, las características que solicita para el mismo, y la validación por </w:t>
      </w:r>
      <w:r w:rsidRPr="00422CA2">
        <w:rPr>
          <w:rFonts w:ascii="ITC Avant Garde" w:hAnsi="ITC Avant Garde" w:cs="Arial"/>
          <w:sz w:val="22"/>
          <w:szCs w:val="22"/>
          <w:lang w:val="es-ES" w:eastAsia="es-MX"/>
        </w:rPr>
        <w:lastRenderedPageBreak/>
        <w:t xml:space="preserve">parte de Telmex de que la solicitud cuenta con todos los elementos para la </w:t>
      </w:r>
      <w:r w:rsidR="00A524E1" w:rsidRPr="00422CA2">
        <w:rPr>
          <w:rFonts w:ascii="ITC Avant Garde" w:hAnsi="ITC Avant Garde" w:cs="Arial"/>
          <w:sz w:val="22"/>
          <w:szCs w:val="22"/>
          <w:lang w:val="es-ES" w:eastAsia="es-MX"/>
        </w:rPr>
        <w:t>solicitud</w:t>
      </w:r>
      <w:r w:rsidRPr="00422CA2">
        <w:rPr>
          <w:rFonts w:ascii="ITC Avant Garde" w:hAnsi="ITC Avant Garde" w:cs="Arial"/>
          <w:sz w:val="22"/>
          <w:szCs w:val="22"/>
          <w:lang w:val="es-ES" w:eastAsia="es-MX"/>
        </w:rPr>
        <w:t xml:space="preserve"> del servicio; (ii) </w:t>
      </w:r>
      <w:r w:rsidRPr="00422CA2">
        <w:rPr>
          <w:rFonts w:ascii="ITC Avant Garde" w:hAnsi="ITC Avant Garde" w:cs="Arial"/>
          <w:sz w:val="22"/>
          <w:szCs w:val="22"/>
        </w:rPr>
        <w:t xml:space="preserve">Análisis de Factibilidad técnica a fin de que Telmex pueda verificar que cuenta con los elementos para brindar el servicio solicitado; y (iii) Habilitación y aprovisionamiento del servicio solicitado, que detonará los procesos de pruebas de entrega </w:t>
      </w:r>
      <w:r w:rsidR="00A524E1" w:rsidRPr="00422CA2">
        <w:rPr>
          <w:rFonts w:ascii="ITC Avant Garde" w:hAnsi="ITC Avant Garde" w:cs="Arial"/>
          <w:sz w:val="22"/>
          <w:szCs w:val="22"/>
        </w:rPr>
        <w:t>del servicio.</w:t>
      </w:r>
    </w:p>
    <w:p w14:paraId="63D10A2E" w14:textId="77777777" w:rsidR="00F51B07" w:rsidRPr="00422CA2" w:rsidRDefault="00F51B07" w:rsidP="002B6509">
      <w:pPr>
        <w:pStyle w:val="Prrafodelista"/>
        <w:numPr>
          <w:ilvl w:val="0"/>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ES"/>
        </w:rPr>
        <w:t xml:space="preserve">El CS deberá </w:t>
      </w:r>
      <w:r w:rsidRPr="00422CA2">
        <w:rPr>
          <w:rFonts w:ascii="ITC Avant Garde" w:hAnsi="ITC Avant Garde" w:cs="Arial"/>
          <w:sz w:val="22"/>
          <w:szCs w:val="22"/>
          <w:lang w:val="es-MX"/>
        </w:rPr>
        <w:t xml:space="preserve">presentar el formato correspondiente </w:t>
      </w:r>
      <w:r w:rsidRPr="00422CA2">
        <w:rPr>
          <w:rFonts w:ascii="ITC Avant Garde" w:hAnsi="ITC Avant Garde" w:cs="Arial"/>
          <w:sz w:val="22"/>
          <w:szCs w:val="22"/>
        </w:rPr>
        <w:t xml:space="preserve">a través del </w:t>
      </w:r>
      <w:r w:rsidRPr="00422CA2">
        <w:rPr>
          <w:rFonts w:ascii="ITC Avant Garde" w:hAnsi="ITC Avant Garde"/>
          <w:sz w:val="22"/>
          <w:szCs w:val="22"/>
        </w:rPr>
        <w:t>Sistema de Captura</w:t>
      </w:r>
      <w:r w:rsidRPr="00422CA2">
        <w:rPr>
          <w:rFonts w:ascii="ITC Avant Garde" w:hAnsi="ITC Avant Garde" w:cs="Arial"/>
          <w:sz w:val="22"/>
          <w:szCs w:val="22"/>
        </w:rPr>
        <w:t xml:space="preserve">, </w:t>
      </w:r>
      <w:r w:rsidRPr="00422CA2">
        <w:rPr>
          <w:rFonts w:ascii="ITC Avant Garde" w:hAnsi="ITC Avant Garde" w:cs="Arial"/>
          <w:sz w:val="22"/>
          <w:szCs w:val="22"/>
          <w:lang w:val="es-MX" w:eastAsia="es-MX"/>
        </w:rPr>
        <w:t>o del SEG una vez que entre en operación,</w:t>
      </w:r>
      <w:r w:rsidRPr="00422CA2">
        <w:rPr>
          <w:rFonts w:ascii="ITC Avant Garde" w:hAnsi="ITC Avant Garde" w:cs="Arial"/>
          <w:sz w:val="22"/>
          <w:szCs w:val="22"/>
          <w:lang w:val="es-MX"/>
        </w:rPr>
        <w:t xml:space="preserve"> especificando como referencia el número de NIS</w:t>
      </w:r>
      <w:r w:rsidRPr="00422CA2">
        <w:rPr>
          <w:rFonts w:ascii="ITC Avant Garde" w:hAnsi="ITC Avant Garde"/>
          <w:sz w:val="22"/>
          <w:szCs w:val="22"/>
        </w:rPr>
        <w:t>-Referencia</w:t>
      </w:r>
      <w:r w:rsidRPr="00422CA2">
        <w:rPr>
          <w:rFonts w:ascii="ITC Avant Garde" w:hAnsi="ITC Avant Garde" w:cs="Arial"/>
          <w:sz w:val="22"/>
          <w:szCs w:val="22"/>
          <w:lang w:val="es-MX"/>
        </w:rPr>
        <w:t xml:space="preserve"> de SCyD en el cual desea habilitar un nuevo pCAI.</w:t>
      </w:r>
    </w:p>
    <w:p w14:paraId="658079E0" w14:textId="77777777" w:rsidR="00F51B07" w:rsidRPr="00422CA2" w:rsidRDefault="00F51B07" w:rsidP="002B6509">
      <w:pPr>
        <w:pStyle w:val="Prrafodelista"/>
        <w:numPr>
          <w:ilvl w:val="0"/>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Telmex recibirá el formato y validará la solicitud y se asignará un folio en un plazo máximo de 1 día hábil,</w:t>
      </w:r>
      <w:r w:rsidRPr="00422CA2">
        <w:rPr>
          <w:rFonts w:ascii="ITC Avant Garde" w:hAnsi="ITC Avant Garde"/>
          <w:sz w:val="22"/>
          <w:szCs w:val="22"/>
          <w:lang w:val="es-ES"/>
        </w:rPr>
        <w:t xml:space="preserve"> si la solicitud no cumple con la información correspondiente, será devuelta al CS para que sea corregida y reenviada a Telmex a fin de que vuelva a ser validada, junto con el motivo por el cual no fue validada la solicitud.</w:t>
      </w:r>
    </w:p>
    <w:p w14:paraId="321343A0" w14:textId="32D29FA7" w:rsidR="00F51B07" w:rsidRPr="00422CA2" w:rsidRDefault="00F51B07" w:rsidP="00E22C66">
      <w:pPr>
        <w:pStyle w:val="Prrafodelista"/>
        <w:numPr>
          <w:ilvl w:val="0"/>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Una vez que se ha validado la solicitud, se verificará la factibilidad técnica en un máximo de 3 días hábiles.</w:t>
      </w:r>
    </w:p>
    <w:p w14:paraId="5AFB127F" w14:textId="20A7A71F" w:rsidR="002B25B0" w:rsidRPr="00422CA2" w:rsidRDefault="002B25B0" w:rsidP="002B6509">
      <w:pPr>
        <w:pStyle w:val="Prrafodelista"/>
        <w:numPr>
          <w:ilvl w:val="1"/>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Si existen facilidades.</w:t>
      </w:r>
    </w:p>
    <w:p w14:paraId="6D016827" w14:textId="53DAE57D" w:rsidR="002B25B0" w:rsidRPr="00422CA2" w:rsidRDefault="002B25B0" w:rsidP="002B6509">
      <w:pPr>
        <w:pStyle w:val="Prrafodelista"/>
        <w:numPr>
          <w:ilvl w:val="2"/>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El CS contará con 5 días para aceptar el servicio, si acepta, se realizará la habilitación del pCAI en un plazo máximo de 20 días hábiles. Si el CS no acepta la cotización se entenderá que rechazó el servicio.</w:t>
      </w:r>
    </w:p>
    <w:p w14:paraId="6A058E16" w14:textId="7BE3CA50" w:rsidR="002B25B0" w:rsidRPr="00422CA2" w:rsidRDefault="002B25B0" w:rsidP="002B6509">
      <w:pPr>
        <w:pStyle w:val="Prrafodelista"/>
        <w:numPr>
          <w:ilvl w:val="1"/>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no existen facilidades, a solicitud del CS se iniciará el procedimiento de Trabajos Especiales contenido en la sección 11 de esta </w:t>
      </w:r>
      <w:r w:rsidR="000F3B5A">
        <w:rPr>
          <w:rFonts w:ascii="ITC Avant Garde" w:hAnsi="ITC Avant Garde" w:cs="Arial"/>
          <w:sz w:val="22"/>
          <w:szCs w:val="22"/>
          <w:lang w:val="es-MX"/>
        </w:rPr>
        <w:t>OREDA</w:t>
      </w:r>
      <w:r w:rsidRPr="00422CA2">
        <w:rPr>
          <w:rFonts w:ascii="ITC Avant Garde" w:hAnsi="ITC Avant Garde" w:cs="Arial"/>
          <w:sz w:val="22"/>
          <w:szCs w:val="22"/>
          <w:lang w:val="es-MX"/>
        </w:rPr>
        <w:t>.</w:t>
      </w:r>
    </w:p>
    <w:p w14:paraId="28162AE4" w14:textId="107EB026" w:rsidR="00F51B07" w:rsidRPr="00422CA2" w:rsidRDefault="00F51B07" w:rsidP="002B6509">
      <w:pPr>
        <w:pStyle w:val="Prrafodelista"/>
        <w:numPr>
          <w:ilvl w:val="0"/>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El CS contará con 5 días para aceptar </w:t>
      </w:r>
      <w:r w:rsidRPr="00422CA2">
        <w:rPr>
          <w:rFonts w:ascii="ITC Avant Garde" w:hAnsi="ITC Avant Garde" w:cs="Arial"/>
          <w:sz w:val="22"/>
          <w:szCs w:val="22"/>
          <w:lang w:val="es-ES" w:eastAsia="es-MX"/>
        </w:rPr>
        <w:t>este plazo</w:t>
      </w:r>
      <w:r w:rsidR="00A524E1" w:rsidRPr="00422CA2">
        <w:rPr>
          <w:rFonts w:ascii="ITC Avant Garde" w:hAnsi="ITC Avant Garde" w:cs="Arial"/>
          <w:sz w:val="22"/>
          <w:szCs w:val="22"/>
          <w:lang w:val="es-ES" w:eastAsia="es-MX"/>
        </w:rPr>
        <w:t>,</w:t>
      </w:r>
      <w:r w:rsidRPr="00422CA2">
        <w:rPr>
          <w:rFonts w:ascii="ITC Avant Garde" w:hAnsi="ITC Avant Garde" w:cs="Arial"/>
          <w:sz w:val="22"/>
          <w:szCs w:val="22"/>
          <w:lang w:val="es-ES" w:eastAsia="es-MX"/>
        </w:rPr>
        <w:t xml:space="preserve"> </w:t>
      </w:r>
      <w:r w:rsidRPr="00422CA2">
        <w:rPr>
          <w:rFonts w:ascii="ITC Avant Garde" w:hAnsi="ITC Avant Garde" w:cs="Arial"/>
          <w:sz w:val="22"/>
          <w:szCs w:val="22"/>
          <w:lang w:val="es-MX"/>
        </w:rPr>
        <w:t>si acepta, se realizará la habilitación del pCAI en un plazo máximo de 20 días hábiles. Si el CS no acepta se entenderá que rechazó el servicio.</w:t>
      </w:r>
    </w:p>
    <w:p w14:paraId="1FF739EB" w14:textId="78F86822" w:rsidR="00F51B07" w:rsidRPr="00422CA2" w:rsidRDefault="00F51B07" w:rsidP="002B6509">
      <w:pPr>
        <w:pStyle w:val="Prrafodelista"/>
        <w:numPr>
          <w:ilvl w:val="0"/>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En el momento de la entrega del servicio Telmex asignará un nuevo NIS</w:t>
      </w:r>
      <w:r w:rsidRPr="00422CA2">
        <w:rPr>
          <w:rFonts w:ascii="ITC Avant Garde" w:hAnsi="ITC Avant Garde"/>
          <w:sz w:val="22"/>
          <w:szCs w:val="22"/>
        </w:rPr>
        <w:t>-Referencia</w:t>
      </w:r>
      <w:r w:rsidRPr="00422CA2">
        <w:rPr>
          <w:rFonts w:ascii="ITC Avant Garde" w:hAnsi="ITC Avant Garde" w:cs="Arial"/>
          <w:sz w:val="22"/>
          <w:szCs w:val="22"/>
          <w:lang w:val="es-MX"/>
        </w:rPr>
        <w:t xml:space="preserve"> para el pCAI y se comenzará a </w:t>
      </w:r>
      <w:r w:rsidR="00A524E1" w:rsidRPr="00422CA2">
        <w:rPr>
          <w:rFonts w:ascii="ITC Avant Garde" w:hAnsi="ITC Avant Garde" w:cs="Arial"/>
          <w:sz w:val="22"/>
          <w:szCs w:val="22"/>
          <w:lang w:val="es-MX"/>
        </w:rPr>
        <w:t>prestar el</w:t>
      </w:r>
      <w:r w:rsidRPr="00422CA2">
        <w:rPr>
          <w:rFonts w:ascii="ITC Avant Garde" w:hAnsi="ITC Avant Garde" w:cs="Arial"/>
          <w:sz w:val="22"/>
          <w:szCs w:val="22"/>
          <w:lang w:val="es-MX"/>
        </w:rPr>
        <w:t xml:space="preserve"> servicio.</w:t>
      </w:r>
    </w:p>
    <w:p w14:paraId="48C02858" w14:textId="05CF2E8B" w:rsidR="00F51B07" w:rsidRPr="00422CA2" w:rsidRDefault="00F51B07" w:rsidP="002B6509">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Procedimiento de Ampliación/Eliminación de NCAI por SCyD:</w:t>
      </w:r>
    </w:p>
    <w:p w14:paraId="0ED89E53" w14:textId="3C1CECAF" w:rsidR="00F51B07" w:rsidRPr="00422CA2" w:rsidRDefault="00F51B07" w:rsidP="002B6509">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 xml:space="preserve">El objetivo y alcance de este procedimiento es definir los pasos y actividades a desarrollar por parte de Telmex y del CS, a fin de realizar la ampliación o eliminación de un NCAI por SCyD en operación; las fases en que se divide este procedimiento son: (i) Entrega y validación de la solicitud del servicio, las características que solicita </w:t>
      </w:r>
      <w:r w:rsidRPr="00422CA2">
        <w:rPr>
          <w:rFonts w:ascii="ITC Avant Garde" w:hAnsi="ITC Avant Garde" w:cs="Arial"/>
          <w:sz w:val="22"/>
          <w:szCs w:val="22"/>
          <w:lang w:val="es-ES" w:eastAsia="es-MX"/>
        </w:rPr>
        <w:lastRenderedPageBreak/>
        <w:t xml:space="preserve">para el mismo, y la validación por parte de Telmex de que la solicitud cuenta con todos los elementos; (ii) </w:t>
      </w:r>
      <w:r w:rsidRPr="00422CA2">
        <w:rPr>
          <w:rFonts w:ascii="ITC Avant Garde" w:hAnsi="ITC Avant Garde" w:cs="Arial"/>
          <w:sz w:val="22"/>
          <w:szCs w:val="22"/>
        </w:rPr>
        <w:t xml:space="preserve">Análisis de Factibilidad técnica a fin de que Telmex pueda verificar que cuenta con los elementos para brindar el servicio solicitado; y (iii) Habilitación del servicio solicitado, que detonará los procesos de pruebas de entrega </w:t>
      </w:r>
      <w:r w:rsidR="008A1A31" w:rsidRPr="00422CA2">
        <w:rPr>
          <w:rFonts w:ascii="ITC Avant Garde" w:hAnsi="ITC Avant Garde" w:cs="Arial"/>
          <w:sz w:val="22"/>
          <w:szCs w:val="22"/>
        </w:rPr>
        <w:t>e inicio del servicio.</w:t>
      </w:r>
    </w:p>
    <w:p w14:paraId="25E4EF25" w14:textId="77777777"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El CS deberá presentar solicitud en el formato correspondiente a través del </w:t>
      </w:r>
      <w:r w:rsidRPr="00422CA2">
        <w:rPr>
          <w:rFonts w:ascii="ITC Avant Garde" w:hAnsi="ITC Avant Garde"/>
          <w:sz w:val="22"/>
          <w:szCs w:val="22"/>
        </w:rPr>
        <w:t>Sistema de Captura,</w:t>
      </w:r>
      <w:r w:rsidRPr="00422CA2">
        <w:rPr>
          <w:rFonts w:ascii="ITC Avant Garde" w:hAnsi="ITC Avant Garde" w:cs="Arial"/>
          <w:sz w:val="22"/>
          <w:szCs w:val="22"/>
          <w:lang w:val="es-MX" w:eastAsia="es-MX"/>
        </w:rPr>
        <w:t xml:space="preserve"> o del SEG una vez que entre en operación.</w:t>
      </w:r>
    </w:p>
    <w:p w14:paraId="5AB71E81" w14:textId="77777777"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sz w:val="22"/>
          <w:szCs w:val="22"/>
          <w:lang w:val="es-ES"/>
        </w:rPr>
        <w:t xml:space="preserve">La solicitud del CS será validada en un plazo máximo de 1 día hábil, se dará seguimiento a la solicitud con folio hasta que se asigne un NIS, si la solicitud no cumple con la información correspondiente, será devuelta al CS y </w:t>
      </w:r>
      <w:r w:rsidRPr="00422CA2">
        <w:rPr>
          <w:rFonts w:ascii="ITC Avant Garde" w:hAnsi="ITC Avant Garde" w:cs="Arial"/>
          <w:sz w:val="22"/>
          <w:szCs w:val="22"/>
        </w:rPr>
        <w:t>para que sea corregida y reenviada a Telmex a fin de que vuelva a ser validada</w:t>
      </w:r>
      <w:r w:rsidRPr="00422CA2">
        <w:rPr>
          <w:rFonts w:ascii="ITC Avant Garde" w:hAnsi="ITC Avant Garde"/>
          <w:sz w:val="22"/>
          <w:szCs w:val="22"/>
          <w:lang w:val="es-ES"/>
        </w:rPr>
        <w:t>.</w:t>
      </w:r>
    </w:p>
    <w:p w14:paraId="3E1A2051" w14:textId="77777777"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Después de haber sido validada la solicitud, se verificará la factibilidad técnica en un plazo máximo de 3 días hábiles, conforme a lo siguiente: </w:t>
      </w:r>
    </w:p>
    <w:p w14:paraId="0EC777C9" w14:textId="679BB576" w:rsidR="00770D5F" w:rsidRPr="00422CA2" w:rsidRDefault="00F51B07" w:rsidP="00E22C66">
      <w:pPr>
        <w:pStyle w:val="Prrafodelista"/>
        <w:numPr>
          <w:ilvl w:val="1"/>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Si existen facilidades, se entregará un NIS-Referencia para cada NCAI que se desea agregar.</w:t>
      </w:r>
    </w:p>
    <w:p w14:paraId="097D9F99" w14:textId="4E39421B" w:rsidR="002B25B0" w:rsidRPr="00422CA2" w:rsidRDefault="002B25B0" w:rsidP="002B6509">
      <w:pPr>
        <w:pStyle w:val="Prrafodelista"/>
        <w:numPr>
          <w:ilvl w:val="1"/>
          <w:numId w:val="34"/>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no existen facilidades, </w:t>
      </w:r>
      <w:r w:rsidRPr="00422CA2">
        <w:rPr>
          <w:rFonts w:ascii="ITC Avant Garde" w:hAnsi="ITC Avant Garde" w:cs="Arial"/>
          <w:sz w:val="22"/>
          <w:szCs w:val="22"/>
        </w:rPr>
        <w:t>se presentará al CS, a través del SC o del SEG, la justificación de los motivos descritos en el apartado 1.4 relativo a los recursos de red asociados a los servicios, así como las evidencias correspondientes. A</w:t>
      </w:r>
      <w:r w:rsidRPr="00422CA2">
        <w:rPr>
          <w:rFonts w:ascii="ITC Avant Garde" w:hAnsi="ITC Avant Garde" w:cs="Arial"/>
          <w:sz w:val="22"/>
          <w:szCs w:val="22"/>
          <w:lang w:val="es-MX"/>
        </w:rPr>
        <w:t xml:space="preserve"> solicitud del CS se iniciará el procedimiento de Trabajo Especial contenido en la sección 11 de esta </w:t>
      </w:r>
      <w:r w:rsidR="000F3B5A">
        <w:rPr>
          <w:rFonts w:ascii="ITC Avant Garde" w:hAnsi="ITC Avant Garde" w:cs="Arial"/>
          <w:sz w:val="22"/>
          <w:szCs w:val="22"/>
          <w:lang w:val="es-MX"/>
        </w:rPr>
        <w:t>OREDA</w:t>
      </w:r>
      <w:r w:rsidRPr="00422CA2">
        <w:rPr>
          <w:rFonts w:ascii="ITC Avant Garde" w:hAnsi="ITC Avant Garde" w:cs="Arial"/>
          <w:sz w:val="22"/>
          <w:szCs w:val="22"/>
          <w:lang w:val="es-MX"/>
        </w:rPr>
        <w:t>.</w:t>
      </w:r>
    </w:p>
    <w:p w14:paraId="6C6CD28B" w14:textId="4624130B"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lang w:val="es-ES" w:eastAsia="es-MX"/>
        </w:rPr>
        <w:t>El CS contará con 5 días hábiles para realizar la aceptación de este plazo</w:t>
      </w:r>
      <w:r w:rsidR="00922E17" w:rsidRPr="00422CA2">
        <w:rPr>
          <w:rFonts w:ascii="ITC Avant Garde" w:hAnsi="ITC Avant Garde" w:cs="Arial"/>
          <w:sz w:val="22"/>
          <w:szCs w:val="22"/>
          <w:lang w:val="es-ES" w:eastAsia="es-MX"/>
        </w:rPr>
        <w:t>.</w:t>
      </w:r>
      <w:r w:rsidRPr="00422CA2">
        <w:rPr>
          <w:rFonts w:ascii="ITC Avant Garde" w:hAnsi="ITC Avant Garde" w:cs="Arial"/>
          <w:sz w:val="22"/>
          <w:szCs w:val="22"/>
          <w:lang w:val="es-ES" w:eastAsia="es-MX"/>
        </w:rPr>
        <w:t xml:space="preserve"> </w:t>
      </w:r>
      <w:r w:rsidRPr="00422CA2">
        <w:rPr>
          <w:rFonts w:ascii="ITC Avant Garde" w:hAnsi="ITC Avant Garde" w:cs="Arial"/>
          <w:sz w:val="22"/>
          <w:szCs w:val="22"/>
        </w:rPr>
        <w:t xml:space="preserve">Si no se acepta </w:t>
      </w:r>
      <w:r w:rsidR="00770D5F" w:rsidRPr="00422CA2">
        <w:rPr>
          <w:rFonts w:ascii="ITC Avant Garde" w:hAnsi="ITC Avant Garde" w:cs="Arial"/>
          <w:sz w:val="22"/>
          <w:szCs w:val="22"/>
        </w:rPr>
        <w:t>el plazo</w:t>
      </w:r>
      <w:r w:rsidRPr="00422CA2">
        <w:rPr>
          <w:rFonts w:ascii="ITC Avant Garde" w:hAnsi="ITC Avant Garde" w:cs="Arial"/>
          <w:sz w:val="22"/>
          <w:szCs w:val="22"/>
        </w:rPr>
        <w:t xml:space="preserve"> se entenderá que el CS rechazó el servicio.</w:t>
      </w:r>
    </w:p>
    <w:p w14:paraId="25D607D9" w14:textId="70FB6915"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lang w:val="es-ES" w:eastAsia="es-MX"/>
        </w:rPr>
      </w:pPr>
      <w:r w:rsidRPr="00422CA2">
        <w:rPr>
          <w:rFonts w:ascii="ITC Avant Garde" w:hAnsi="ITC Avant Garde" w:cs="Arial"/>
          <w:sz w:val="22"/>
          <w:szCs w:val="22"/>
        </w:rPr>
        <w:t>Una vez recibida la aceptación</w:t>
      </w:r>
      <w:r w:rsidRPr="00422CA2">
        <w:rPr>
          <w:rFonts w:ascii="ITC Avant Garde" w:hAnsi="ITC Avant Garde" w:cs="Arial"/>
          <w:sz w:val="22"/>
          <w:szCs w:val="22"/>
          <w:lang w:val="es-MX"/>
        </w:rPr>
        <w:t xml:space="preserve"> se habilitará el servicio en un plazo máximo de 20 días hábiles para Coubicación Interna y 30 días hábiles para Coubicación Externa por cada NCAI que se habilite en el SCyD, los cuales contabilizarán a partir de la entrega de la solicitud.</w:t>
      </w:r>
    </w:p>
    <w:p w14:paraId="1EF7D24C" w14:textId="77777777"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En el caso de Ubicación Distante, el servicio será instalado en un máximo de 45 días hábiles por cada SCyD habilitado, los cuales contabilizarán a partir de la entrega de la solicitud. </w:t>
      </w:r>
    </w:p>
    <w:p w14:paraId="244B6582" w14:textId="77777777"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rPr>
        <w:t>Telmex notificará al CS cuando esté disponible el servicio, indicando las VLAN’s configuradas a su servicio local, regional o nacional</w:t>
      </w:r>
      <w:r w:rsidRPr="00422CA2">
        <w:rPr>
          <w:rFonts w:ascii="ITC Avant Garde" w:hAnsi="ITC Avant Garde"/>
          <w:sz w:val="22"/>
          <w:szCs w:val="22"/>
        </w:rPr>
        <w:t>.</w:t>
      </w:r>
    </w:p>
    <w:p w14:paraId="7B81F308" w14:textId="25C9167A"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 xml:space="preserve">Una vez que haya sido habilitado, el CS tendrá 5 días hábiles para realizar la prueba en conjunto del servicio. En caso de que no se realice la prueba, se entenderá que el CS ha aceptado de conformidad el servicio. </w:t>
      </w:r>
    </w:p>
    <w:p w14:paraId="43556CB2" w14:textId="7A0EB19D" w:rsidR="00F51B07" w:rsidRPr="00422CA2" w:rsidRDefault="00F51B07" w:rsidP="002B6509">
      <w:pPr>
        <w:pStyle w:val="Prrafodelista"/>
        <w:numPr>
          <w:ilvl w:val="0"/>
          <w:numId w:val="55"/>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aceptado el servicio, se entregará el Acta de Recepción y se comenzará a </w:t>
      </w:r>
      <w:r w:rsidR="00770D5F" w:rsidRPr="00422CA2">
        <w:rPr>
          <w:rFonts w:ascii="ITC Avant Garde" w:hAnsi="ITC Avant Garde" w:cs="Arial"/>
          <w:sz w:val="22"/>
          <w:szCs w:val="22"/>
        </w:rPr>
        <w:t>prestar el servicio.</w:t>
      </w:r>
    </w:p>
    <w:p w14:paraId="3F37CCFE" w14:textId="77777777"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Nota:</w:t>
      </w:r>
    </w:p>
    <w:p w14:paraId="5AC00E6E" w14:textId="20C0D3F1" w:rsidR="00F51B07" w:rsidRPr="00422CA2" w:rsidRDefault="00F51B07"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El CS deberá verificar que la habilitación del NCAI sea posible de acuerdo a la cantidad de pCAI que tenga </w:t>
      </w:r>
      <w:r w:rsidR="00770D5F" w:rsidRPr="00422CA2">
        <w:rPr>
          <w:rFonts w:ascii="ITC Avant Garde" w:hAnsi="ITC Avant Garde"/>
          <w:sz w:val="22"/>
          <w:szCs w:val="22"/>
          <w:lang w:val="es-MX"/>
        </w:rPr>
        <w:t>habilitados</w:t>
      </w:r>
      <w:r w:rsidRPr="00422CA2">
        <w:rPr>
          <w:rFonts w:ascii="ITC Avant Garde" w:hAnsi="ITC Avant Garde"/>
          <w:sz w:val="22"/>
          <w:szCs w:val="22"/>
          <w:lang w:val="es-MX"/>
        </w:rPr>
        <w:t xml:space="preserve"> en el SCyD.</w:t>
      </w:r>
    </w:p>
    <w:p w14:paraId="74B1C8AC" w14:textId="4B1D31DF" w:rsidR="00F51B07" w:rsidRPr="00422CA2" w:rsidRDefault="00F51B07" w:rsidP="002B6509">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 xml:space="preserve">Procedimiento de Baja del </w:t>
      </w:r>
      <w:r w:rsidR="00157C07" w:rsidRPr="00422CA2">
        <w:rPr>
          <w:rFonts w:ascii="ITC Avant Garde" w:hAnsi="ITC Avant Garde"/>
          <w:b/>
          <w:sz w:val="22"/>
          <w:szCs w:val="22"/>
          <w:lang w:val="es-MX"/>
        </w:rPr>
        <w:t>SCyD</w:t>
      </w:r>
    </w:p>
    <w:p w14:paraId="636C5955" w14:textId="46DD947E" w:rsidR="00F51B07" w:rsidRPr="00422CA2" w:rsidRDefault="00F51B07" w:rsidP="002B6509">
      <w:pPr>
        <w:spacing w:after="200" w:line="276" w:lineRule="auto"/>
        <w:jc w:val="both"/>
        <w:rPr>
          <w:rFonts w:ascii="ITC Avant Garde" w:hAnsi="ITC Avant Garde" w:cs="Arial"/>
          <w:b/>
          <w:sz w:val="22"/>
          <w:szCs w:val="22"/>
          <w:lang w:val="es-ES" w:eastAsia="es-MX"/>
        </w:rPr>
      </w:pPr>
      <w:r w:rsidRPr="00422CA2">
        <w:rPr>
          <w:rFonts w:ascii="ITC Avant Garde" w:hAnsi="ITC Avant Garde" w:cs="Arial"/>
          <w:sz w:val="22"/>
          <w:szCs w:val="22"/>
          <w:lang w:val="es-ES" w:eastAsia="es-MX"/>
        </w:rPr>
        <w:t>El objetivo y alcance de este procedimiento es definir los pasos y actividades a desarrollar por parte de Telmex y del CS, a fin de realizar la baja de los Servicios de Concentración y Distribución</w:t>
      </w:r>
      <w:r w:rsidR="00F75E4A" w:rsidRPr="00422CA2">
        <w:rPr>
          <w:rFonts w:ascii="ITC Avant Garde" w:hAnsi="ITC Avant Garde" w:cs="Arial"/>
          <w:sz w:val="22"/>
          <w:szCs w:val="22"/>
          <w:lang w:val="es-ES" w:eastAsia="es-MX"/>
        </w:rPr>
        <w:t xml:space="preserve"> prestados a través de uno o varios pCAI en un NCAI</w:t>
      </w:r>
      <w:r w:rsidRPr="00422CA2">
        <w:rPr>
          <w:rFonts w:ascii="ITC Avant Garde" w:hAnsi="ITC Avant Garde" w:cs="Arial"/>
          <w:sz w:val="22"/>
          <w:szCs w:val="22"/>
          <w:lang w:val="es-ES" w:eastAsia="es-MX"/>
        </w:rPr>
        <w:t xml:space="preserve">; las fases en que se divide este procedimiento son: (i) Entrega y validación de la solicitud para que el CS manifieste su intención de dar de baja los servicios, y la validación por parte de Telmex de que la solicitud cuenta con todos los elementos; </w:t>
      </w:r>
      <w:r w:rsidRPr="00422CA2">
        <w:rPr>
          <w:rFonts w:ascii="ITC Avant Garde" w:hAnsi="ITC Avant Garde" w:cs="Arial"/>
          <w:sz w:val="22"/>
          <w:szCs w:val="22"/>
        </w:rPr>
        <w:t>y (ii) Baja de</w:t>
      </w:r>
      <w:r w:rsidR="00F75E4A" w:rsidRPr="00422CA2">
        <w:rPr>
          <w:rFonts w:ascii="ITC Avant Garde" w:hAnsi="ITC Avant Garde" w:cs="Arial"/>
          <w:sz w:val="22"/>
          <w:szCs w:val="22"/>
        </w:rPr>
        <w:t xml:space="preserve"> los pCAI.</w:t>
      </w:r>
    </w:p>
    <w:p w14:paraId="34A141F7" w14:textId="77777777" w:rsidR="00F51B07" w:rsidRPr="00422CA2" w:rsidRDefault="00F51B07" w:rsidP="002B6509">
      <w:pPr>
        <w:pStyle w:val="Prrafodelista"/>
        <w:numPr>
          <w:ilvl w:val="0"/>
          <w:numId w:val="5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Para dar de baja un servicio el CS deberá ingresar la solicitud en el formato correspondiente a través del Sistema de Captura, o del SEG una vez que entre en operación, indicando el NIS</w:t>
      </w:r>
      <w:r w:rsidRPr="00422CA2">
        <w:rPr>
          <w:rFonts w:ascii="ITC Avant Garde" w:hAnsi="ITC Avant Garde"/>
          <w:sz w:val="22"/>
          <w:szCs w:val="22"/>
        </w:rPr>
        <w:t>-Referencia</w:t>
      </w:r>
      <w:r w:rsidRPr="00422CA2">
        <w:rPr>
          <w:rFonts w:ascii="ITC Avant Garde" w:hAnsi="ITC Avant Garde" w:cs="Arial"/>
          <w:sz w:val="22"/>
          <w:szCs w:val="22"/>
          <w:lang w:val="es-MX" w:eastAsia="es-MX"/>
        </w:rPr>
        <w:t xml:space="preserve"> del servicio en operación.</w:t>
      </w:r>
    </w:p>
    <w:p w14:paraId="296C6F08" w14:textId="77777777" w:rsidR="00F51B07" w:rsidRPr="00422CA2" w:rsidRDefault="00F51B07" w:rsidP="002B6509">
      <w:pPr>
        <w:pStyle w:val="Prrafodelista"/>
        <w:numPr>
          <w:ilvl w:val="0"/>
          <w:numId w:val="5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Se validará que la solicitud cumpla con la información de los formatos y en un plazo máximo de 1 día hábil se contestará conforme a lo siguiente:</w:t>
      </w:r>
    </w:p>
    <w:p w14:paraId="3FEC58A1" w14:textId="77777777" w:rsidR="00F51B07" w:rsidRPr="00422CA2" w:rsidRDefault="00F51B07" w:rsidP="002B6509">
      <w:pPr>
        <w:pStyle w:val="Prrafodelista"/>
        <w:numPr>
          <w:ilvl w:val="1"/>
          <w:numId w:val="52"/>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solicitud cumple con lo establecido se dará seguimiento con un Número de Identificación de Solicitud. </w:t>
      </w:r>
    </w:p>
    <w:p w14:paraId="6910E058" w14:textId="77777777" w:rsidR="00F51B07" w:rsidRPr="00422CA2" w:rsidRDefault="00F51B07" w:rsidP="002B6509">
      <w:pPr>
        <w:pStyle w:val="Prrafodelista"/>
        <w:numPr>
          <w:ilvl w:val="1"/>
          <w:numId w:val="52"/>
        </w:numPr>
        <w:autoSpaceDE w:val="0"/>
        <w:autoSpaceDN w:val="0"/>
        <w:adjustRightInd w:val="0"/>
        <w:spacing w:after="200" w:line="276" w:lineRule="auto"/>
        <w:jc w:val="both"/>
        <w:rPr>
          <w:rFonts w:ascii="ITC Avant Garde" w:hAnsi="ITC Avant Garde" w:cs="Arial"/>
          <w:sz w:val="22"/>
          <w:szCs w:val="22"/>
          <w:lang w:val="es-MX"/>
        </w:rPr>
      </w:pPr>
      <w:r w:rsidRPr="00422CA2">
        <w:rPr>
          <w:rFonts w:ascii="ITC Avant Garde" w:hAnsi="ITC Avant Garde" w:cs="Arial"/>
          <w:sz w:val="22"/>
          <w:szCs w:val="22"/>
          <w:lang w:val="es-MX"/>
        </w:rPr>
        <w:t xml:space="preserve">Si la información no cumple con lo establecido será devuelta al CS </w:t>
      </w:r>
      <w:r w:rsidRPr="00422CA2">
        <w:rPr>
          <w:rFonts w:ascii="ITC Avant Garde" w:hAnsi="ITC Avant Garde" w:cs="Arial"/>
          <w:sz w:val="22"/>
          <w:szCs w:val="22"/>
        </w:rPr>
        <w:t>para que sea corregida y reenviada a Telmex a fin de que vuelva a ser validada</w:t>
      </w:r>
      <w:r w:rsidRPr="00422CA2">
        <w:rPr>
          <w:rFonts w:ascii="ITC Avant Garde" w:hAnsi="ITC Avant Garde" w:cs="Arial"/>
          <w:sz w:val="22"/>
          <w:szCs w:val="22"/>
          <w:lang w:val="es-MX"/>
        </w:rPr>
        <w:t>.</w:t>
      </w:r>
    </w:p>
    <w:p w14:paraId="477B713A" w14:textId="503A8C43" w:rsidR="00F51B07" w:rsidRPr="00422CA2" w:rsidRDefault="00F51B07" w:rsidP="002B6509">
      <w:pPr>
        <w:pStyle w:val="Prrafodelista"/>
        <w:numPr>
          <w:ilvl w:val="0"/>
          <w:numId w:val="52"/>
        </w:numPr>
        <w:spacing w:after="200" w:line="276" w:lineRule="auto"/>
        <w:jc w:val="both"/>
        <w:rPr>
          <w:rFonts w:ascii="ITC Avant Garde" w:hAnsi="ITC Avant Garde" w:cs="Arial"/>
          <w:sz w:val="22"/>
          <w:szCs w:val="22"/>
          <w:lang w:val="es-MX" w:eastAsia="es-MX"/>
        </w:rPr>
      </w:pPr>
      <w:r w:rsidRPr="00422CA2">
        <w:rPr>
          <w:rFonts w:ascii="ITC Avant Garde" w:hAnsi="ITC Avant Garde" w:cs="Arial"/>
          <w:sz w:val="22"/>
          <w:szCs w:val="22"/>
          <w:lang w:val="es-MX" w:eastAsia="es-MX"/>
        </w:rPr>
        <w:t xml:space="preserve">Una vez asignado el NIS se dará de baja el </w:t>
      </w:r>
      <w:r w:rsidR="00157C07" w:rsidRPr="00422CA2">
        <w:rPr>
          <w:rFonts w:ascii="ITC Avant Garde" w:hAnsi="ITC Avant Garde" w:cs="Arial"/>
          <w:sz w:val="22"/>
          <w:szCs w:val="22"/>
          <w:lang w:val="es-MX" w:eastAsia="es-MX"/>
        </w:rPr>
        <w:t>o los pCAI</w:t>
      </w:r>
      <w:r w:rsidRPr="00422CA2">
        <w:rPr>
          <w:rFonts w:ascii="ITC Avant Garde" w:hAnsi="ITC Avant Garde" w:cs="Arial"/>
          <w:sz w:val="22"/>
          <w:szCs w:val="22"/>
          <w:lang w:val="es-MX" w:eastAsia="es-MX"/>
        </w:rPr>
        <w:t xml:space="preserve"> en un plazo máximo de 1 día hábil.</w:t>
      </w:r>
    </w:p>
    <w:p w14:paraId="258ECD62" w14:textId="285C60DE" w:rsidR="00F51B07" w:rsidRPr="00422CA2" w:rsidRDefault="00F51B07" w:rsidP="00586B55">
      <w:pPr>
        <w:pStyle w:val="Ttulo1"/>
      </w:pPr>
      <w:bookmarkStart w:id="875" w:name="_Toc436840948"/>
      <w:bookmarkStart w:id="876" w:name="_Toc436846385"/>
      <w:bookmarkStart w:id="877" w:name="_Toc436848335"/>
      <w:bookmarkStart w:id="878" w:name="_Toc436856583"/>
      <w:bookmarkStart w:id="879" w:name="_Toc436862729"/>
      <w:bookmarkStart w:id="880" w:name="_Toc436866379"/>
      <w:bookmarkStart w:id="881" w:name="_Toc436870958"/>
      <w:bookmarkStart w:id="882" w:name="_Toc436875950"/>
      <w:bookmarkStart w:id="883" w:name="_Toc437602145"/>
      <w:r w:rsidRPr="00422CA2">
        <w:t>10.8</w:t>
      </w:r>
      <w:r w:rsidRPr="00422CA2">
        <w:tab/>
        <w:t>Plazos de Entrega de SCyD</w:t>
      </w:r>
      <w:bookmarkEnd w:id="875"/>
      <w:bookmarkEnd w:id="876"/>
      <w:bookmarkEnd w:id="877"/>
      <w:bookmarkEnd w:id="878"/>
      <w:bookmarkEnd w:id="879"/>
      <w:bookmarkEnd w:id="880"/>
      <w:bookmarkEnd w:id="881"/>
      <w:bookmarkEnd w:id="882"/>
      <w:bookmarkEnd w:id="883"/>
    </w:p>
    <w:p w14:paraId="7269DCC0" w14:textId="77777777" w:rsidR="00F51B07" w:rsidRPr="00422CA2" w:rsidRDefault="00F51B07" w:rsidP="002B6509">
      <w:pPr>
        <w:pStyle w:val="Prrafodelista"/>
        <w:numPr>
          <w:ilvl w:val="0"/>
          <w:numId w:val="32"/>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Habilitación y entrega del SCyD en Coubicación interna (validación de la solicitud, verificación de factibilidad y habilitación): 20 días hábiles por NCAI, que se contabilizarán a partir de la solicitud.</w:t>
      </w:r>
    </w:p>
    <w:p w14:paraId="62469BC6" w14:textId="77777777" w:rsidR="00F51B07" w:rsidRPr="00422CA2" w:rsidRDefault="00F51B07" w:rsidP="002B6509">
      <w:pPr>
        <w:pStyle w:val="Prrafodelista"/>
        <w:numPr>
          <w:ilvl w:val="0"/>
          <w:numId w:val="32"/>
        </w:numPr>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Habilitación y entrega del SCyD en Coubicación externa (validación de la solicitud, verificación de factibilidad y habilitación): 30 días hábiles por NCAI, que se contabilizarán a partir de la solicitud.</w:t>
      </w:r>
    </w:p>
    <w:p w14:paraId="49D2D5AB" w14:textId="77777777" w:rsidR="00F51B07" w:rsidRPr="00422CA2" w:rsidRDefault="00F51B07" w:rsidP="002B6509">
      <w:pPr>
        <w:pStyle w:val="Prrafodelista"/>
        <w:numPr>
          <w:ilvl w:val="0"/>
          <w:numId w:val="32"/>
        </w:numPr>
        <w:spacing w:after="200" w:line="276" w:lineRule="auto"/>
        <w:jc w:val="both"/>
        <w:rPr>
          <w:rFonts w:ascii="ITC Avant Garde" w:hAnsi="ITC Avant Garde" w:cs="Arial"/>
          <w:sz w:val="22"/>
          <w:szCs w:val="22"/>
        </w:rPr>
      </w:pPr>
      <w:r w:rsidRPr="00422CA2">
        <w:rPr>
          <w:rFonts w:ascii="ITC Avant Garde" w:hAnsi="ITC Avant Garde" w:cs="Arial"/>
          <w:sz w:val="22"/>
          <w:szCs w:val="22"/>
        </w:rPr>
        <w:t>Habilitación y entrega del SCyD en Ubicación distante (validación de la solicitud, verificación de factibilidad y habilitación): 45 días hábiles por NCAI, que se contabilizarán a partir de la solicitud.</w:t>
      </w:r>
    </w:p>
    <w:p w14:paraId="36BB033D" w14:textId="77777777" w:rsidR="00F51B07" w:rsidRPr="00422CA2" w:rsidRDefault="00F51B07" w:rsidP="00586B55">
      <w:pPr>
        <w:pStyle w:val="Ttulo1"/>
      </w:pPr>
      <w:bookmarkStart w:id="884" w:name="_Toc436840949"/>
      <w:bookmarkStart w:id="885" w:name="_Toc436846386"/>
      <w:bookmarkStart w:id="886" w:name="_Toc436848336"/>
      <w:bookmarkStart w:id="887" w:name="_Toc436856584"/>
      <w:bookmarkStart w:id="888" w:name="_Toc436862730"/>
      <w:bookmarkStart w:id="889" w:name="_Toc436866380"/>
      <w:bookmarkStart w:id="890" w:name="_Toc436870959"/>
      <w:bookmarkStart w:id="891" w:name="_Toc436875951"/>
      <w:bookmarkStart w:id="892" w:name="_Toc437602146"/>
      <w:r w:rsidRPr="00422CA2">
        <w:t>10.9</w:t>
      </w:r>
      <w:r w:rsidRPr="00422CA2">
        <w:tab/>
        <w:t>Parámetros e indicadores de Calidad para SCyD</w:t>
      </w:r>
      <w:bookmarkEnd w:id="884"/>
      <w:bookmarkEnd w:id="885"/>
      <w:bookmarkEnd w:id="886"/>
      <w:bookmarkEnd w:id="887"/>
      <w:bookmarkEnd w:id="888"/>
      <w:bookmarkEnd w:id="889"/>
      <w:bookmarkEnd w:id="890"/>
      <w:bookmarkEnd w:id="891"/>
      <w:bookmarkEnd w:id="892"/>
    </w:p>
    <w:p w14:paraId="3F780DE2" w14:textId="77777777" w:rsidR="00F51B07" w:rsidRPr="00422CA2" w:rsidRDefault="00F51B07" w:rsidP="00145CAB">
      <w:pPr>
        <w:pStyle w:val="IFTnormal"/>
      </w:pPr>
      <w:r w:rsidRPr="00422CA2">
        <w:t>En esta sección se muestran los parámetros e indicadores de calidad referentes a la provisión, continuidad y atención de fallas del Servicio de Concentración y Distribución</w:t>
      </w:r>
      <w:r w:rsidRPr="00422CA2">
        <w:rPr>
          <w:b/>
        </w:rPr>
        <w:t>.</w:t>
      </w:r>
      <w:r w:rsidRPr="00422CA2">
        <w:t xml:space="preserve"> Estos parámetros e indicadores corresponden a los utilizados en la propia operación de Telmex, y se medirán con una periodicidad trimestral por cada uno de los CS.</w:t>
      </w:r>
    </w:p>
    <w:p w14:paraId="117CBE44" w14:textId="77777777" w:rsidR="00F51B07" w:rsidRPr="00422CA2" w:rsidRDefault="00F51B07" w:rsidP="00145CAB">
      <w:pPr>
        <w:pStyle w:val="IFTnormal"/>
        <w:rPr>
          <w:b/>
        </w:rPr>
      </w:pPr>
      <w:r w:rsidRPr="00422CA2">
        <w:rPr>
          <w:b/>
        </w:rPr>
        <w:t>Parámetros e Indicadores para Provisión del Servicio</w:t>
      </w:r>
    </w:p>
    <w:p w14:paraId="799BE17C" w14:textId="77777777" w:rsidR="00F51B07" w:rsidRPr="00422CA2" w:rsidRDefault="00F51B07" w:rsidP="00145CAB">
      <w:pPr>
        <w:pStyle w:val="IFTnormal"/>
      </w:pPr>
      <w:r w:rsidRPr="00422CA2">
        <w:t>En lo referente a la provisión de los servicios (validación de la solicitud, verificación de factibilidad y habilitación) se tienen los siguientes indicadores:</w:t>
      </w:r>
    </w:p>
    <w:p w14:paraId="076CFD8C" w14:textId="77777777" w:rsidR="00145CAB" w:rsidRPr="00422CA2" w:rsidRDefault="00145CAB" w:rsidP="00145CAB">
      <w:pPr>
        <w:pStyle w:val="IFTnormal"/>
      </w:pPr>
      <w:r w:rsidRPr="00422CA2">
        <w:t>•</w:t>
      </w:r>
      <w:r w:rsidRPr="00422CA2">
        <w:tab/>
        <w:t>Validación de la solicitud junto con validación de la factibilidad: 90% de las solicitudes en máximo de 4 días hábiles. El 10% restante en un máximo de 6 días hábiles.</w:t>
      </w:r>
    </w:p>
    <w:p w14:paraId="7B4790AA" w14:textId="77777777" w:rsidR="00145CAB" w:rsidRPr="00422CA2" w:rsidRDefault="00145CAB" w:rsidP="00145CAB">
      <w:pPr>
        <w:pStyle w:val="IFTnormal"/>
      </w:pPr>
      <w:r w:rsidRPr="00422CA2">
        <w:t>•</w:t>
      </w:r>
      <w:r w:rsidRPr="00422CA2">
        <w:tab/>
        <w:t>Habilitación de Servicio auxiliar de concentración y distribución (Coubicación Interna): 90% de las solicitudes en 20 días hábiles. El 10% restante en 30 días hábiles.</w:t>
      </w:r>
    </w:p>
    <w:p w14:paraId="0385BB6E" w14:textId="77777777" w:rsidR="00145CAB" w:rsidRPr="00422CA2" w:rsidRDefault="00145CAB" w:rsidP="00145CAB">
      <w:pPr>
        <w:pStyle w:val="IFTnormal"/>
      </w:pPr>
      <w:r w:rsidRPr="00422CA2">
        <w:t>•</w:t>
      </w:r>
      <w:r w:rsidRPr="00422CA2">
        <w:tab/>
        <w:t>Habilitación de Servicio auxiliar de concentración y distribución (Coubicación Externa): 90% de las solicitudes en 30 días hábiles. El 10% restante en 45 días hábiles.</w:t>
      </w:r>
    </w:p>
    <w:p w14:paraId="3C740D34" w14:textId="77777777" w:rsidR="00145CAB" w:rsidRPr="00422CA2" w:rsidRDefault="00145CAB" w:rsidP="00145CAB">
      <w:pPr>
        <w:pStyle w:val="IFTnormal"/>
      </w:pPr>
      <w:r w:rsidRPr="00422CA2">
        <w:t>•</w:t>
      </w:r>
      <w:r w:rsidRPr="00422CA2">
        <w:tab/>
        <w:t>Habilitación de Servicio auxiliar de concentración y distribución (Ubicación Distante): 90% de las solicitudes en 45 días hábiles. El 10% restante en 68 días hábiles.</w:t>
      </w:r>
    </w:p>
    <w:p w14:paraId="2C451D1A" w14:textId="617FAEC4" w:rsidR="00F51B07" w:rsidRPr="00422CA2" w:rsidRDefault="00F51B07" w:rsidP="00145CAB">
      <w:pPr>
        <w:pStyle w:val="IFTnormal"/>
      </w:pPr>
      <w:r w:rsidRPr="00422CA2">
        <w:t xml:space="preserve">Los elementos infraestructurales relacionados con la provisión de cada servicio son los que se señalan en la sección 1.4 de esta </w:t>
      </w:r>
      <w:r w:rsidR="000F3B5A">
        <w:t>OREDA</w:t>
      </w:r>
      <w:r w:rsidRPr="00422CA2">
        <w:t>.</w:t>
      </w:r>
    </w:p>
    <w:p w14:paraId="575F33C3" w14:textId="77777777" w:rsidR="00F51B07" w:rsidRPr="00422CA2" w:rsidRDefault="00F51B07" w:rsidP="00145CAB">
      <w:pPr>
        <w:pStyle w:val="IFTnormal"/>
        <w:rPr>
          <w:b/>
        </w:rPr>
      </w:pPr>
      <w:r w:rsidRPr="00422CA2">
        <w:rPr>
          <w:b/>
        </w:rPr>
        <w:t>Metodología</w:t>
      </w:r>
    </w:p>
    <w:p w14:paraId="7A519747" w14:textId="77777777" w:rsidR="00F51B07" w:rsidRPr="00422CA2" w:rsidRDefault="00F51B07" w:rsidP="00145CAB">
      <w:pPr>
        <w:pStyle w:val="IFTnormal"/>
      </w:pPr>
      <w:r w:rsidRPr="00422CA2">
        <w:t xml:space="preserve">Para realizar la medición de los indicadores presentados, se descontarán los plazos de entrega señalados en la sección 5.4 de este documento de los días totales </w:t>
      </w:r>
      <w:r w:rsidRPr="00422CA2">
        <w:lastRenderedPageBreak/>
        <w:t xml:space="preserve">utilizados para la realización de dicha actividad, considerando como inicio del proceso el día en que se solicitó el servicio por parte del CS. </w:t>
      </w:r>
    </w:p>
    <w:p w14:paraId="64607023" w14:textId="77777777" w:rsidR="00F51B07" w:rsidRPr="00422CA2" w:rsidRDefault="00F51B07" w:rsidP="00145CAB">
      <w:pPr>
        <w:pStyle w:val="IFTnormal"/>
        <w:rPr>
          <w:b/>
        </w:rPr>
      </w:pPr>
      <w:r w:rsidRPr="00422CA2">
        <w:rPr>
          <w:b/>
        </w:rPr>
        <w:t>Parámetros e Indicadores para Reparación de Fallas</w:t>
      </w:r>
    </w:p>
    <w:p w14:paraId="62BAE540" w14:textId="77777777" w:rsidR="00F51B07" w:rsidRPr="00422CA2" w:rsidRDefault="00F51B07" w:rsidP="00145CAB">
      <w:pPr>
        <w:pStyle w:val="IFTnormal"/>
      </w:pPr>
      <w:r w:rsidRPr="00422CA2">
        <w:t>En cuanto a los parámetros de calidad asociados a la reparación de fallas que afecten a los usuarios residenciales o comerciales, no se diferencia por nivel de SCyD, teniendo el siguiente alcance:</w:t>
      </w:r>
    </w:p>
    <w:p w14:paraId="23D7467E" w14:textId="56935B08" w:rsidR="00F51B07" w:rsidRPr="00422CA2" w:rsidRDefault="00F51B07" w:rsidP="00145CAB">
      <w:pPr>
        <w:pStyle w:val="IFTnormal"/>
      </w:pPr>
      <w:r w:rsidRPr="00422CA2">
        <w:t>Para un SCyD Local en el 90% de los casos, reparación en 24 horas.</w:t>
      </w:r>
      <w:r w:rsidR="00BA2B17" w:rsidRPr="00422CA2">
        <w:t xml:space="preserve"> El 10% restante en un máximo de 36 hrs.</w:t>
      </w:r>
    </w:p>
    <w:p w14:paraId="14B81409" w14:textId="213E314D" w:rsidR="00F51B07" w:rsidRPr="00422CA2" w:rsidRDefault="00F51B07" w:rsidP="00145CAB">
      <w:pPr>
        <w:pStyle w:val="IFTnormal"/>
      </w:pPr>
      <w:r w:rsidRPr="00422CA2">
        <w:t>Para un SCyD Regional en el 90% de los casos, reparación en 16 horas.</w:t>
      </w:r>
      <w:r w:rsidR="00BA2B17" w:rsidRPr="00422CA2">
        <w:t xml:space="preserve"> El 10% restante en un máximo de 24 hrs.</w:t>
      </w:r>
    </w:p>
    <w:p w14:paraId="74E562F3" w14:textId="1178CA4D" w:rsidR="00F51B07" w:rsidRPr="00422CA2" w:rsidRDefault="00F51B07" w:rsidP="00145CAB">
      <w:pPr>
        <w:pStyle w:val="IFTnormal"/>
      </w:pPr>
      <w:r w:rsidRPr="00422CA2">
        <w:t>Para un SCyD Nacional en el 90% de los casos, reparación en 12 horas.</w:t>
      </w:r>
      <w:r w:rsidR="00BA2B17" w:rsidRPr="00422CA2">
        <w:t xml:space="preserve"> El 10% restante en un máximo de 18 hrs.</w:t>
      </w:r>
    </w:p>
    <w:p w14:paraId="10D57959" w14:textId="77777777" w:rsidR="00F51B07" w:rsidRPr="00422CA2" w:rsidRDefault="00F51B07" w:rsidP="00145CAB">
      <w:pPr>
        <w:pStyle w:val="IFTnormal"/>
      </w:pPr>
      <w:r w:rsidRPr="00422CA2">
        <w:t>Para realizar las mediciones de estos indicadores, se considerarán los reportes levantados las 24 horas del día, dichos tiempos no aplicarán para los casos fortuitos o de fuerza mayor.</w:t>
      </w:r>
    </w:p>
    <w:p w14:paraId="689D0879" w14:textId="77777777" w:rsidR="00F51B07" w:rsidRPr="00422CA2" w:rsidRDefault="00F51B07" w:rsidP="00145CAB">
      <w:pPr>
        <w:pStyle w:val="IFTnormal"/>
        <w:rPr>
          <w:b/>
        </w:rPr>
      </w:pPr>
      <w:r w:rsidRPr="00422CA2">
        <w:rPr>
          <w:b/>
        </w:rPr>
        <w:t>Parámetros e indicadores para las pruebas del SCyD</w:t>
      </w:r>
    </w:p>
    <w:p w14:paraId="6B5AEC30" w14:textId="77777777" w:rsidR="00F51B07" w:rsidRPr="00422CA2" w:rsidRDefault="00F51B07" w:rsidP="00145CAB">
      <w:pPr>
        <w:pStyle w:val="IFTnormal"/>
      </w:pPr>
      <w:r w:rsidRPr="00422CA2">
        <w:t xml:space="preserve">Para la entrega del SCyD se ejecutará el set de pruebas basadas en la recomendación RFC2544 de la ITU-T. La prueba se considerará satisfactoria cuando cumpla con los siguientes resultados: </w:t>
      </w:r>
    </w:p>
    <w:p w14:paraId="6A6157F3" w14:textId="77777777" w:rsidR="00F51B07" w:rsidRPr="00422CA2" w:rsidRDefault="00F51B07" w:rsidP="00145CAB">
      <w:pPr>
        <w:pStyle w:val="IFTnormal"/>
      </w:pPr>
      <w:r w:rsidRPr="00422CA2">
        <w:t xml:space="preserve">Para SCyD Local o Regional: </w:t>
      </w:r>
    </w:p>
    <w:p w14:paraId="3377E509" w14:textId="77777777" w:rsidR="00F51B07" w:rsidRPr="00422CA2" w:rsidRDefault="00F51B07" w:rsidP="00145CAB">
      <w:pPr>
        <w:pStyle w:val="IFTnormal"/>
      </w:pPr>
      <w:r w:rsidRPr="00422CA2">
        <w:t>La pérdida de tramas: Menor o Igual al 0.4% en una prueba de estabilidad de 4 horas.</w:t>
      </w:r>
    </w:p>
    <w:p w14:paraId="199A695B" w14:textId="77777777" w:rsidR="00F51B07" w:rsidRPr="00422CA2" w:rsidRDefault="00F51B07" w:rsidP="00145CAB">
      <w:pPr>
        <w:pStyle w:val="IFTnormal"/>
      </w:pPr>
      <w:r w:rsidRPr="00422CA2">
        <w:t>La latencia: Menor o igual a 30 ms.</w:t>
      </w:r>
    </w:p>
    <w:p w14:paraId="501AC734" w14:textId="77777777" w:rsidR="00F51B07" w:rsidRPr="00422CA2" w:rsidRDefault="00F51B07" w:rsidP="00145CAB">
      <w:pPr>
        <w:pStyle w:val="IFTnormal"/>
      </w:pPr>
      <w:r w:rsidRPr="00422CA2">
        <w:t xml:space="preserve">Para SCyD Nacional: </w:t>
      </w:r>
    </w:p>
    <w:p w14:paraId="2E58FE58" w14:textId="77777777" w:rsidR="00F51B07" w:rsidRPr="00422CA2" w:rsidRDefault="00F51B07" w:rsidP="00145CAB">
      <w:pPr>
        <w:pStyle w:val="IFTnormal"/>
      </w:pPr>
      <w:r w:rsidRPr="00422CA2">
        <w:t>La pérdida de tramas: Menor o Igual al 1.0% en una prueba de estabilidad de 4 horas.</w:t>
      </w:r>
    </w:p>
    <w:p w14:paraId="27223164" w14:textId="77777777" w:rsidR="00F51B07" w:rsidRPr="00422CA2" w:rsidRDefault="00F51B07" w:rsidP="00145CAB">
      <w:pPr>
        <w:pStyle w:val="IFTnormal"/>
      </w:pPr>
      <w:r w:rsidRPr="00422CA2">
        <w:t>La latencia: Menor o igual a 50 ms.</w:t>
      </w:r>
    </w:p>
    <w:p w14:paraId="177619CB" w14:textId="77777777" w:rsidR="00F51B07" w:rsidRPr="00422CA2" w:rsidRDefault="00F51B07" w:rsidP="00145CAB">
      <w:pPr>
        <w:pStyle w:val="IFTnormal"/>
        <w:rPr>
          <w:b/>
        </w:rPr>
      </w:pPr>
      <w:r w:rsidRPr="00422CA2">
        <w:rPr>
          <w:b/>
        </w:rPr>
        <w:t>Parámetros Técnicos</w:t>
      </w:r>
    </w:p>
    <w:p w14:paraId="28C85052" w14:textId="77777777" w:rsidR="00F51B07" w:rsidRPr="00422CA2" w:rsidRDefault="00F51B07" w:rsidP="00145CAB">
      <w:pPr>
        <w:pStyle w:val="IFTnormal"/>
      </w:pPr>
      <w:r w:rsidRPr="00422CA2">
        <w:t>Tamaño máximo de trama (MTU) Ethernet de 1,518 bytes en el pCAI.</w:t>
      </w:r>
    </w:p>
    <w:p w14:paraId="0AEE1476" w14:textId="3F99364A" w:rsidR="00F51B07" w:rsidRPr="00422CA2" w:rsidRDefault="00F51B07" w:rsidP="00586B55">
      <w:pPr>
        <w:pStyle w:val="Ttulo1"/>
      </w:pPr>
      <w:bookmarkStart w:id="893" w:name="_Toc436840950"/>
      <w:bookmarkStart w:id="894" w:name="_Toc436846387"/>
      <w:bookmarkStart w:id="895" w:name="_Toc436848337"/>
      <w:bookmarkStart w:id="896" w:name="_Toc436856585"/>
      <w:bookmarkStart w:id="897" w:name="_Toc436862731"/>
      <w:bookmarkStart w:id="898" w:name="_Toc436866381"/>
      <w:bookmarkStart w:id="899" w:name="_Toc436870960"/>
      <w:bookmarkStart w:id="900" w:name="_Toc436875952"/>
      <w:bookmarkStart w:id="901" w:name="_Toc437602147"/>
      <w:r w:rsidRPr="00422CA2">
        <w:lastRenderedPageBreak/>
        <w:t>10.10</w:t>
      </w:r>
      <w:r w:rsidRPr="00422CA2">
        <w:tab/>
        <w:t xml:space="preserve"> Procedimiento para la realización de pruebas para el SCyD</w:t>
      </w:r>
      <w:bookmarkEnd w:id="893"/>
      <w:bookmarkEnd w:id="894"/>
      <w:bookmarkEnd w:id="895"/>
      <w:bookmarkEnd w:id="896"/>
      <w:bookmarkEnd w:id="897"/>
      <w:bookmarkEnd w:id="898"/>
      <w:bookmarkEnd w:id="899"/>
      <w:bookmarkEnd w:id="900"/>
      <w:bookmarkEnd w:id="901"/>
    </w:p>
    <w:p w14:paraId="44E05A3D"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Pruebas de aceptación de alta de un puerto pCAI.</w:t>
      </w:r>
    </w:p>
    <w:p w14:paraId="1270A083"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verificar el adecuado funcionamiento del SCyD a la entrega el servicio se realizará el siguiente protocolo de recepción del servicio:</w:t>
      </w:r>
    </w:p>
    <w:p w14:paraId="431C5D4C" w14:textId="270A031E"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En el pCAI se conectará un equipo generador de señales Ethernet y se establecerán </w:t>
      </w:r>
      <w:r w:rsidR="00770D5F" w:rsidRPr="00422CA2">
        <w:rPr>
          <w:rFonts w:ascii="ITC Avant Garde" w:hAnsi="ITC Avant Garde"/>
          <w:sz w:val="22"/>
          <w:szCs w:val="22"/>
          <w:lang w:val="es-MX"/>
        </w:rPr>
        <w:t>1</w:t>
      </w:r>
      <w:r w:rsidRPr="00422CA2">
        <w:rPr>
          <w:rFonts w:ascii="ITC Avant Garde" w:hAnsi="ITC Avant Garde"/>
          <w:sz w:val="22"/>
          <w:szCs w:val="22"/>
          <w:lang w:val="es-MX"/>
        </w:rPr>
        <w:t xml:space="preserve"> VLAN’s cuya suma de ancho de banda será igual al ancho de banda contratado en el pCAI.</w:t>
      </w:r>
    </w:p>
    <w:p w14:paraId="0F2D8F5E"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Para evitar la interrupción de servicios activos se establecerá un puerto de prueba auxiliar (PPA) al cual se conecta un loopback físico. Este puerto de prueba se establecerá en uno de los equipos Ethernet del NCAI.</w:t>
      </w:r>
    </w:p>
    <w:p w14:paraId="2F1BF49F"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Se ejecutará el set de pruebas basadas en la recomendación Y.1564 de la ITU-T.</w:t>
      </w:r>
    </w:p>
    <w:p w14:paraId="5618C26A" w14:textId="77777777" w:rsidR="002D0751" w:rsidRPr="00422CA2" w:rsidRDefault="002D0751"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Cada prueba realizada que implique el uso de un equipo de medición deberá ser ejecutada una vez calibrado correctamente dicho equipo. </w:t>
      </w:r>
    </w:p>
    <w:p w14:paraId="13E821E1"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La prueba se considerará satisfactoria cuando cumpla con los siguientes resultados:  </w:t>
      </w:r>
    </w:p>
    <w:p w14:paraId="4B6881B0" w14:textId="77777777" w:rsidR="00B863FF" w:rsidRPr="00422CA2" w:rsidRDefault="00B863FF" w:rsidP="002B6509">
      <w:pPr>
        <w:pStyle w:val="Prrafodelista"/>
        <w:numPr>
          <w:ilvl w:val="0"/>
          <w:numId w:val="225"/>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tasa de recepción promedio es mayor al 99% del ancho de banda contratado en el pCAI.</w:t>
      </w:r>
    </w:p>
    <w:p w14:paraId="03442BAF" w14:textId="77777777" w:rsidR="00B863FF" w:rsidRPr="00422CA2" w:rsidRDefault="00B863FF" w:rsidP="002B6509">
      <w:pPr>
        <w:pStyle w:val="Prrafodelista"/>
        <w:numPr>
          <w:ilvl w:val="0"/>
          <w:numId w:val="225"/>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pérdida de tramas: Menor o Igual al 0.4%.</w:t>
      </w:r>
    </w:p>
    <w:p w14:paraId="694C9DE1" w14:textId="2E47CD0E" w:rsidR="00B863FF" w:rsidRPr="00422CA2" w:rsidRDefault="00B863FF" w:rsidP="002B6509">
      <w:pPr>
        <w:pStyle w:val="Prrafodelista"/>
        <w:numPr>
          <w:ilvl w:val="0"/>
          <w:numId w:val="225"/>
        </w:num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La latencia medida como RTT (round-trip time</w:t>
      </w:r>
      <w:r w:rsidR="00EA59A5" w:rsidRPr="00422CA2">
        <w:rPr>
          <w:rFonts w:ascii="ITC Avant Garde" w:hAnsi="ITC Avant Garde"/>
          <w:sz w:val="22"/>
          <w:szCs w:val="22"/>
          <w:lang w:val="es-MX"/>
        </w:rPr>
        <w:t>)</w:t>
      </w:r>
      <w:r w:rsidRPr="00422CA2">
        <w:rPr>
          <w:rFonts w:ascii="ITC Avant Garde" w:hAnsi="ITC Avant Garde"/>
          <w:sz w:val="22"/>
          <w:szCs w:val="22"/>
          <w:lang w:val="es-MX"/>
        </w:rPr>
        <w:t>: Menor o igual a 50 ms.</w:t>
      </w:r>
    </w:p>
    <w:p w14:paraId="3B51C19E" w14:textId="77777777"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Una vez que el servicio haya sido probado, se procederá a firmar un documento de entrega del servicio.</w:t>
      </w:r>
    </w:p>
    <w:p w14:paraId="0C86A2C1" w14:textId="46265A15" w:rsidR="00B863FF" w:rsidRPr="00422CA2" w:rsidRDefault="00B863FF" w:rsidP="002B6509">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Si no cumple se abrirá una incidencia para el CS y se volverá a la actuación de prueba, para que el CS proceda a agendar otra fecha. Si el problema fuera de Telmex, se abrirá una incidencia, que será informativa para el CS. Esta incidencia podría conllevar el reinicio de las pruebas, por lo que se volvería a comunicar al CS la disponibilidad de pruebas. En este caso el exceso de tiempo contaría como retardo en la entrega.</w:t>
      </w:r>
    </w:p>
    <w:p w14:paraId="6A93A285" w14:textId="77777777" w:rsidR="00F51B07" w:rsidRPr="00422CA2" w:rsidRDefault="00F51B07">
      <w:pPr>
        <w:pStyle w:val="Ttulo1"/>
      </w:pPr>
      <w:bookmarkStart w:id="902" w:name="_Toc436840951"/>
      <w:bookmarkStart w:id="903" w:name="_Toc436846388"/>
      <w:bookmarkStart w:id="904" w:name="_Toc436848338"/>
      <w:bookmarkStart w:id="905" w:name="_Toc436856586"/>
      <w:bookmarkStart w:id="906" w:name="_Toc436862732"/>
      <w:bookmarkStart w:id="907" w:name="_Toc436866382"/>
      <w:bookmarkStart w:id="908" w:name="_Toc436870961"/>
      <w:bookmarkStart w:id="909" w:name="_Toc436875953"/>
      <w:bookmarkStart w:id="910" w:name="_Toc437602148"/>
      <w:r w:rsidRPr="00422CA2">
        <w:lastRenderedPageBreak/>
        <w:t>10.11</w:t>
      </w:r>
      <w:r w:rsidRPr="00422CA2">
        <w:tab/>
        <w:t>Formato SCyD</w:t>
      </w:r>
      <w:bookmarkEnd w:id="902"/>
      <w:bookmarkEnd w:id="903"/>
      <w:bookmarkEnd w:id="904"/>
      <w:bookmarkEnd w:id="905"/>
      <w:bookmarkEnd w:id="906"/>
      <w:bookmarkEnd w:id="907"/>
      <w:bookmarkEnd w:id="908"/>
      <w:bookmarkEnd w:id="909"/>
      <w:bookmarkEnd w:id="910"/>
    </w:p>
    <w:p w14:paraId="3CCEB63D" w14:textId="37392E48" w:rsidR="00F51B07" w:rsidRPr="00422CA2" w:rsidRDefault="009E27C2" w:rsidP="00F51B07">
      <w:pPr>
        <w:spacing w:line="360" w:lineRule="auto"/>
        <w:contextualSpacing/>
        <w:jc w:val="both"/>
        <w:rPr>
          <w:rFonts w:ascii="ITC Avant Garde" w:hAnsi="ITC Avant Garde"/>
          <w:sz w:val="22"/>
          <w:szCs w:val="22"/>
          <w:lang w:val="es-ES"/>
        </w:rPr>
      </w:pPr>
      <w:r w:rsidRPr="00422CA2">
        <w:rPr>
          <w:rFonts w:ascii="ITC Avant Garde" w:hAnsi="ITC Avant Garde"/>
          <w:sz w:val="22"/>
          <w:szCs w:val="22"/>
          <w:lang w:val="es-ES"/>
        </w:rPr>
        <w:t xml:space="preserve">     </w:t>
      </w:r>
      <w:r w:rsidRPr="00C82861">
        <w:rPr>
          <w:rFonts w:ascii="ITC Avant Garde" w:hAnsi="ITC Avant Garde"/>
          <w:sz w:val="2"/>
          <w:szCs w:val="22"/>
          <w:lang w:val="es-ES"/>
        </w:rPr>
        <w:t xml:space="preserve">   </w:t>
      </w:r>
      <w:r w:rsidR="00E566FA" w:rsidRPr="00422CA2">
        <w:rPr>
          <w:rFonts w:ascii="ITC Avant Garde" w:hAnsi="ITC Avant Garde"/>
          <w:noProof/>
          <w:lang w:val="es-MX" w:eastAsia="es-MX"/>
        </w:rPr>
        <w:drawing>
          <wp:inline distT="0" distB="0" distL="0" distR="0" wp14:anchorId="09F0B073" wp14:editId="748C7E52">
            <wp:extent cx="5895975" cy="7515225"/>
            <wp:effectExtent l="0" t="0" r="9525" b="952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13918" cy="7538096"/>
                    </a:xfrm>
                    <a:prstGeom prst="rect">
                      <a:avLst/>
                    </a:prstGeom>
                    <a:noFill/>
                    <a:ln>
                      <a:noFill/>
                    </a:ln>
                  </pic:spPr>
                </pic:pic>
              </a:graphicData>
            </a:graphic>
          </wp:inline>
        </w:drawing>
      </w:r>
    </w:p>
    <w:p w14:paraId="38BBEA23" w14:textId="77777777" w:rsidR="0015192E" w:rsidRPr="00422CA2" w:rsidDel="00875E33" w:rsidRDefault="0015192E">
      <w:pPr>
        <w:pStyle w:val="Ttulo1"/>
      </w:pPr>
      <w:bookmarkStart w:id="911" w:name="_Toc436840952"/>
      <w:bookmarkStart w:id="912" w:name="_Toc436846389"/>
      <w:bookmarkStart w:id="913" w:name="_Toc436848339"/>
      <w:bookmarkStart w:id="914" w:name="_Toc436856587"/>
      <w:bookmarkStart w:id="915" w:name="_Toc436862733"/>
      <w:bookmarkStart w:id="916" w:name="_Toc436866383"/>
      <w:bookmarkStart w:id="917" w:name="_Toc436870962"/>
      <w:bookmarkStart w:id="918" w:name="_Toc436875954"/>
      <w:bookmarkStart w:id="919" w:name="_Toc437602149"/>
      <w:r w:rsidRPr="00422CA2" w:rsidDel="00875E33">
        <w:lastRenderedPageBreak/>
        <w:t>11. Trabajos Especiales</w:t>
      </w:r>
      <w:bookmarkEnd w:id="911"/>
      <w:bookmarkEnd w:id="912"/>
      <w:bookmarkEnd w:id="913"/>
      <w:bookmarkEnd w:id="914"/>
      <w:bookmarkEnd w:id="915"/>
      <w:bookmarkEnd w:id="916"/>
      <w:bookmarkEnd w:id="917"/>
      <w:bookmarkEnd w:id="918"/>
      <w:bookmarkEnd w:id="919"/>
    </w:p>
    <w:p w14:paraId="1C120640" w14:textId="65595393" w:rsidR="0015192E" w:rsidRPr="00422CA2" w:rsidDel="00875E33" w:rsidRDefault="0015192E" w:rsidP="0015192E">
      <w:pPr>
        <w:autoSpaceDE w:val="0"/>
        <w:autoSpaceDN w:val="0"/>
        <w:adjustRightInd w:val="0"/>
        <w:spacing w:after="200" w:line="276" w:lineRule="auto"/>
        <w:jc w:val="both"/>
        <w:rPr>
          <w:rFonts w:ascii="ITC Avant Garde" w:hAnsi="ITC Avant Garde" w:cs="Arial"/>
          <w:sz w:val="22"/>
          <w:szCs w:val="22"/>
        </w:rPr>
      </w:pPr>
      <w:r w:rsidRPr="00422CA2" w:rsidDel="00875E33">
        <w:rPr>
          <w:rFonts w:ascii="ITC Avant Garde" w:hAnsi="ITC Avant Garde" w:cs="Arial"/>
          <w:sz w:val="22"/>
          <w:szCs w:val="22"/>
        </w:rPr>
        <w:t xml:space="preserve">En caso de que Telmex no pueda proporcionar los servicios bajo las condiciones descritas en la sección 1.4 de esta </w:t>
      </w:r>
      <w:r w:rsidR="000F3B5A">
        <w:rPr>
          <w:rFonts w:ascii="ITC Avant Garde" w:hAnsi="ITC Avant Garde" w:cs="Arial"/>
          <w:sz w:val="22"/>
          <w:szCs w:val="22"/>
        </w:rPr>
        <w:t>OREDA</w:t>
      </w:r>
      <w:r w:rsidRPr="00422CA2" w:rsidDel="00875E33">
        <w:rPr>
          <w:rFonts w:ascii="ITC Avant Garde" w:hAnsi="ITC Avant Garde" w:cs="Arial"/>
          <w:sz w:val="22"/>
          <w:szCs w:val="22"/>
        </w:rPr>
        <w:t xml:space="preserve">, el CS podrá solicitar Trabajos Especiales, los cuales le permitirán acceder a los servicios solicitados. </w:t>
      </w:r>
    </w:p>
    <w:p w14:paraId="7A868E4D" w14:textId="77777777" w:rsidR="0015192E" w:rsidRPr="00422CA2" w:rsidDel="00875E33" w:rsidRDefault="0015192E" w:rsidP="0015192E">
      <w:pPr>
        <w:autoSpaceDE w:val="0"/>
        <w:autoSpaceDN w:val="0"/>
        <w:adjustRightInd w:val="0"/>
        <w:spacing w:after="200" w:line="276" w:lineRule="auto"/>
        <w:jc w:val="both"/>
        <w:rPr>
          <w:rFonts w:ascii="ITC Avant Garde" w:hAnsi="ITC Avant Garde" w:cs="Arial"/>
          <w:sz w:val="22"/>
          <w:szCs w:val="22"/>
        </w:rPr>
      </w:pPr>
      <w:r w:rsidRPr="00422CA2" w:rsidDel="00875E33">
        <w:rPr>
          <w:rFonts w:ascii="ITC Avant Garde" w:hAnsi="ITC Avant Garde" w:cs="Arial"/>
          <w:sz w:val="22"/>
          <w:szCs w:val="22"/>
        </w:rPr>
        <w:t>Los tiempos incurridos en la realización de los Trabajos Especiales, incluyendo los plazos de presentación y aceptación entre las partes, no serán considerados como parte de los tiempos de habilitación de los servicios. Es decir la contabilización de días para la contratación y habilitación de estos servicios, se detendrá a partir de la notificación de no factibilidad, y será reanudada cuando el CS valide la entrega del Trabajo Especial.</w:t>
      </w:r>
    </w:p>
    <w:p w14:paraId="170E2400" w14:textId="77777777" w:rsidR="0015192E" w:rsidRPr="00422CA2" w:rsidDel="00875E33" w:rsidRDefault="0015192E" w:rsidP="0015192E">
      <w:pPr>
        <w:autoSpaceDE w:val="0"/>
        <w:autoSpaceDN w:val="0"/>
        <w:adjustRightInd w:val="0"/>
        <w:spacing w:after="200" w:line="276" w:lineRule="auto"/>
        <w:jc w:val="both"/>
        <w:rPr>
          <w:rFonts w:ascii="ITC Avant Garde" w:hAnsi="ITC Avant Garde" w:cs="Arial"/>
          <w:sz w:val="22"/>
          <w:szCs w:val="22"/>
        </w:rPr>
      </w:pPr>
      <w:r w:rsidRPr="00422CA2" w:rsidDel="00875E33">
        <w:rPr>
          <w:rFonts w:ascii="ITC Avant Garde" w:hAnsi="ITC Avant Garde" w:cs="Arial"/>
          <w:sz w:val="22"/>
          <w:szCs w:val="22"/>
        </w:rPr>
        <w:t>La cotización que se envíe al CS contemplará únicamente los costos incurridos para la ejecución del Trabajo Especial.</w:t>
      </w:r>
    </w:p>
    <w:p w14:paraId="1487C994" w14:textId="77777777" w:rsidR="0015192E" w:rsidRPr="00422CA2" w:rsidDel="00875E33" w:rsidRDefault="0015192E" w:rsidP="0015192E">
      <w:pPr>
        <w:autoSpaceDE w:val="0"/>
        <w:autoSpaceDN w:val="0"/>
        <w:adjustRightInd w:val="0"/>
        <w:spacing w:after="200" w:line="276" w:lineRule="auto"/>
        <w:jc w:val="both"/>
        <w:rPr>
          <w:rFonts w:ascii="ITC Avant Garde" w:hAnsi="ITC Avant Garde" w:cs="Arial"/>
          <w:sz w:val="22"/>
          <w:szCs w:val="22"/>
        </w:rPr>
      </w:pPr>
      <w:r w:rsidRPr="00422CA2" w:rsidDel="00875E33">
        <w:rPr>
          <w:rFonts w:ascii="ITC Avant Garde" w:hAnsi="ITC Avant Garde" w:cs="Arial"/>
          <w:sz w:val="22"/>
          <w:szCs w:val="22"/>
        </w:rPr>
        <w:t>Los servicios que pueden solicitar la contratación de Trabajos Especiales son aquellos en cuyo procedimiento se establece que en caso de no existir factibilidad técnica para proporcionar el servicio, a petición de los CS, podría iniciarse el trabajo especial.</w:t>
      </w:r>
    </w:p>
    <w:p w14:paraId="384CE15F" w14:textId="77777777" w:rsidR="0015192E" w:rsidRPr="00422CA2" w:rsidRDefault="0015192E">
      <w:pPr>
        <w:pStyle w:val="Ttulo1"/>
      </w:pPr>
      <w:bookmarkStart w:id="920" w:name="_Toc436840953"/>
      <w:bookmarkStart w:id="921" w:name="_Toc436846390"/>
      <w:bookmarkStart w:id="922" w:name="_Toc436848340"/>
      <w:bookmarkStart w:id="923" w:name="_Toc436856588"/>
      <w:bookmarkStart w:id="924" w:name="_Toc436862734"/>
      <w:bookmarkStart w:id="925" w:name="_Toc436866384"/>
      <w:bookmarkStart w:id="926" w:name="_Toc436870963"/>
      <w:bookmarkStart w:id="927" w:name="_Toc436875955"/>
      <w:bookmarkStart w:id="928" w:name="_Toc437602150"/>
      <w:r w:rsidRPr="00422CA2">
        <w:t>11.1</w:t>
      </w:r>
      <w:r w:rsidRPr="00422CA2">
        <w:tab/>
        <w:t>Procedimiento para solicitud, aceptación y entrega de Trabajos Especiales</w:t>
      </w:r>
      <w:bookmarkEnd w:id="920"/>
      <w:bookmarkEnd w:id="921"/>
      <w:bookmarkEnd w:id="922"/>
      <w:bookmarkEnd w:id="923"/>
      <w:bookmarkEnd w:id="924"/>
      <w:bookmarkEnd w:id="925"/>
      <w:bookmarkEnd w:id="926"/>
      <w:bookmarkEnd w:id="927"/>
      <w:bookmarkEnd w:id="928"/>
    </w:p>
    <w:p w14:paraId="786ED299" w14:textId="77777777" w:rsidR="0015192E" w:rsidRPr="00422CA2" w:rsidRDefault="0015192E" w:rsidP="002C01C4">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notificada la no factibilidad de un servicio, el CS podrá solicitar a Telmex la realización de un Trabajo Especial, para ello, el CS contará con la opción de solicitar dichos Trabajo a través del SC o SEG cuando esté disponible, indicando el NIS-Referencia del servicio que no fue factible.</w:t>
      </w:r>
    </w:p>
    <w:p w14:paraId="4E9236A9" w14:textId="77777777" w:rsidR="0015192E" w:rsidRPr="00422CA2" w:rsidRDefault="0015192E" w:rsidP="002C01C4">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validada la solicitud de Trabajo Especial del CS, Telmex en un plazo máximo de 10 días hábiles presentará los términos bajo los cuales ofrecerá el servicio. Estos términos contendrán la solución técnica propuesta, el plazo compromiso para la entrega del Trabajo Especial, así como la cotización correspondiente. </w:t>
      </w:r>
    </w:p>
    <w:p w14:paraId="5A47CDA1" w14:textId="77777777" w:rsidR="0015192E" w:rsidRPr="00422CA2" w:rsidRDefault="0015192E">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El CS contará con 10 días hábiles para aceptar el servicio. En caso contrario, se dará por terminado el procedimiento y se facturaran los costos incurridos para la elaboración de la propuesta solicitada de Trabajo Especial.</w:t>
      </w:r>
    </w:p>
    <w:p w14:paraId="0FA88A55" w14:textId="77777777" w:rsidR="0015192E" w:rsidRPr="00422CA2" w:rsidRDefault="0015192E">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Una vez aceptada la cotización, el CS recibirá de Telmex la Referencia correspondiente a la solicitud de Trabajo Especial, se comenzarán los trabajos hasta que el CS haya realizado el pago por el Trabajo Especial solicitado.</w:t>
      </w:r>
    </w:p>
    <w:p w14:paraId="4FCFA77C" w14:textId="77777777" w:rsidR="0015192E" w:rsidRPr="00422CA2" w:rsidRDefault="0015192E">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lastRenderedPageBreak/>
        <w:t xml:space="preserve">Telmex notificará al CS cuando el Trabajo Especial esté finalizado. El CS tendrá 5 días hábiles para realizar la prueba en conjunto del servicio. En caso de que no se realice la prueba, se entenderá que el CS ha aceptado de conformidad el servicio. </w:t>
      </w:r>
    </w:p>
    <w:p w14:paraId="6C591A42" w14:textId="77777777" w:rsidR="0015192E" w:rsidRPr="00422CA2" w:rsidRDefault="0015192E">
      <w:pPr>
        <w:pStyle w:val="Prrafodelista"/>
        <w:numPr>
          <w:ilvl w:val="0"/>
          <w:numId w:val="121"/>
        </w:num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Una vez que se haya aceptado el servicio, se entregará un Acta de Recepción del Servicio y se comenzará a facturar la renta correspondiente. </w:t>
      </w:r>
    </w:p>
    <w:p w14:paraId="31514A7E" w14:textId="77777777" w:rsidR="0015192E" w:rsidRPr="00422CA2" w:rsidRDefault="0015192E">
      <w:pPr>
        <w:pStyle w:val="Ttulo1"/>
      </w:pPr>
      <w:bookmarkStart w:id="929" w:name="_Toc436840954"/>
      <w:bookmarkStart w:id="930" w:name="_Toc436846391"/>
      <w:bookmarkStart w:id="931" w:name="_Toc436848341"/>
      <w:bookmarkStart w:id="932" w:name="_Toc436856589"/>
      <w:bookmarkStart w:id="933" w:name="_Toc436862735"/>
      <w:bookmarkStart w:id="934" w:name="_Toc436866385"/>
      <w:bookmarkStart w:id="935" w:name="_Toc436870964"/>
      <w:bookmarkStart w:id="936" w:name="_Toc436875956"/>
      <w:bookmarkStart w:id="937" w:name="_Toc437602151"/>
      <w:r w:rsidRPr="00422CA2">
        <w:t>11.2</w:t>
      </w:r>
      <w:r w:rsidRPr="00422CA2">
        <w:tab/>
        <w:t>Parámetros e Indicadores de Calidad de Trabajos Especiales</w:t>
      </w:r>
      <w:bookmarkEnd w:id="929"/>
      <w:bookmarkEnd w:id="930"/>
      <w:bookmarkEnd w:id="931"/>
      <w:bookmarkEnd w:id="932"/>
      <w:bookmarkEnd w:id="933"/>
      <w:bookmarkEnd w:id="934"/>
      <w:bookmarkEnd w:id="935"/>
      <w:bookmarkEnd w:id="936"/>
      <w:bookmarkEnd w:id="937"/>
    </w:p>
    <w:p w14:paraId="16A388A3" w14:textId="77777777" w:rsidR="0015192E" w:rsidRPr="00422CA2" w:rsidRDefault="0015192E" w:rsidP="0015192E">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En esta sección se muestran los parámetros e indicadores de calidad del Servicio de Trabajos Especiales. Estos parámetros e indicadores corresponden a los utilizados en la propia operación de Telmex, y se medirán con una periodicidad trimestral por cada uno de los CS.</w:t>
      </w:r>
    </w:p>
    <w:p w14:paraId="1ABD85EC" w14:textId="77777777" w:rsidR="0015192E" w:rsidRPr="00422CA2" w:rsidRDefault="0015192E" w:rsidP="0015192E">
      <w:pPr>
        <w:autoSpaceDE w:val="0"/>
        <w:autoSpaceDN w:val="0"/>
        <w:adjustRightInd w:val="0"/>
        <w:spacing w:after="200" w:line="276" w:lineRule="auto"/>
        <w:jc w:val="both"/>
        <w:rPr>
          <w:rFonts w:ascii="ITC Avant Garde" w:hAnsi="ITC Avant Garde" w:cs="Arial"/>
          <w:sz w:val="22"/>
          <w:szCs w:val="22"/>
        </w:rPr>
      </w:pPr>
      <w:r w:rsidRPr="00422CA2">
        <w:rPr>
          <w:rFonts w:ascii="ITC Avant Garde" w:hAnsi="ITC Avant Garde" w:cs="Arial"/>
          <w:sz w:val="22"/>
          <w:szCs w:val="22"/>
        </w:rPr>
        <w:t xml:space="preserve">Debido a la naturaleza de los Trabajos Especiales, los plazos de entrega serán notificados al CS como una fecha compromiso. </w:t>
      </w:r>
    </w:p>
    <w:p w14:paraId="73C764C1" w14:textId="77777777" w:rsidR="0015192E" w:rsidRPr="00422CA2" w:rsidRDefault="0015192E" w:rsidP="002C01C4">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Parámetros e Indicadores para Provisión del Servicio</w:t>
      </w:r>
    </w:p>
    <w:p w14:paraId="43713EE4" w14:textId="77777777" w:rsidR="0015192E" w:rsidRPr="00422CA2" w:rsidRDefault="0015192E">
      <w:pPr>
        <w:pStyle w:val="Prrafodelista"/>
        <w:numPr>
          <w:ilvl w:val="0"/>
          <w:numId w:val="32"/>
        </w:numPr>
        <w:spacing w:after="200" w:line="276" w:lineRule="auto"/>
        <w:ind w:left="993"/>
        <w:jc w:val="both"/>
        <w:rPr>
          <w:rFonts w:ascii="ITC Avant Garde" w:hAnsi="ITC Avant Garde"/>
          <w:sz w:val="22"/>
          <w:szCs w:val="22"/>
          <w:lang w:val="es-MX"/>
        </w:rPr>
      </w:pPr>
      <w:r w:rsidRPr="00422CA2">
        <w:rPr>
          <w:rFonts w:ascii="ITC Avant Garde" w:hAnsi="ITC Avant Garde"/>
          <w:sz w:val="22"/>
          <w:szCs w:val="22"/>
          <w:lang w:val="es-MX"/>
        </w:rPr>
        <w:t xml:space="preserve">Entrega de </w:t>
      </w:r>
      <w:r w:rsidRPr="00422CA2">
        <w:rPr>
          <w:rFonts w:ascii="ITC Avant Garde" w:hAnsi="ITC Avant Garde" w:cs="Arial"/>
          <w:sz w:val="22"/>
          <w:szCs w:val="22"/>
        </w:rPr>
        <w:t xml:space="preserve">los términos bajo los cuales se ofrecerá el servicio </w:t>
      </w:r>
      <w:r w:rsidRPr="00422CA2">
        <w:rPr>
          <w:rFonts w:ascii="ITC Avant Garde" w:hAnsi="ITC Avant Garde"/>
          <w:sz w:val="22"/>
          <w:szCs w:val="22"/>
          <w:lang w:val="es-MX"/>
        </w:rPr>
        <w:t xml:space="preserve">en tiempo: </w:t>
      </w:r>
      <w:r w:rsidRPr="00422CA2">
        <w:rPr>
          <w:rFonts w:ascii="ITC Avant Garde" w:hAnsi="ITC Avant Garde" w:cs="Arial"/>
          <w:sz w:val="22"/>
          <w:szCs w:val="22"/>
        </w:rPr>
        <w:t xml:space="preserve">90% en un máximo de 10 días hábiles. </w:t>
      </w:r>
      <w:r w:rsidRPr="00422CA2">
        <w:rPr>
          <w:rFonts w:ascii="ITC Avant Garde" w:hAnsi="ITC Avant Garde"/>
          <w:sz w:val="22"/>
          <w:szCs w:val="22"/>
          <w:lang w:val="es-MX"/>
        </w:rPr>
        <w:t>El 10% restante en un máximo de 15 días hábiles.</w:t>
      </w:r>
    </w:p>
    <w:p w14:paraId="6A86978D" w14:textId="77777777" w:rsidR="0015192E" w:rsidRPr="00422CA2" w:rsidRDefault="0015192E">
      <w:pPr>
        <w:pStyle w:val="Prrafodelista"/>
        <w:numPr>
          <w:ilvl w:val="0"/>
          <w:numId w:val="32"/>
        </w:numPr>
        <w:spacing w:after="200" w:line="276" w:lineRule="auto"/>
        <w:ind w:left="993"/>
        <w:jc w:val="both"/>
        <w:rPr>
          <w:rFonts w:ascii="ITC Avant Garde" w:hAnsi="ITC Avant Garde"/>
          <w:sz w:val="22"/>
          <w:szCs w:val="22"/>
          <w:lang w:val="es-MX"/>
        </w:rPr>
      </w:pPr>
      <w:r w:rsidRPr="00422CA2">
        <w:rPr>
          <w:rFonts w:ascii="ITC Avant Garde" w:hAnsi="ITC Avant Garde"/>
          <w:sz w:val="22"/>
          <w:szCs w:val="22"/>
          <w:lang w:val="es-MX"/>
        </w:rPr>
        <w:t>Servicios habilitados en tiempo: 90%</w:t>
      </w:r>
      <w:r w:rsidRPr="00422CA2">
        <w:rPr>
          <w:rStyle w:val="Refdenotaalpie"/>
          <w:rFonts w:ascii="ITC Avant Garde" w:hAnsi="ITC Avant Garde"/>
          <w:sz w:val="22"/>
          <w:szCs w:val="22"/>
          <w:lang w:val="es-MX"/>
        </w:rPr>
        <w:footnoteReference w:id="61"/>
      </w:r>
      <w:r w:rsidRPr="00422CA2">
        <w:rPr>
          <w:rFonts w:ascii="ITC Avant Garde" w:hAnsi="ITC Avant Garde"/>
          <w:sz w:val="22"/>
          <w:szCs w:val="22"/>
          <w:lang w:val="es-MX"/>
        </w:rPr>
        <w:t xml:space="preserve"> en el plazo compromiso. El 10% restante en un máximo de un 50% extra del plazo original.</w:t>
      </w:r>
    </w:p>
    <w:p w14:paraId="0D5A6BD2" w14:textId="77777777" w:rsidR="0015192E" w:rsidRPr="00422CA2" w:rsidRDefault="0015192E">
      <w:pPr>
        <w:spacing w:after="200" w:line="276" w:lineRule="auto"/>
        <w:jc w:val="both"/>
        <w:rPr>
          <w:rFonts w:ascii="ITC Avant Garde" w:hAnsi="ITC Avant Garde"/>
          <w:b/>
          <w:sz w:val="22"/>
          <w:szCs w:val="22"/>
          <w:lang w:val="es-MX"/>
        </w:rPr>
      </w:pPr>
      <w:r w:rsidRPr="00422CA2">
        <w:rPr>
          <w:rFonts w:ascii="ITC Avant Garde" w:hAnsi="ITC Avant Garde"/>
          <w:b/>
          <w:sz w:val="22"/>
          <w:szCs w:val="22"/>
          <w:lang w:val="es-MX"/>
        </w:rPr>
        <w:t>Metodología</w:t>
      </w:r>
    </w:p>
    <w:p w14:paraId="60E704C5" w14:textId="77777777" w:rsidR="0015192E" w:rsidRPr="00422CA2" w:rsidRDefault="0015192E">
      <w:pPr>
        <w:spacing w:after="200" w:line="276" w:lineRule="auto"/>
        <w:jc w:val="both"/>
        <w:rPr>
          <w:rFonts w:ascii="ITC Avant Garde" w:hAnsi="ITC Avant Garde"/>
          <w:sz w:val="22"/>
          <w:szCs w:val="22"/>
          <w:lang w:val="es-MX"/>
        </w:rPr>
      </w:pPr>
      <w:r w:rsidRPr="00422CA2">
        <w:rPr>
          <w:rFonts w:ascii="ITC Avant Garde" w:hAnsi="ITC Avant Garde"/>
          <w:sz w:val="22"/>
          <w:szCs w:val="22"/>
          <w:lang w:val="es-MX"/>
        </w:rPr>
        <w:t xml:space="preserve">Para realizar la medición de los indicadores presentados, se descontarán los plazos de entrega comprometidos de los días totales utilizados para la realización del trabajo especial, considerando como inicio del proceso el día siguiente al que se realizó el pago del trabajo especial por parte del CS. </w:t>
      </w:r>
    </w:p>
    <w:p w14:paraId="1B5A935B" w14:textId="3E238905" w:rsidR="00C751BB" w:rsidRPr="00422CA2" w:rsidRDefault="00C751BB" w:rsidP="0015192E">
      <w:pPr>
        <w:spacing w:after="200" w:line="276" w:lineRule="auto"/>
        <w:jc w:val="both"/>
        <w:rPr>
          <w:rFonts w:ascii="ITC Avant Garde" w:hAnsi="ITC Avant Garde" w:cs="Arial"/>
          <w:sz w:val="22"/>
          <w:szCs w:val="22"/>
          <w:lang w:val="es-MX" w:eastAsia="es-MX"/>
        </w:rPr>
      </w:pPr>
    </w:p>
    <w:p w14:paraId="52CDB831" w14:textId="77777777" w:rsidR="00E12D30" w:rsidRPr="00422CA2" w:rsidRDefault="00E12D30">
      <w:pPr>
        <w:spacing w:after="200" w:line="276" w:lineRule="auto"/>
        <w:jc w:val="both"/>
        <w:rPr>
          <w:rFonts w:ascii="ITC Avant Garde" w:hAnsi="ITC Avant Garde" w:cs="Arial"/>
          <w:sz w:val="22"/>
          <w:szCs w:val="22"/>
          <w:lang w:val="es-MX" w:eastAsia="es-MX"/>
        </w:rPr>
      </w:pPr>
    </w:p>
    <w:sectPr w:rsidR="00E12D30" w:rsidRPr="00422CA2" w:rsidSect="00A26B23">
      <w:pgSz w:w="12242" w:h="15842" w:code="1"/>
      <w:pgMar w:top="1417" w:right="1701" w:bottom="1417" w:left="1701" w:header="567" w:footer="56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471DD9" w14:textId="77777777" w:rsidR="009E191A" w:rsidRDefault="009E191A">
      <w:r>
        <w:separator/>
      </w:r>
    </w:p>
    <w:p w14:paraId="4250C55B" w14:textId="77777777" w:rsidR="009E191A" w:rsidRDefault="009E191A"/>
  </w:endnote>
  <w:endnote w:type="continuationSeparator" w:id="0">
    <w:p w14:paraId="0DBEFD00" w14:textId="77777777" w:rsidR="009E191A" w:rsidRDefault="009E191A">
      <w:r>
        <w:continuationSeparator/>
      </w:r>
    </w:p>
    <w:p w14:paraId="72FCA517" w14:textId="77777777" w:rsidR="009E191A" w:rsidRDefault="009E191A"/>
  </w:endnote>
  <w:endnote w:type="continuationNotice" w:id="1">
    <w:p w14:paraId="48590C2A" w14:textId="77777777" w:rsidR="009E191A" w:rsidRDefault="009E191A"/>
    <w:p w14:paraId="1B34812D" w14:textId="77777777" w:rsidR="009E191A" w:rsidRDefault="009E19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ITC Avant Garde">
    <w:panose1 w:val="020B0402020203020304"/>
    <w:charset w:val="00"/>
    <w:family w:val="swiss"/>
    <w:pitch w:val="variable"/>
    <w:sig w:usb0="00000007" w:usb1="00000000" w:usb2="00000000" w:usb3="00000000" w:csb0="00000093"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4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Helvetica">
    <w:panose1 w:val="020B05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86117" w14:textId="73313692" w:rsidR="00CA026A" w:rsidRPr="00C82861" w:rsidRDefault="00CA026A" w:rsidP="00DD6B0F">
    <w:pPr>
      <w:pStyle w:val="Piedepgina"/>
      <w:jc w:val="right"/>
      <w:rPr>
        <w:rFonts w:ascii="ITC Avant Garde" w:hAnsi="ITC Avant Garde"/>
        <w:sz w:val="18"/>
      </w:rPr>
    </w:pPr>
    <w:r w:rsidRPr="00C82861">
      <w:rPr>
        <w:rFonts w:ascii="ITC Avant Garde" w:hAnsi="ITC Avant Garde"/>
        <w:b/>
        <w:sz w:val="18"/>
      </w:rPr>
      <w:fldChar w:fldCharType="begin"/>
    </w:r>
    <w:r w:rsidRPr="00C82861">
      <w:rPr>
        <w:rFonts w:ascii="ITC Avant Garde" w:hAnsi="ITC Avant Garde"/>
        <w:b/>
        <w:sz w:val="18"/>
      </w:rPr>
      <w:instrText>PAGE</w:instrText>
    </w:r>
    <w:r w:rsidRPr="00C82861">
      <w:rPr>
        <w:rFonts w:ascii="ITC Avant Garde" w:hAnsi="ITC Avant Garde"/>
        <w:b/>
        <w:sz w:val="18"/>
      </w:rPr>
      <w:fldChar w:fldCharType="separate"/>
    </w:r>
    <w:r w:rsidR="002818A3">
      <w:rPr>
        <w:rFonts w:ascii="ITC Avant Garde" w:hAnsi="ITC Avant Garde"/>
        <w:b/>
        <w:noProof/>
        <w:sz w:val="18"/>
      </w:rPr>
      <w:t>1</w:t>
    </w:r>
    <w:r w:rsidRPr="00C82861">
      <w:rPr>
        <w:rFonts w:ascii="ITC Avant Garde" w:hAnsi="ITC Avant Garde"/>
        <w:b/>
        <w:sz w:val="18"/>
      </w:rPr>
      <w:fldChar w:fldCharType="end"/>
    </w:r>
    <w:r w:rsidRPr="00C82861">
      <w:rPr>
        <w:rFonts w:ascii="ITC Avant Garde" w:hAnsi="ITC Avant Garde"/>
        <w:sz w:val="18"/>
      </w:rPr>
      <w:t xml:space="preserve"> de </w:t>
    </w:r>
    <w:r w:rsidRPr="00C82861">
      <w:rPr>
        <w:rFonts w:ascii="ITC Avant Garde" w:hAnsi="ITC Avant Garde"/>
        <w:b/>
        <w:sz w:val="18"/>
      </w:rPr>
      <w:fldChar w:fldCharType="begin"/>
    </w:r>
    <w:r w:rsidRPr="00C82861">
      <w:rPr>
        <w:rFonts w:ascii="ITC Avant Garde" w:hAnsi="ITC Avant Garde"/>
        <w:b/>
        <w:sz w:val="18"/>
      </w:rPr>
      <w:instrText>NUMPAGES</w:instrText>
    </w:r>
    <w:r w:rsidRPr="00C82861">
      <w:rPr>
        <w:rFonts w:ascii="ITC Avant Garde" w:hAnsi="ITC Avant Garde"/>
        <w:b/>
        <w:sz w:val="18"/>
      </w:rPr>
      <w:fldChar w:fldCharType="separate"/>
    </w:r>
    <w:r w:rsidR="002818A3">
      <w:rPr>
        <w:rFonts w:ascii="ITC Avant Garde" w:hAnsi="ITC Avant Garde"/>
        <w:b/>
        <w:noProof/>
        <w:sz w:val="18"/>
      </w:rPr>
      <w:t>232</w:t>
    </w:r>
    <w:r w:rsidRPr="00C82861">
      <w:rPr>
        <w:rFonts w:ascii="ITC Avant Garde" w:hAnsi="ITC Avant Garde"/>
        <w:b/>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343E9C" w14:textId="77777777" w:rsidR="009E191A" w:rsidRDefault="009E191A">
      <w:r>
        <w:separator/>
      </w:r>
    </w:p>
    <w:p w14:paraId="5E52BF76" w14:textId="77777777" w:rsidR="009E191A" w:rsidRDefault="009E191A"/>
  </w:footnote>
  <w:footnote w:type="continuationSeparator" w:id="0">
    <w:p w14:paraId="25D1A043" w14:textId="77777777" w:rsidR="009E191A" w:rsidRDefault="009E191A">
      <w:r>
        <w:continuationSeparator/>
      </w:r>
    </w:p>
    <w:p w14:paraId="75FDF351" w14:textId="77777777" w:rsidR="009E191A" w:rsidRDefault="009E191A"/>
  </w:footnote>
  <w:footnote w:type="continuationNotice" w:id="1">
    <w:p w14:paraId="1BCAB9AB" w14:textId="77777777" w:rsidR="009E191A" w:rsidRDefault="009E191A"/>
    <w:p w14:paraId="4B41A2BF" w14:textId="77777777" w:rsidR="009E191A" w:rsidRDefault="009E191A"/>
  </w:footnote>
  <w:footnote w:id="2">
    <w:p w14:paraId="6551A79E" w14:textId="77777777" w:rsidR="00CA026A" w:rsidRPr="00697D1C" w:rsidRDefault="00CA026A" w:rsidP="00220D97">
      <w:pPr>
        <w:pStyle w:val="Textonotapie"/>
        <w:rPr>
          <w:rFonts w:ascii="ITC Avant Garde" w:hAnsi="ITC Avant Garde"/>
          <w:sz w:val="16"/>
          <w:szCs w:val="16"/>
        </w:rPr>
      </w:pPr>
      <w:r w:rsidRPr="00697D1C">
        <w:rPr>
          <w:rStyle w:val="Refdenotaalpie"/>
          <w:rFonts w:ascii="ITC Avant Garde" w:hAnsi="ITC Avant Garde"/>
          <w:sz w:val="16"/>
          <w:szCs w:val="16"/>
        </w:rPr>
        <w:footnoteRef/>
      </w:r>
      <w:r w:rsidRPr="00697D1C">
        <w:rPr>
          <w:rFonts w:ascii="ITC Avant Garde" w:hAnsi="ITC Avant Garde"/>
          <w:sz w:val="16"/>
          <w:szCs w:val="16"/>
        </w:rPr>
        <w:t xml:space="preserve"> </w:t>
      </w:r>
      <w:r w:rsidRPr="00697D1C">
        <w:rPr>
          <w:rFonts w:ascii="ITC Avant Garde" w:hAnsi="ITC Avant Garde"/>
          <w:sz w:val="16"/>
          <w:szCs w:val="16"/>
          <w:lang w:val="es-ES"/>
        </w:rPr>
        <w:t>Por ejemplo el modelo e-TOM para empresas de Telecomunicaciones</w:t>
      </w:r>
    </w:p>
  </w:footnote>
  <w:footnote w:id="3">
    <w:p w14:paraId="40E8611F" w14:textId="77777777" w:rsidR="00CA026A" w:rsidRPr="00B303D2" w:rsidRDefault="00CA026A" w:rsidP="000E392C">
      <w:pPr>
        <w:pStyle w:val="Textonotapie"/>
        <w:jc w:val="both"/>
        <w:rPr>
          <w:rFonts w:ascii="ITC Avant Garde" w:hAnsi="ITC Avant Garde"/>
          <w:sz w:val="16"/>
          <w:szCs w:val="16"/>
        </w:rPr>
      </w:pPr>
      <w:r w:rsidRPr="00B303D2">
        <w:rPr>
          <w:rStyle w:val="Refdenotaalpie"/>
          <w:rFonts w:ascii="ITC Avant Garde" w:hAnsi="ITC Avant Garde"/>
          <w:sz w:val="16"/>
          <w:szCs w:val="16"/>
        </w:rPr>
        <w:footnoteRef/>
      </w:r>
      <w:r w:rsidRPr="00B303D2">
        <w:rPr>
          <w:rFonts w:ascii="ITC Avant Garde" w:hAnsi="ITC Avant Garde"/>
          <w:sz w:val="16"/>
          <w:szCs w:val="16"/>
        </w:rPr>
        <w:t xml:space="preserve"> No es posible garantizar que al momento en que el CS contrate los servicios, los recursos de red asociados se encuentren en las mismas condiciones físicas y eléctricas que se hubieran consultado en las bases de</w:t>
      </w:r>
      <w:r w:rsidRPr="000E392C">
        <w:rPr>
          <w:sz w:val="20"/>
          <w:szCs w:val="20"/>
        </w:rPr>
        <w:t xml:space="preserve"> datos, ya </w:t>
      </w:r>
      <w:r w:rsidRPr="00B303D2">
        <w:rPr>
          <w:rFonts w:ascii="ITC Avant Garde" w:hAnsi="ITC Avant Garde"/>
          <w:sz w:val="16"/>
          <w:szCs w:val="16"/>
        </w:rPr>
        <w:t>que la red va cambiando sus condiciones y la información sufre continuos cambios derivado de la operación diaria.</w:t>
      </w:r>
    </w:p>
  </w:footnote>
  <w:footnote w:id="4">
    <w:p w14:paraId="4412F969" w14:textId="6C3EF156" w:rsidR="00CA026A" w:rsidRPr="00B303D2" w:rsidRDefault="00CA026A" w:rsidP="006A046A">
      <w:pPr>
        <w:pStyle w:val="Textonotapie"/>
        <w:jc w:val="both"/>
        <w:rPr>
          <w:rFonts w:ascii="ITC Avant Garde" w:hAnsi="ITC Avant Garde"/>
          <w:sz w:val="16"/>
          <w:szCs w:val="16"/>
          <w:lang w:val="es-MX"/>
        </w:rPr>
      </w:pPr>
      <w:r w:rsidRPr="00B303D2">
        <w:rPr>
          <w:rStyle w:val="Refdenotaalpie"/>
          <w:rFonts w:ascii="ITC Avant Garde" w:hAnsi="ITC Avant Garde"/>
          <w:sz w:val="16"/>
          <w:szCs w:val="16"/>
        </w:rPr>
        <w:footnoteRef/>
      </w:r>
      <w:r w:rsidRPr="00B303D2">
        <w:rPr>
          <w:rFonts w:ascii="ITC Avant Garde" w:hAnsi="ITC Avant Garde"/>
          <w:sz w:val="16"/>
          <w:szCs w:val="16"/>
        </w:rPr>
        <w:t xml:space="preserve"> </w:t>
      </w:r>
      <w:r w:rsidRPr="00B303D2">
        <w:rPr>
          <w:rFonts w:ascii="ITC Avant Garde" w:hAnsi="ITC Avant Garde"/>
          <w:sz w:val="16"/>
          <w:szCs w:val="16"/>
          <w:lang w:val="es-MX"/>
        </w:rPr>
        <w:t xml:space="preserve">En caso de que el </w:t>
      </w:r>
      <w:r w:rsidRPr="00B303D2">
        <w:rPr>
          <w:rFonts w:ascii="ITC Avant Garde" w:hAnsi="ITC Avant Garde"/>
          <w:bCs/>
          <w:sz w:val="16"/>
          <w:szCs w:val="16"/>
          <w:lang w:val="es-MX"/>
        </w:rPr>
        <w:t>formato de verificación de la voluntad</w:t>
      </w:r>
      <w:r w:rsidRPr="00B303D2">
        <w:rPr>
          <w:rFonts w:ascii="ITC Avant Garde" w:hAnsi="ITC Avant Garde"/>
          <w:sz w:val="16"/>
          <w:szCs w:val="16"/>
          <w:lang w:val="es-MX"/>
        </w:rPr>
        <w:t xml:space="preserve"> sea firmado por el usuario final, el </w:t>
      </w:r>
      <w:r w:rsidRPr="00104B1B">
        <w:rPr>
          <w:rFonts w:ascii="ITC Avant Garde" w:hAnsi="ITC Avant Garde"/>
          <w:sz w:val="16"/>
          <w:szCs w:val="16"/>
          <w:lang w:val="es-MX"/>
        </w:rPr>
        <w:t>nuevo proveedor del servicio (receptor)</w:t>
      </w:r>
      <w:r w:rsidRPr="00B303D2">
        <w:rPr>
          <w:rFonts w:ascii="ITC Avant Garde" w:hAnsi="ITC Avant Garde"/>
          <w:sz w:val="16"/>
          <w:szCs w:val="16"/>
          <w:lang w:val="es-MX"/>
        </w:rPr>
        <w:t xml:space="preserve"> deberá resguardar el documento en el que el suscriptor da su consentimiento al usuario final de realizar la contratación o modificación de los servicios de telecomunicaciones.</w:t>
      </w:r>
    </w:p>
  </w:footnote>
  <w:footnote w:id="5">
    <w:p w14:paraId="13BBA8D5" w14:textId="77777777" w:rsidR="00CA026A" w:rsidRPr="001A53AC" w:rsidRDefault="00CA026A" w:rsidP="00532914">
      <w:pPr>
        <w:pStyle w:val="Textonotapie"/>
        <w:rPr>
          <w:rFonts w:ascii="ITC Avant Garde" w:hAnsi="ITC Avant Garde"/>
          <w:sz w:val="16"/>
          <w:szCs w:val="16"/>
          <w:lang w:val="es-MX"/>
        </w:rPr>
      </w:pPr>
      <w:r w:rsidRPr="000C6362">
        <w:rPr>
          <w:rStyle w:val="Refdenotaalpie"/>
          <w:rFonts w:ascii="ITC Avant Garde" w:hAnsi="ITC Avant Garde"/>
          <w:sz w:val="22"/>
          <w:szCs w:val="22"/>
        </w:rPr>
        <w:footnoteRef/>
      </w:r>
      <w:r w:rsidRPr="001A53AC">
        <w:rPr>
          <w:rFonts w:ascii="ITC Avant Garde" w:hAnsi="ITC Avant Garde"/>
          <w:sz w:val="16"/>
          <w:szCs w:val="16"/>
        </w:rPr>
        <w:t xml:space="preserve"> </w:t>
      </w:r>
      <w:r w:rsidRPr="001A53AC">
        <w:rPr>
          <w:rFonts w:ascii="ITC Avant Garde" w:hAnsi="ITC Avant Garde"/>
          <w:sz w:val="16"/>
          <w:szCs w:val="16"/>
          <w:lang w:val="es-MX"/>
        </w:rPr>
        <w:t>Como referencia Telmex solicitará la siguiente documentación en caso de ser el nuevo proveedor:</w:t>
      </w:r>
    </w:p>
    <w:p w14:paraId="2148BF49" w14:textId="77777777" w:rsidR="00CA026A" w:rsidRPr="001A53AC" w:rsidRDefault="00CA026A" w:rsidP="00532914">
      <w:pPr>
        <w:pStyle w:val="Prrafodelista"/>
        <w:numPr>
          <w:ilvl w:val="0"/>
          <w:numId w:val="45"/>
        </w:numPr>
        <w:spacing w:line="360" w:lineRule="auto"/>
        <w:jc w:val="both"/>
        <w:rPr>
          <w:rFonts w:ascii="ITC Avant Garde" w:hAnsi="ITC Avant Garde"/>
          <w:b/>
          <w:bCs/>
          <w:sz w:val="16"/>
          <w:szCs w:val="16"/>
        </w:rPr>
      </w:pPr>
      <w:r w:rsidRPr="001A53AC">
        <w:rPr>
          <w:rFonts w:ascii="ITC Avant Garde" w:hAnsi="ITC Avant Garde"/>
          <w:b/>
          <w:bCs/>
          <w:sz w:val="16"/>
          <w:szCs w:val="16"/>
        </w:rPr>
        <w:t xml:space="preserve">Requisitos para líneas Residenciales: </w:t>
      </w:r>
    </w:p>
    <w:p w14:paraId="7EDF0711" w14:textId="5CE0555A" w:rsidR="00CA026A" w:rsidDel="008A520C" w:rsidRDefault="00CA026A" w:rsidP="00532914">
      <w:pPr>
        <w:numPr>
          <w:ilvl w:val="0"/>
          <w:numId w:val="31"/>
        </w:numPr>
        <w:spacing w:line="360" w:lineRule="auto"/>
        <w:jc w:val="both"/>
        <w:rPr>
          <w:rFonts w:ascii="ITC Avant Garde" w:hAnsi="ITC Avant Garde" w:cs="Arial"/>
          <w:sz w:val="16"/>
          <w:szCs w:val="16"/>
        </w:rPr>
      </w:pPr>
      <w:r w:rsidRPr="001A53AC" w:rsidDel="008A520C">
        <w:rPr>
          <w:rFonts w:ascii="ITC Avant Garde" w:hAnsi="ITC Avant Garde" w:cs="Arial"/>
          <w:sz w:val="16"/>
          <w:szCs w:val="16"/>
        </w:rPr>
        <w:t xml:space="preserve">Solicitud con firma autógrafa del </w:t>
      </w:r>
      <w:r w:rsidDel="008A520C">
        <w:rPr>
          <w:rFonts w:ascii="ITC Avant Garde" w:hAnsi="ITC Avant Garde" w:cs="Arial"/>
          <w:sz w:val="16"/>
          <w:szCs w:val="16"/>
        </w:rPr>
        <w:t>suscriptor/</w:t>
      </w:r>
      <w:r w:rsidRPr="001A53AC" w:rsidDel="008A520C">
        <w:rPr>
          <w:rFonts w:ascii="ITC Avant Garde" w:hAnsi="ITC Avant Garde" w:cs="Arial"/>
          <w:sz w:val="16"/>
          <w:szCs w:val="16"/>
        </w:rPr>
        <w:t>usuario final expresando su voluntad de cambiar de proveedor de servicios de telecomunicaciones;</w:t>
      </w:r>
    </w:p>
    <w:p w14:paraId="2F92A4C4" w14:textId="77777777" w:rsidR="00CA026A" w:rsidRPr="002A5D72" w:rsidRDefault="00CA026A" w:rsidP="002A5D72">
      <w:pPr>
        <w:numPr>
          <w:ilvl w:val="0"/>
          <w:numId w:val="31"/>
        </w:numPr>
        <w:spacing w:line="360" w:lineRule="auto"/>
        <w:jc w:val="both"/>
        <w:rPr>
          <w:rFonts w:ascii="ITC Avant Garde" w:hAnsi="ITC Avant Garde" w:cs="Arial"/>
          <w:sz w:val="16"/>
          <w:szCs w:val="16"/>
        </w:rPr>
      </w:pPr>
      <w:r w:rsidRPr="002A5D72" w:rsidDel="008A520C">
        <w:rPr>
          <w:rFonts w:ascii="ITC Avant Garde" w:hAnsi="ITC Avant Garde" w:cs="Arial"/>
          <w:sz w:val="16"/>
          <w:szCs w:val="16"/>
        </w:rPr>
        <w:t>El consentimiento por parte suscriptor al usuario final para realizar la contratación o modificación de los servicios de telecomunicaciones</w:t>
      </w:r>
      <w:r w:rsidRPr="002A5D72">
        <w:rPr>
          <w:rFonts w:ascii="ITC Avant Garde" w:hAnsi="ITC Avant Garde" w:cs="Arial"/>
          <w:sz w:val="16"/>
          <w:szCs w:val="16"/>
        </w:rPr>
        <w:t>;</w:t>
      </w:r>
    </w:p>
    <w:p w14:paraId="4D1F162E" w14:textId="65D3FD5C" w:rsidR="00CA026A" w:rsidRPr="001A53AC" w:rsidRDefault="00CA026A" w:rsidP="00532914">
      <w:pPr>
        <w:numPr>
          <w:ilvl w:val="0"/>
          <w:numId w:val="31"/>
        </w:numPr>
        <w:spacing w:line="360" w:lineRule="auto"/>
        <w:jc w:val="both"/>
        <w:rPr>
          <w:rFonts w:ascii="ITC Avant Garde" w:hAnsi="ITC Avant Garde" w:cs="Arial"/>
          <w:sz w:val="16"/>
          <w:szCs w:val="16"/>
        </w:rPr>
      </w:pPr>
      <w:r w:rsidRPr="001A53AC">
        <w:rPr>
          <w:rFonts w:ascii="ITC Avant Garde" w:hAnsi="ITC Avant Garde" w:cs="Arial"/>
          <w:sz w:val="16"/>
          <w:szCs w:val="16"/>
        </w:rPr>
        <w:t xml:space="preserve">Copia de la identificación oficial del </w:t>
      </w:r>
      <w:r>
        <w:rPr>
          <w:rFonts w:ascii="ITC Avant Garde" w:hAnsi="ITC Avant Garde" w:cs="Arial"/>
          <w:sz w:val="16"/>
          <w:szCs w:val="16"/>
        </w:rPr>
        <w:t>suscriptor/</w:t>
      </w:r>
      <w:r w:rsidRPr="001A53AC">
        <w:rPr>
          <w:rFonts w:ascii="ITC Avant Garde" w:hAnsi="ITC Avant Garde" w:cs="Arial"/>
          <w:sz w:val="16"/>
          <w:szCs w:val="16"/>
        </w:rPr>
        <w:t>usuario final;</w:t>
      </w:r>
    </w:p>
    <w:p w14:paraId="3CA2B80E" w14:textId="2850E00D" w:rsidR="00CA026A" w:rsidRPr="001A53AC" w:rsidRDefault="00CA026A" w:rsidP="00532914">
      <w:pPr>
        <w:pStyle w:val="Prrafodelista"/>
        <w:numPr>
          <w:ilvl w:val="0"/>
          <w:numId w:val="45"/>
        </w:numPr>
        <w:spacing w:line="360" w:lineRule="auto"/>
        <w:jc w:val="both"/>
        <w:rPr>
          <w:rFonts w:ascii="ITC Avant Garde" w:hAnsi="ITC Avant Garde"/>
          <w:b/>
          <w:bCs/>
          <w:sz w:val="16"/>
          <w:szCs w:val="16"/>
        </w:rPr>
      </w:pPr>
      <w:r>
        <w:rPr>
          <w:rFonts w:ascii="ITC Avant Garde" w:hAnsi="ITC Avant Garde"/>
          <w:b/>
          <w:bCs/>
          <w:sz w:val="16"/>
          <w:szCs w:val="16"/>
        </w:rPr>
        <w:t>Requisitos p</w:t>
      </w:r>
      <w:r w:rsidRPr="001A53AC">
        <w:rPr>
          <w:rFonts w:ascii="ITC Avant Garde" w:hAnsi="ITC Avant Garde"/>
          <w:b/>
          <w:bCs/>
          <w:sz w:val="16"/>
          <w:szCs w:val="16"/>
        </w:rPr>
        <w:t xml:space="preserve">ara líneas Comerciales: </w:t>
      </w:r>
    </w:p>
    <w:p w14:paraId="497BC6A7" w14:textId="77777777" w:rsidR="00CA026A" w:rsidRPr="001A53AC" w:rsidRDefault="00CA026A" w:rsidP="00532914">
      <w:pPr>
        <w:numPr>
          <w:ilvl w:val="0"/>
          <w:numId w:val="31"/>
        </w:numPr>
        <w:spacing w:line="360" w:lineRule="auto"/>
        <w:jc w:val="both"/>
        <w:rPr>
          <w:rFonts w:ascii="ITC Avant Garde" w:hAnsi="ITC Avant Garde" w:cs="Arial"/>
          <w:sz w:val="16"/>
          <w:szCs w:val="16"/>
        </w:rPr>
      </w:pPr>
      <w:r w:rsidRPr="001A53AC">
        <w:rPr>
          <w:rFonts w:ascii="ITC Avant Garde" w:hAnsi="ITC Avant Garde" w:cs="Arial"/>
          <w:sz w:val="16"/>
          <w:szCs w:val="16"/>
        </w:rPr>
        <w:t>Solicitud con firma autógrafa del Representante Legal expresando la voluntad del titular de la línea de cambiar de proveedor de servicios de telecomunicaciones;</w:t>
      </w:r>
    </w:p>
    <w:p w14:paraId="2C80DF25" w14:textId="10ABAC55" w:rsidR="00CA026A" w:rsidRPr="001A53AC" w:rsidRDefault="00CA026A" w:rsidP="00532914">
      <w:pPr>
        <w:numPr>
          <w:ilvl w:val="0"/>
          <w:numId w:val="31"/>
        </w:numPr>
        <w:spacing w:line="360" w:lineRule="auto"/>
        <w:jc w:val="both"/>
        <w:rPr>
          <w:rFonts w:ascii="ITC Avant Garde" w:hAnsi="ITC Avant Garde" w:cs="Arial"/>
          <w:sz w:val="16"/>
          <w:szCs w:val="16"/>
        </w:rPr>
      </w:pPr>
      <w:r w:rsidRPr="001A53AC">
        <w:rPr>
          <w:rFonts w:ascii="ITC Avant Garde" w:hAnsi="ITC Avant Garde" w:cs="Arial"/>
          <w:sz w:val="16"/>
          <w:szCs w:val="16"/>
        </w:rPr>
        <w:t>Copia de la Escritura pública en la que se otorga el poder con facultades para llevar a cabo actos de administración a favor del representante legal del Usuario final o Carta Poder Notarial;</w:t>
      </w:r>
      <w:r>
        <w:rPr>
          <w:rFonts w:ascii="ITC Avant Garde" w:hAnsi="ITC Avant Garde" w:cs="Arial"/>
          <w:sz w:val="16"/>
          <w:szCs w:val="16"/>
        </w:rPr>
        <w:t xml:space="preserve"> o</w:t>
      </w:r>
    </w:p>
    <w:p w14:paraId="66FD4630" w14:textId="77777777" w:rsidR="00CA026A" w:rsidRPr="001A53AC" w:rsidRDefault="00CA026A" w:rsidP="00532914">
      <w:pPr>
        <w:numPr>
          <w:ilvl w:val="0"/>
          <w:numId w:val="31"/>
        </w:numPr>
        <w:spacing w:line="360" w:lineRule="auto"/>
        <w:jc w:val="both"/>
        <w:rPr>
          <w:rFonts w:ascii="ITC Avant Garde" w:hAnsi="ITC Avant Garde" w:cs="Arial"/>
          <w:sz w:val="16"/>
          <w:szCs w:val="16"/>
        </w:rPr>
      </w:pPr>
      <w:r w:rsidRPr="001A53AC">
        <w:rPr>
          <w:rFonts w:ascii="ITC Avant Garde" w:hAnsi="ITC Avant Garde" w:cs="Arial"/>
          <w:sz w:val="16"/>
          <w:szCs w:val="16"/>
        </w:rPr>
        <w:t>Copia del Acta Constitutiva;</w:t>
      </w:r>
    </w:p>
    <w:p w14:paraId="1D7A7EAC" w14:textId="77777777" w:rsidR="00CA026A" w:rsidRPr="001A53AC" w:rsidRDefault="00CA026A" w:rsidP="00532914">
      <w:pPr>
        <w:numPr>
          <w:ilvl w:val="0"/>
          <w:numId w:val="31"/>
        </w:numPr>
        <w:spacing w:line="360" w:lineRule="auto"/>
        <w:jc w:val="both"/>
        <w:rPr>
          <w:rFonts w:ascii="ITC Avant Garde" w:hAnsi="ITC Avant Garde" w:cs="Arial"/>
          <w:sz w:val="16"/>
          <w:szCs w:val="16"/>
        </w:rPr>
      </w:pPr>
      <w:r w:rsidRPr="001A53AC">
        <w:rPr>
          <w:rFonts w:ascii="ITC Avant Garde" w:hAnsi="ITC Avant Garde" w:cs="Arial"/>
          <w:sz w:val="16"/>
          <w:szCs w:val="16"/>
        </w:rPr>
        <w:t>Copia de la Identificación oficial del Representante Legal;</w:t>
      </w:r>
    </w:p>
    <w:p w14:paraId="7F5A6126" w14:textId="77777777" w:rsidR="00CA026A" w:rsidRPr="001A53AC" w:rsidRDefault="00CA026A" w:rsidP="00532914">
      <w:pPr>
        <w:pStyle w:val="Textonotapie"/>
        <w:rPr>
          <w:lang w:val="es-MX"/>
        </w:rPr>
      </w:pPr>
    </w:p>
  </w:footnote>
  <w:footnote w:id="6">
    <w:p w14:paraId="40E86121" w14:textId="0D5F764B" w:rsidR="00CA026A" w:rsidRDefault="00CA026A">
      <w:pPr>
        <w:pStyle w:val="Textonotapie"/>
        <w:jc w:val="both"/>
        <w:rPr>
          <w:sz w:val="20"/>
          <w:szCs w:val="20"/>
        </w:rPr>
      </w:pPr>
      <w:r w:rsidRPr="00011A1B">
        <w:rPr>
          <w:rStyle w:val="Refdenotaalpie"/>
          <w:sz w:val="20"/>
          <w:szCs w:val="20"/>
        </w:rPr>
        <w:footnoteRef/>
      </w:r>
      <w:r w:rsidRPr="00011A1B">
        <w:rPr>
          <w:sz w:val="20"/>
          <w:szCs w:val="20"/>
        </w:rPr>
        <w:t xml:space="preserve"> </w:t>
      </w:r>
      <w:r w:rsidRPr="00526BB2">
        <w:rPr>
          <w:rFonts w:ascii="ITC Avant Garde" w:hAnsi="ITC Avant Garde"/>
          <w:sz w:val="16"/>
          <w:szCs w:val="16"/>
          <w:lang w:val="es-MX"/>
        </w:rPr>
        <w:t>De acuerdo al Plan Técnico Fundamental de Numeración</w:t>
      </w:r>
      <w:r>
        <w:rPr>
          <w:rFonts w:ascii="ITC Avant Garde" w:hAnsi="ITC Avant Garde"/>
          <w:sz w:val="16"/>
          <w:szCs w:val="16"/>
          <w:lang w:val="es-MX"/>
        </w:rPr>
        <w:t>.</w:t>
      </w:r>
    </w:p>
  </w:footnote>
  <w:footnote w:id="7">
    <w:p w14:paraId="5BF850AF" w14:textId="00B474CE" w:rsidR="00CA026A" w:rsidRPr="005248DC" w:rsidRDefault="00CA026A">
      <w:pPr>
        <w:pStyle w:val="Textonotapie"/>
        <w:rPr>
          <w:rFonts w:ascii="ITC Avant Garde" w:hAnsi="ITC Avant Garde"/>
          <w:sz w:val="16"/>
          <w:szCs w:val="16"/>
          <w:lang w:val="es-MX"/>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w:t>
      </w:r>
      <w:r w:rsidRPr="005248DC">
        <w:rPr>
          <w:rFonts w:ascii="ITC Avant Garde" w:hAnsi="ITC Avant Garde"/>
          <w:sz w:val="16"/>
          <w:szCs w:val="16"/>
          <w:lang w:val="es-MX"/>
        </w:rPr>
        <w:t>Es decir, sin que el cliente escuche referencia alguna a Telmex, sus servicios o cualquier otra que implique promoción de la marca o servicios que este ofrezca.</w:t>
      </w:r>
    </w:p>
  </w:footnote>
  <w:footnote w:id="8">
    <w:p w14:paraId="40E86123" w14:textId="77777777" w:rsidR="00CA026A" w:rsidRDefault="00CA026A">
      <w:pPr>
        <w:spacing w:line="360" w:lineRule="auto"/>
        <w:contextualSpacing/>
        <w:jc w:val="both"/>
        <w:rPr>
          <w:rFonts w:cs="Arial"/>
          <w:sz w:val="20"/>
          <w:szCs w:val="20"/>
          <w:lang w:val="es-MX"/>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Requiere</w:t>
      </w:r>
      <w:r w:rsidRPr="005248DC">
        <w:rPr>
          <w:rFonts w:ascii="ITC Avant Garde" w:hAnsi="ITC Avant Garde" w:cs="Arial"/>
          <w:sz w:val="16"/>
          <w:szCs w:val="16"/>
          <w:lang w:val="es-MX"/>
        </w:rPr>
        <w:t xml:space="preserve"> el uso de un aparato telefónico con </w:t>
      </w:r>
      <w:r w:rsidRPr="005248DC">
        <w:rPr>
          <w:rFonts w:ascii="ITC Avant Garde" w:hAnsi="ITC Avant Garde" w:cs="Arial"/>
          <w:i/>
          <w:sz w:val="16"/>
          <w:szCs w:val="16"/>
          <w:lang w:val="es-MX"/>
        </w:rPr>
        <w:t>display</w:t>
      </w:r>
      <w:r w:rsidRPr="005248DC">
        <w:rPr>
          <w:rFonts w:ascii="ITC Avant Garde" w:hAnsi="ITC Avant Garde" w:cs="Arial"/>
          <w:sz w:val="16"/>
          <w:szCs w:val="16"/>
          <w:lang w:val="es-MX"/>
        </w:rPr>
        <w:t>.</w:t>
      </w:r>
    </w:p>
  </w:footnote>
  <w:footnote w:id="9">
    <w:p w14:paraId="40E86125" w14:textId="77777777" w:rsidR="00CA026A" w:rsidRPr="005248DC" w:rsidRDefault="00CA026A">
      <w:pPr>
        <w:pStyle w:val="Textonotapie"/>
        <w:jc w:val="both"/>
        <w:rPr>
          <w:rFonts w:ascii="ITC Avant Garde" w:hAnsi="ITC Avant Garde"/>
          <w:sz w:val="16"/>
          <w:szCs w:val="16"/>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El CS podrá solicitar para usuarios comerciales la asignación de una IP fija, lo cual deberá ser señalado en la solicitud de contratación del servicio y tendrá el costo adicional que se aplica a los usuarios Telmex.</w:t>
      </w:r>
    </w:p>
  </w:footnote>
  <w:footnote w:id="10">
    <w:p w14:paraId="0BD7F773" w14:textId="4BFF7806" w:rsidR="00CA026A" w:rsidRPr="00493B51" w:rsidRDefault="00CA026A">
      <w:pPr>
        <w:pStyle w:val="Textonotapie"/>
        <w:rPr>
          <w:lang w:val="es-MX"/>
        </w:rPr>
      </w:pPr>
      <w:r>
        <w:rPr>
          <w:rStyle w:val="Refdenotaalpie"/>
        </w:rPr>
        <w:footnoteRef/>
      </w:r>
      <w:r>
        <w:t xml:space="preserve"> </w:t>
      </w:r>
      <w:r w:rsidRPr="00493B51">
        <w:rPr>
          <w:rFonts w:ascii="ITC Avant Garde" w:hAnsi="ITC Avant Garde"/>
          <w:sz w:val="16"/>
          <w:szCs w:val="16"/>
        </w:rPr>
        <w:t>El CS podrá solicitar para usuarios comerciales la asignación de una IP fija, la cual deberá ser señalada en la solicitud de contratación del servicio y tendrá el costo adicional que se aplica a los usuarios Telmex</w:t>
      </w:r>
      <w:r>
        <w:rPr>
          <w:rFonts w:ascii="ITC Avant Garde" w:hAnsi="ITC Avant Garde"/>
          <w:sz w:val="16"/>
          <w:szCs w:val="16"/>
        </w:rPr>
        <w:t>.</w:t>
      </w:r>
    </w:p>
  </w:footnote>
  <w:footnote w:id="11">
    <w:p w14:paraId="40E86127" w14:textId="77777777" w:rsidR="00CA026A" w:rsidRPr="005248DC" w:rsidRDefault="00CA026A">
      <w:pPr>
        <w:pStyle w:val="Textonotapie"/>
        <w:jc w:val="both"/>
        <w:rPr>
          <w:rFonts w:ascii="ITC Avant Garde" w:hAnsi="ITC Avant Garde"/>
          <w:sz w:val="16"/>
          <w:szCs w:val="16"/>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Si el módem será recogido en Tienda Telmex, será necesario que el usuario al momento de recoger el módem proporcione el folio de la orden de servicio.</w:t>
      </w:r>
    </w:p>
  </w:footnote>
  <w:footnote w:id="12">
    <w:p w14:paraId="3377EF4E" w14:textId="6C065C58" w:rsidR="00CA026A" w:rsidRPr="005248DC" w:rsidRDefault="00CA026A" w:rsidP="007D1FEB">
      <w:pPr>
        <w:pStyle w:val="Textonotapie"/>
        <w:jc w:val="both"/>
        <w:rPr>
          <w:rFonts w:ascii="ITC Avant Garde" w:hAnsi="ITC Avant Garde"/>
          <w:sz w:val="16"/>
          <w:szCs w:val="16"/>
          <w:lang w:val="es-MX"/>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w:t>
      </w:r>
      <w:r w:rsidRPr="005248DC">
        <w:rPr>
          <w:rFonts w:ascii="ITC Avant Garde" w:hAnsi="ITC Avant Garde"/>
          <w:sz w:val="16"/>
          <w:szCs w:val="16"/>
          <w:lang w:val="es-MX"/>
        </w:rPr>
        <w:t xml:space="preserve">En el caso de que un grupo de CS desee adquirir el lote mínimo deberán designar un responsable encargado de concertar con Telmex la adquisición del lote mínimo así como los puntos de distribución donde recogerá o recibirá los Módem y las ONTs. </w:t>
      </w:r>
    </w:p>
  </w:footnote>
  <w:footnote w:id="13">
    <w:p w14:paraId="40E86128" w14:textId="77777777" w:rsidR="00CA026A" w:rsidRPr="005248DC" w:rsidRDefault="00CA026A" w:rsidP="0074367B">
      <w:pPr>
        <w:pStyle w:val="Textonotapie"/>
        <w:rPr>
          <w:rFonts w:ascii="ITC Avant Garde" w:hAnsi="ITC Avant Garde"/>
          <w:sz w:val="16"/>
          <w:szCs w:val="16"/>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Dependiendo del proveedor y la cantidad solicitada, este tiempo mínimo puede variar.</w:t>
      </w:r>
    </w:p>
  </w:footnote>
  <w:footnote w:id="14">
    <w:p w14:paraId="40E86129" w14:textId="77777777" w:rsidR="00CA026A" w:rsidRPr="005248DC" w:rsidRDefault="00CA026A">
      <w:pPr>
        <w:pStyle w:val="Textonotapie"/>
        <w:jc w:val="both"/>
        <w:rPr>
          <w:rFonts w:ascii="ITC Avant Garde" w:hAnsi="ITC Avant Garde"/>
          <w:sz w:val="16"/>
          <w:szCs w:val="16"/>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Apegarse a las recomendaciones de la norma técnica de Telmex proporcionará los mismos parámetros de servicio que brinda Telmex a sus usuarios, así como la menor degradación del servicio.</w:t>
      </w:r>
    </w:p>
  </w:footnote>
  <w:footnote w:id="15">
    <w:p w14:paraId="40E8612A" w14:textId="77777777" w:rsidR="00CA026A" w:rsidRPr="005248DC" w:rsidRDefault="00CA026A">
      <w:pPr>
        <w:pStyle w:val="Textonotapie"/>
        <w:jc w:val="both"/>
        <w:rPr>
          <w:rFonts w:ascii="ITC Avant Garde" w:hAnsi="ITC Avant Garde"/>
          <w:sz w:val="16"/>
          <w:szCs w:val="16"/>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El tiempo correspondiente a la instalación del cableado interior en el domicilio del usuario no se contabilizará dentro de los plazos de entrega de cada uno de los servicios.</w:t>
      </w:r>
    </w:p>
  </w:footnote>
  <w:footnote w:id="16">
    <w:p w14:paraId="40E8612B" w14:textId="77777777" w:rsidR="00CA026A" w:rsidRDefault="00CA026A">
      <w:pPr>
        <w:pStyle w:val="Textonotapie"/>
        <w:jc w:val="both"/>
        <w:rPr>
          <w:sz w:val="20"/>
          <w:szCs w:val="20"/>
          <w:lang w:val="es-MX"/>
        </w:rPr>
      </w:pPr>
      <w:r w:rsidRPr="005248DC">
        <w:rPr>
          <w:rStyle w:val="Refdenotaalpie"/>
          <w:rFonts w:ascii="ITC Avant Garde" w:hAnsi="ITC Avant Garde"/>
          <w:sz w:val="16"/>
          <w:szCs w:val="16"/>
        </w:rPr>
        <w:footnoteRef/>
      </w:r>
      <w:r w:rsidRPr="005248DC">
        <w:rPr>
          <w:rFonts w:ascii="ITC Avant Garde" w:hAnsi="ITC Avant Garde"/>
          <w:sz w:val="16"/>
          <w:szCs w:val="16"/>
        </w:rPr>
        <w:t xml:space="preserve"> El cableado adicional para la conexión del tercer aparato básico o posterior se considera como un cableado adicional que se cobrará al 50% del cableado original, de conformidad con la tarifa registrada.</w:t>
      </w:r>
    </w:p>
  </w:footnote>
  <w:footnote w:id="17">
    <w:p w14:paraId="40E8612C" w14:textId="0886D796" w:rsidR="00CA026A" w:rsidRPr="00724106" w:rsidRDefault="00CA026A">
      <w:pPr>
        <w:pStyle w:val="Textonotapie"/>
        <w:jc w:val="both"/>
        <w:rPr>
          <w:rFonts w:ascii="ITC Avant Garde" w:hAnsi="ITC Avant Garde"/>
          <w:sz w:val="16"/>
          <w:szCs w:val="16"/>
        </w:rPr>
      </w:pPr>
      <w:r w:rsidRPr="00724106">
        <w:rPr>
          <w:rStyle w:val="Refdenotaalpie"/>
          <w:rFonts w:ascii="ITC Avant Garde" w:hAnsi="ITC Avant Garde"/>
          <w:sz w:val="16"/>
          <w:szCs w:val="16"/>
        </w:rPr>
        <w:footnoteRef/>
      </w:r>
      <w:r w:rsidRPr="00724106">
        <w:rPr>
          <w:rFonts w:ascii="ITC Avant Garde" w:hAnsi="ITC Avant Garde"/>
          <w:sz w:val="16"/>
          <w:szCs w:val="16"/>
        </w:rPr>
        <w:t xml:space="preserve"> Si el CS solicita la entrega de un aparato telefónico, por las implicaciones logísticas, los tiempos de habilitación del servicio se incrementan en dos días hábiles.</w:t>
      </w:r>
    </w:p>
  </w:footnote>
  <w:footnote w:id="18">
    <w:p w14:paraId="40E8612D" w14:textId="77777777" w:rsidR="00CA026A" w:rsidRPr="00724106" w:rsidRDefault="00CA026A" w:rsidP="00FC5EDE">
      <w:pPr>
        <w:pStyle w:val="Textonotapie"/>
        <w:jc w:val="both"/>
        <w:rPr>
          <w:rFonts w:ascii="ITC Avant Garde" w:hAnsi="ITC Avant Garde"/>
          <w:sz w:val="16"/>
          <w:szCs w:val="16"/>
        </w:rPr>
      </w:pPr>
      <w:r w:rsidRPr="00724106">
        <w:rPr>
          <w:rStyle w:val="Refdenotaalpie"/>
          <w:rFonts w:ascii="ITC Avant Garde" w:hAnsi="ITC Avant Garde"/>
          <w:sz w:val="16"/>
          <w:szCs w:val="16"/>
        </w:rPr>
        <w:footnoteRef/>
      </w:r>
      <w:r w:rsidRPr="00724106">
        <w:rPr>
          <w:rFonts w:ascii="ITC Avant Garde" w:hAnsi="ITC Avant Garde"/>
          <w:sz w:val="16"/>
          <w:szCs w:val="16"/>
        </w:rPr>
        <w:t xml:space="preserve"> Si el CS solicita la entrega de un módem/ONT blanco, por las implicaciones logísticas, los tiempos de habilitación del servicio se incrementan en dos días hábiles.</w:t>
      </w:r>
    </w:p>
  </w:footnote>
  <w:footnote w:id="19">
    <w:p w14:paraId="38D4F5D5" w14:textId="2596C13E" w:rsidR="00CA026A" w:rsidRPr="00724106" w:rsidRDefault="00CA026A">
      <w:pPr>
        <w:pStyle w:val="Textonotapie"/>
        <w:rPr>
          <w:rFonts w:ascii="ITC Avant Garde" w:hAnsi="ITC Avant Garde"/>
          <w:sz w:val="16"/>
          <w:szCs w:val="16"/>
          <w:lang w:val="es-MX"/>
        </w:rPr>
      </w:pPr>
      <w:r w:rsidRPr="00724106">
        <w:rPr>
          <w:rStyle w:val="Refdenotaalpie"/>
          <w:rFonts w:ascii="ITC Avant Garde" w:hAnsi="ITC Avant Garde"/>
          <w:sz w:val="16"/>
          <w:szCs w:val="16"/>
        </w:rPr>
        <w:footnoteRef/>
      </w:r>
      <w:r w:rsidRPr="00724106">
        <w:rPr>
          <w:rFonts w:ascii="ITC Avant Garde" w:hAnsi="ITC Avant Garde"/>
          <w:sz w:val="16"/>
          <w:szCs w:val="16"/>
        </w:rPr>
        <w:t xml:space="preserve"> </w:t>
      </w:r>
      <w:r w:rsidRPr="00724106">
        <w:rPr>
          <w:rFonts w:ascii="ITC Avant Garde" w:hAnsi="ITC Avant Garde"/>
          <w:sz w:val="16"/>
          <w:szCs w:val="16"/>
          <w:lang w:val="es-MX"/>
        </w:rPr>
        <w:t>Para minimizar el riesgo de perfil no factible, el CS deberá tomar en cuenta los perfiles de SRL que soporta el bucle, lo cuales estarán disponibles conforme a lo estipulado en el apartado 3.</w:t>
      </w:r>
    </w:p>
  </w:footnote>
  <w:footnote w:id="20">
    <w:p w14:paraId="40E8612E" w14:textId="275406FA" w:rsidR="00CA026A" w:rsidRPr="00724106" w:rsidRDefault="00CA026A">
      <w:pPr>
        <w:pStyle w:val="Textonotapie"/>
        <w:jc w:val="both"/>
        <w:rPr>
          <w:rFonts w:ascii="ITC Avant Garde" w:hAnsi="ITC Avant Garde"/>
          <w:sz w:val="16"/>
          <w:szCs w:val="16"/>
        </w:rPr>
      </w:pPr>
      <w:r w:rsidRPr="00724106">
        <w:rPr>
          <w:rStyle w:val="Refdenotaalpie"/>
          <w:rFonts w:ascii="ITC Avant Garde" w:hAnsi="ITC Avant Garde"/>
          <w:sz w:val="16"/>
          <w:szCs w:val="16"/>
        </w:rPr>
        <w:footnoteRef/>
      </w:r>
      <w:r w:rsidRPr="00724106">
        <w:rPr>
          <w:rFonts w:ascii="ITC Avant Garde" w:hAnsi="ITC Avant Garde"/>
          <w:sz w:val="16"/>
          <w:szCs w:val="16"/>
        </w:rPr>
        <w:t xml:space="preserve"> Si no fue posible la instalación de la acometida en la tercera visita o durante los días hábiles programados por razones asociadas al usuario, el CS deberá reingresar la solicitud. Las visitas posteriores deberán programarse con al menos 24 horas hábiles de anticipación.</w:t>
      </w:r>
    </w:p>
  </w:footnote>
  <w:footnote w:id="21">
    <w:p w14:paraId="40E86132" w14:textId="77777777" w:rsidR="00CA026A" w:rsidRPr="00724106" w:rsidRDefault="00CA026A">
      <w:pPr>
        <w:autoSpaceDE w:val="0"/>
        <w:autoSpaceDN w:val="0"/>
        <w:adjustRightInd w:val="0"/>
        <w:jc w:val="both"/>
        <w:rPr>
          <w:rFonts w:ascii="ITC Avant Garde" w:hAnsi="ITC Avant Garde" w:cs="Arial"/>
          <w:sz w:val="16"/>
          <w:szCs w:val="16"/>
          <w:lang w:val="es-MX" w:eastAsia="es-MX"/>
        </w:rPr>
      </w:pPr>
      <w:r w:rsidRPr="00724106">
        <w:rPr>
          <w:rStyle w:val="Refdenotaalpie"/>
          <w:rFonts w:ascii="ITC Avant Garde" w:hAnsi="ITC Avant Garde"/>
          <w:sz w:val="16"/>
          <w:szCs w:val="16"/>
        </w:rPr>
        <w:footnoteRef/>
      </w:r>
      <w:r w:rsidRPr="00724106">
        <w:rPr>
          <w:rFonts w:ascii="ITC Avant Garde" w:hAnsi="ITC Avant Garde"/>
          <w:sz w:val="16"/>
          <w:szCs w:val="16"/>
        </w:rPr>
        <w:t xml:space="preserve"> De acuerdo al Contrato Colectivo de Trabajo de Telmex, serán considerados como días de descanso obligatorio los siguientes: </w:t>
      </w:r>
      <w:r w:rsidRPr="00724106">
        <w:rPr>
          <w:rFonts w:ascii="ITC Avant Garde" w:hAnsi="ITC Avant Garde" w:cs="Arial"/>
          <w:sz w:val="16"/>
          <w:szCs w:val="16"/>
          <w:lang w:val="es-MX" w:eastAsia="es-MX"/>
        </w:rPr>
        <w:t>1° de enero; 5 de febrero; 18 y 21 de marzo; Jueves y viernes denominados "Santos" y sábado denominado de "Gloria"; 1°, 5 y 10 de mayo; 1° de agosto. Día del Telefonista; 15 y 16 de septiembre; 12 de octubre; 2 y 20 de noviembre; el que corresponda a la transmisión del Poder Ejecutivo Federal (actualmente el 1° de diciembre de cada seis años);12 y 25 de diciembre; el día que determinen las autoridades para la celebración de Elecciones Federales o Locales.</w:t>
      </w:r>
    </w:p>
  </w:footnote>
  <w:footnote w:id="22">
    <w:p w14:paraId="22706229" w14:textId="0E4C0E67" w:rsidR="00CA026A" w:rsidRPr="00F10B9C" w:rsidRDefault="00CA026A" w:rsidP="00394A75">
      <w:pPr>
        <w:contextualSpacing/>
        <w:jc w:val="both"/>
        <w:rPr>
          <w:rFonts w:ascii="ITC Avant Garde" w:hAnsi="ITC Avant Garde"/>
          <w:sz w:val="16"/>
          <w:szCs w:val="16"/>
          <w:lang w:val="es-MX"/>
        </w:rPr>
      </w:pPr>
      <w:r w:rsidRPr="00591389">
        <w:rPr>
          <w:rStyle w:val="Refdenotaalpie"/>
          <w:rFonts w:ascii="ITC Avant Garde" w:hAnsi="ITC Avant Garde"/>
          <w:sz w:val="16"/>
          <w:szCs w:val="16"/>
        </w:rPr>
        <w:footnoteRef/>
      </w:r>
      <w:r w:rsidRPr="00591389">
        <w:rPr>
          <w:rFonts w:ascii="ITC Avant Garde" w:hAnsi="ITC Avant Garde"/>
          <w:sz w:val="16"/>
          <w:szCs w:val="16"/>
        </w:rPr>
        <w:t xml:space="preserve"> </w:t>
      </w:r>
      <w:r w:rsidRPr="00F10B9C">
        <w:rPr>
          <w:rFonts w:ascii="ITC Avant Garde" w:hAnsi="ITC Avant Garde"/>
          <w:sz w:val="16"/>
          <w:szCs w:val="16"/>
          <w:lang w:val="es-MX"/>
        </w:rPr>
        <w:t>Si TELMEX comercializara otro tipo de calidades diferentes deberá incorporarla en la Oferta de Referencia y ponerla a disposición de los CS como mínimo con una antelación de seis meses a su comercialización.</w:t>
      </w:r>
    </w:p>
  </w:footnote>
  <w:footnote w:id="23">
    <w:p w14:paraId="4C727A8A" w14:textId="77777777" w:rsidR="00CA026A" w:rsidRPr="00F10B9C" w:rsidRDefault="00CA026A" w:rsidP="00394A75">
      <w:pPr>
        <w:pStyle w:val="Textonotapie"/>
        <w:jc w:val="both"/>
        <w:rPr>
          <w:rFonts w:ascii="ITC Avant Garde" w:hAnsi="ITC Avant Garde"/>
          <w:sz w:val="16"/>
          <w:szCs w:val="16"/>
          <w:lang w:val="es-MX"/>
        </w:rPr>
      </w:pPr>
      <w:r w:rsidRPr="00591389">
        <w:rPr>
          <w:rStyle w:val="Refdenotaalpie"/>
          <w:rFonts w:ascii="ITC Avant Garde" w:hAnsi="ITC Avant Garde"/>
          <w:sz w:val="16"/>
          <w:szCs w:val="16"/>
        </w:rPr>
        <w:footnoteRef/>
      </w:r>
      <w:r w:rsidRPr="00591389">
        <w:rPr>
          <w:rStyle w:val="Refdenotaalpie"/>
          <w:rFonts w:ascii="ITC Avant Garde" w:hAnsi="ITC Avant Garde"/>
          <w:sz w:val="16"/>
          <w:szCs w:val="16"/>
        </w:rPr>
        <w:t xml:space="preserve"> </w:t>
      </w:r>
      <w:r w:rsidRPr="00F10B9C">
        <w:rPr>
          <w:rFonts w:ascii="ITC Avant Garde" w:hAnsi="ITC Avant Garde"/>
          <w:sz w:val="16"/>
          <w:szCs w:val="16"/>
          <w:lang w:val="es-MX"/>
        </w:rPr>
        <w:t>El servicio de tráfico Multicast se proporcionará cuando lo soporte la Red de Telmex y ofrezca servicios que utilicen esta funcionalidad o cuando el o los CS que lo requiera(n) asuma (n) la totalidad de los costos incurridos o asociados a las adecuaciones en la red para la habilitación del mismo, a partir de lo cual dicho servicio será puesto a disposición del resto de los Concesionarios.</w:t>
      </w:r>
    </w:p>
  </w:footnote>
  <w:footnote w:id="24">
    <w:p w14:paraId="5ED3E117" w14:textId="77777777" w:rsidR="00CA026A" w:rsidRPr="00F10B9C" w:rsidRDefault="00CA026A" w:rsidP="00394A75">
      <w:pPr>
        <w:pStyle w:val="Textonotapie"/>
        <w:jc w:val="both"/>
        <w:rPr>
          <w:rFonts w:ascii="ITC Avant Garde" w:hAnsi="ITC Avant Garde"/>
          <w:sz w:val="16"/>
          <w:szCs w:val="16"/>
          <w:lang w:val="es-MX"/>
        </w:rPr>
      </w:pPr>
      <w:r w:rsidRPr="00723411">
        <w:rPr>
          <w:rFonts w:ascii="ITC Avant Garde" w:hAnsi="ITC Avant Garde"/>
          <w:sz w:val="16"/>
          <w:szCs w:val="16"/>
          <w:vertAlign w:val="superscript"/>
        </w:rPr>
        <w:footnoteRef/>
      </w:r>
      <w:r w:rsidRPr="00723411">
        <w:rPr>
          <w:rFonts w:ascii="ITC Avant Garde" w:hAnsi="ITC Avant Garde"/>
          <w:sz w:val="16"/>
          <w:szCs w:val="16"/>
        </w:rPr>
        <w:t xml:space="preserve"> </w:t>
      </w:r>
      <w:r w:rsidRPr="00F10B9C">
        <w:rPr>
          <w:rFonts w:ascii="ITC Avant Garde" w:hAnsi="ITC Avant Garde"/>
          <w:sz w:val="16"/>
          <w:szCs w:val="16"/>
          <w:lang w:val="es-MX"/>
        </w:rPr>
        <w:t>La velocidad máxima alcanzable corresponde a la velocidad de línea xDSL, adicionalmente se aclara que la velocidad de acceso a internet puede ser afectada por: retardos altos entre el Servidor y el Dispositivo de Usuario; características limitadas de Hardware y Software del dispositivo del usuario; medios de Conexión Inalámbricos (WiFi)</w:t>
      </w:r>
      <w:r w:rsidRPr="00723411">
        <w:rPr>
          <w:rFonts w:ascii="ITC Avant Garde" w:hAnsi="ITC Avant Garde"/>
          <w:sz w:val="16"/>
          <w:szCs w:val="16"/>
        </w:rPr>
        <w:t xml:space="preserve"> </w:t>
      </w:r>
      <w:r w:rsidRPr="00F10B9C">
        <w:rPr>
          <w:rFonts w:ascii="ITC Avant Garde" w:hAnsi="ITC Avant Garde"/>
          <w:sz w:val="16"/>
          <w:szCs w:val="16"/>
          <w:lang w:val="es-MX"/>
        </w:rPr>
        <w:t>a la Red; ejecución de múltiples aplicaciones en la red del usuario y la</w:t>
      </w:r>
      <w:r w:rsidRPr="00723411">
        <w:rPr>
          <w:rFonts w:ascii="ITC Avant Garde" w:hAnsi="ITC Avant Garde"/>
          <w:sz w:val="16"/>
          <w:szCs w:val="16"/>
        </w:rPr>
        <w:t xml:space="preserve"> </w:t>
      </w:r>
      <w:r w:rsidRPr="00F10B9C">
        <w:rPr>
          <w:rFonts w:ascii="ITC Avant Garde" w:hAnsi="ITC Avant Garde"/>
          <w:sz w:val="16"/>
          <w:szCs w:val="16"/>
          <w:lang w:val="es-MX"/>
        </w:rPr>
        <w:t>distancia entre el domicilio del usuario y la central telefónica desde donde se presta el servicio.</w:t>
      </w:r>
    </w:p>
  </w:footnote>
  <w:footnote w:id="25">
    <w:p w14:paraId="016F0AD9" w14:textId="77777777" w:rsidR="00CA026A" w:rsidRPr="00723411" w:rsidRDefault="00CA026A" w:rsidP="00394A75">
      <w:pPr>
        <w:pStyle w:val="Textonotapie"/>
        <w:rPr>
          <w:rFonts w:ascii="ITC Avant Garde" w:hAnsi="ITC Avant Garde"/>
          <w:sz w:val="16"/>
          <w:szCs w:val="16"/>
        </w:rPr>
      </w:pPr>
      <w:r w:rsidRPr="00723411">
        <w:rPr>
          <w:rStyle w:val="Refdenotaalpie"/>
          <w:rFonts w:ascii="ITC Avant Garde" w:hAnsi="ITC Avant Garde"/>
          <w:sz w:val="16"/>
          <w:szCs w:val="16"/>
        </w:rPr>
        <w:footnoteRef/>
      </w:r>
      <w:r w:rsidRPr="00723411">
        <w:rPr>
          <w:rFonts w:ascii="ITC Avant Garde" w:hAnsi="ITC Avant Garde"/>
          <w:sz w:val="16"/>
          <w:szCs w:val="16"/>
        </w:rPr>
        <w:t xml:space="preserve"> </w:t>
      </w:r>
      <w:r w:rsidRPr="00F10B9C">
        <w:rPr>
          <w:rFonts w:ascii="ITC Avant Garde" w:hAnsi="ITC Avant Garde"/>
          <w:sz w:val="16"/>
          <w:szCs w:val="16"/>
          <w:lang w:val="es-MX"/>
        </w:rPr>
        <w:t>De conformidad con los Registros de Tarifas autorizados por el Instituto.</w:t>
      </w:r>
    </w:p>
  </w:footnote>
  <w:footnote w:id="26">
    <w:p w14:paraId="0DCB137C" w14:textId="38A581CB" w:rsidR="00CA026A" w:rsidRPr="00F10B9C" w:rsidRDefault="00CA026A" w:rsidP="00394A75">
      <w:pPr>
        <w:pStyle w:val="Textonotapie"/>
        <w:jc w:val="both"/>
        <w:rPr>
          <w:rFonts w:ascii="ITC Avant Garde" w:hAnsi="ITC Avant Garde"/>
          <w:sz w:val="16"/>
          <w:szCs w:val="16"/>
          <w:lang w:val="es-MX"/>
        </w:rPr>
      </w:pPr>
      <w:r w:rsidRPr="00C91E50">
        <w:rPr>
          <w:rStyle w:val="Refdenotaalpie"/>
          <w:sz w:val="20"/>
          <w:szCs w:val="20"/>
        </w:rPr>
        <w:footnoteRef/>
      </w:r>
      <w:r w:rsidRPr="00C91E50">
        <w:rPr>
          <w:sz w:val="20"/>
          <w:szCs w:val="20"/>
        </w:rPr>
        <w:t xml:space="preserve"> </w:t>
      </w:r>
      <w:r w:rsidRPr="00F10B9C">
        <w:rPr>
          <w:rFonts w:ascii="ITC Avant Garde" w:hAnsi="ITC Avant Garde"/>
          <w:sz w:val="16"/>
          <w:szCs w:val="16"/>
          <w:lang w:val="es-MX"/>
        </w:rPr>
        <w:t xml:space="preserve">Si el CS desea que para el servicio sea entregado un módem/ONT blanco, se agregarán </w:t>
      </w:r>
      <w:r>
        <w:rPr>
          <w:rFonts w:ascii="ITC Avant Garde" w:hAnsi="ITC Avant Garde"/>
          <w:sz w:val="16"/>
          <w:szCs w:val="16"/>
          <w:lang w:val="es-MX"/>
        </w:rPr>
        <w:t>dos</w:t>
      </w:r>
      <w:r w:rsidRPr="00F10B9C">
        <w:rPr>
          <w:rFonts w:ascii="ITC Avant Garde" w:hAnsi="ITC Avant Garde"/>
          <w:sz w:val="16"/>
          <w:szCs w:val="16"/>
          <w:lang w:val="es-MX"/>
        </w:rPr>
        <w:t xml:space="preserve"> días hábiles al tiempo compromiso de la habilitación del servicio por las implicaciones logísticas adicionales relativas a la provisión de un módem distinto al que emplea Telmex para sus propias operaciones.</w:t>
      </w:r>
    </w:p>
  </w:footnote>
  <w:footnote w:id="27">
    <w:p w14:paraId="42B72FE6" w14:textId="77777777" w:rsidR="00CA026A" w:rsidRPr="00F10B9C" w:rsidRDefault="00CA026A" w:rsidP="00394A75">
      <w:pPr>
        <w:pStyle w:val="Textonotapie"/>
        <w:jc w:val="both"/>
        <w:rPr>
          <w:rFonts w:ascii="ITC Avant Garde" w:hAnsi="ITC Avant Garde"/>
          <w:sz w:val="16"/>
          <w:szCs w:val="16"/>
          <w:lang w:val="es-MX"/>
        </w:rPr>
      </w:pPr>
      <w:r w:rsidRPr="00011A1B">
        <w:rPr>
          <w:rStyle w:val="Refdenotaalpie"/>
          <w:sz w:val="20"/>
          <w:szCs w:val="20"/>
        </w:rPr>
        <w:footnoteRef/>
      </w:r>
      <w:r w:rsidRPr="00011A1B">
        <w:rPr>
          <w:sz w:val="20"/>
          <w:szCs w:val="20"/>
        </w:rPr>
        <w:t xml:space="preserve"> </w:t>
      </w:r>
      <w:r w:rsidRPr="00F10B9C">
        <w:rPr>
          <w:rFonts w:ascii="ITC Avant Garde" w:hAnsi="ITC Avant Garde"/>
          <w:sz w:val="16"/>
          <w:szCs w:val="16"/>
          <w:lang w:val="es-MX"/>
        </w:rPr>
        <w:t>Si el módem será recogido en Tienda Telmex, será necesario que el usuario al momento de recoger el módem proporcione el folio de la orden de servicio.</w:t>
      </w:r>
    </w:p>
  </w:footnote>
  <w:footnote w:id="28">
    <w:p w14:paraId="192CEC6B" w14:textId="5FE03AE0" w:rsidR="00CA026A" w:rsidRPr="00C45DDE" w:rsidRDefault="00CA026A" w:rsidP="00F93051">
      <w:pPr>
        <w:pStyle w:val="Textonotapie"/>
        <w:rPr>
          <w:rFonts w:ascii="ITC Avant Garde" w:hAnsi="ITC Avant Garde"/>
          <w:sz w:val="16"/>
          <w:szCs w:val="16"/>
        </w:rPr>
      </w:pPr>
      <w:r w:rsidRPr="00C45DDE">
        <w:rPr>
          <w:rStyle w:val="Refdenotaalpie"/>
          <w:rFonts w:ascii="ITC Avant Garde" w:hAnsi="ITC Avant Garde"/>
          <w:sz w:val="16"/>
          <w:szCs w:val="16"/>
        </w:rPr>
        <w:footnoteRef/>
      </w:r>
      <w:r w:rsidRPr="00C45DDE">
        <w:rPr>
          <w:rFonts w:ascii="ITC Avant Garde" w:hAnsi="ITC Avant Garde"/>
          <w:sz w:val="16"/>
          <w:szCs w:val="16"/>
        </w:rPr>
        <w:t xml:space="preserve"> Notificación con información técnica necesaria para adaptar o asegurar la compatibilidad de los equipos.</w:t>
      </w:r>
    </w:p>
  </w:footnote>
  <w:footnote w:id="29">
    <w:p w14:paraId="3018DC8A" w14:textId="6293219C" w:rsidR="00CA026A" w:rsidRPr="00F10B9C" w:rsidRDefault="00CA026A" w:rsidP="00394A75">
      <w:pPr>
        <w:pStyle w:val="Textonotapie"/>
        <w:jc w:val="both"/>
        <w:rPr>
          <w:rFonts w:ascii="ITC Avant Garde" w:hAnsi="ITC Avant Garde"/>
          <w:sz w:val="16"/>
          <w:szCs w:val="16"/>
          <w:lang w:val="es-MX"/>
        </w:rPr>
      </w:pPr>
      <w:r w:rsidRPr="00C45DDE">
        <w:rPr>
          <w:rStyle w:val="Refdenotaalpie"/>
          <w:rFonts w:ascii="ITC Avant Garde" w:hAnsi="ITC Avant Garde"/>
          <w:sz w:val="16"/>
          <w:szCs w:val="16"/>
        </w:rPr>
        <w:footnoteRef/>
      </w:r>
      <w:r w:rsidRPr="00C45DDE">
        <w:rPr>
          <w:rFonts w:ascii="ITC Avant Garde" w:hAnsi="ITC Avant Garde"/>
          <w:sz w:val="16"/>
          <w:szCs w:val="16"/>
        </w:rPr>
        <w:t xml:space="preserve"> </w:t>
      </w:r>
      <w:r w:rsidRPr="00F10B9C">
        <w:rPr>
          <w:rFonts w:ascii="ITC Avant Garde" w:hAnsi="ITC Avant Garde"/>
          <w:sz w:val="16"/>
          <w:szCs w:val="16"/>
          <w:lang w:val="es-MX"/>
        </w:rPr>
        <w:t>El día de entrega no excederá los 10 días hábiles desde la validación de la solicitud</w:t>
      </w:r>
      <w:r>
        <w:rPr>
          <w:rFonts w:ascii="ITC Avant Garde" w:hAnsi="ITC Avant Garde"/>
          <w:sz w:val="16"/>
          <w:szCs w:val="16"/>
          <w:lang w:val="es-MX"/>
        </w:rPr>
        <w:t>.</w:t>
      </w:r>
    </w:p>
  </w:footnote>
  <w:footnote w:id="30">
    <w:p w14:paraId="27244656" w14:textId="77777777" w:rsidR="00CA026A" w:rsidRDefault="00CA026A" w:rsidP="00A06D94">
      <w:pPr>
        <w:pStyle w:val="Textonotapie"/>
        <w:rPr>
          <w:lang w:val="es-MX"/>
        </w:rPr>
      </w:pPr>
      <w:r w:rsidRPr="00011A1B">
        <w:rPr>
          <w:rStyle w:val="Refdenotaalpie"/>
        </w:rPr>
        <w:footnoteRef/>
      </w:r>
      <w:r w:rsidRPr="00011A1B">
        <w:rPr>
          <w:lang w:val="es-MX"/>
        </w:rPr>
        <w:t xml:space="preserve"> </w:t>
      </w:r>
      <w:r w:rsidRPr="00407CA3">
        <w:rPr>
          <w:rFonts w:ascii="ITC Avant Garde" w:hAnsi="ITC Avant Garde"/>
          <w:sz w:val="16"/>
          <w:szCs w:val="16"/>
          <w:lang w:val="es-MX"/>
        </w:rPr>
        <w:t>Este plazo de prevención sólo se permitirá una vez.</w:t>
      </w:r>
    </w:p>
  </w:footnote>
  <w:footnote w:id="31">
    <w:p w14:paraId="64ECAA97" w14:textId="69D3414C" w:rsidR="00CA026A" w:rsidRPr="00BF1A38" w:rsidRDefault="00CA026A" w:rsidP="00394A75">
      <w:pPr>
        <w:pStyle w:val="Textonotapie"/>
        <w:rPr>
          <w:rFonts w:ascii="ITC Avant Garde" w:hAnsi="ITC Avant Garde"/>
          <w:sz w:val="16"/>
          <w:szCs w:val="16"/>
          <w:lang w:val="es-MX"/>
        </w:rPr>
      </w:pPr>
      <w:r w:rsidRPr="00011A1B">
        <w:rPr>
          <w:rStyle w:val="Refdenotaalpie"/>
          <w:sz w:val="20"/>
          <w:szCs w:val="20"/>
        </w:rPr>
        <w:footnoteRef/>
      </w:r>
      <w:r w:rsidRPr="00011A1B">
        <w:rPr>
          <w:sz w:val="20"/>
          <w:szCs w:val="20"/>
        </w:rPr>
        <w:t xml:space="preserve"> </w:t>
      </w:r>
      <w:r w:rsidRPr="00BF1A38">
        <w:rPr>
          <w:rFonts w:ascii="ITC Avant Garde" w:hAnsi="ITC Avant Garde"/>
          <w:sz w:val="16"/>
          <w:szCs w:val="16"/>
          <w:lang w:val="es-MX"/>
        </w:rPr>
        <w:t xml:space="preserve">En el caso de los servicios sobre cobre la factibilidad técnica también considerará verificar que se cumpla con el </w:t>
      </w:r>
      <w:r>
        <w:rPr>
          <w:rFonts w:ascii="ITC Avant Garde" w:hAnsi="ITC Avant Garde"/>
          <w:sz w:val="16"/>
          <w:szCs w:val="16"/>
          <w:lang w:val="es-MX"/>
        </w:rPr>
        <w:t>PGE</w:t>
      </w:r>
      <w:r w:rsidRPr="00BF1A38">
        <w:rPr>
          <w:rFonts w:ascii="ITC Avant Garde" w:hAnsi="ITC Avant Garde"/>
          <w:sz w:val="16"/>
          <w:szCs w:val="16"/>
          <w:lang w:val="es-MX"/>
        </w:rPr>
        <w:t xml:space="preserve">. </w:t>
      </w:r>
    </w:p>
  </w:footnote>
  <w:footnote w:id="32">
    <w:p w14:paraId="66594D1A" w14:textId="77777777" w:rsidR="00CA026A" w:rsidRPr="00BF1A38" w:rsidRDefault="00CA026A" w:rsidP="00394A75">
      <w:pPr>
        <w:pStyle w:val="Textonotapie"/>
        <w:jc w:val="both"/>
        <w:rPr>
          <w:rFonts w:ascii="ITC Avant Garde" w:hAnsi="ITC Avant Garde"/>
          <w:sz w:val="16"/>
          <w:szCs w:val="16"/>
          <w:lang w:val="es-MX"/>
        </w:rPr>
      </w:pPr>
      <w:r w:rsidRPr="00011A1B">
        <w:rPr>
          <w:rStyle w:val="Refdenotaalpie"/>
          <w:sz w:val="20"/>
          <w:szCs w:val="20"/>
        </w:rPr>
        <w:footnoteRef/>
      </w:r>
      <w:r w:rsidRPr="00011A1B">
        <w:rPr>
          <w:sz w:val="20"/>
          <w:szCs w:val="20"/>
        </w:rPr>
        <w:t xml:space="preserve"> </w:t>
      </w:r>
      <w:r w:rsidRPr="00BF1A38">
        <w:rPr>
          <w:rFonts w:ascii="ITC Avant Garde" w:hAnsi="ITC Avant Garde"/>
          <w:sz w:val="16"/>
          <w:szCs w:val="16"/>
          <w:lang w:val="es-MX"/>
        </w:rPr>
        <w:t>Si no fue posible la instalación de la acometida en la tercera visita o durante los días hábiles programados por razones asociadas al usuario, el CS deberá reingresar la solicitud. Las visitas posteriores deberán programarse con al menos 24 horas hábiles de anticipación.</w:t>
      </w:r>
    </w:p>
  </w:footnote>
  <w:footnote w:id="33">
    <w:p w14:paraId="2CBF34B0" w14:textId="77777777" w:rsidR="00CA026A" w:rsidRPr="00BF1A38" w:rsidRDefault="00CA026A" w:rsidP="00394A75">
      <w:pPr>
        <w:pStyle w:val="Textonotapie"/>
        <w:rPr>
          <w:rFonts w:ascii="ITC Avant Garde" w:hAnsi="ITC Avant Garde"/>
          <w:sz w:val="16"/>
          <w:szCs w:val="16"/>
          <w:lang w:val="es-MX"/>
        </w:rPr>
      </w:pPr>
      <w:r w:rsidRPr="009078D6">
        <w:rPr>
          <w:rStyle w:val="Refdenotaalpie"/>
          <w:rFonts w:ascii="ITC Avant Garde" w:hAnsi="ITC Avant Garde"/>
          <w:sz w:val="22"/>
        </w:rPr>
        <w:footnoteRef/>
      </w:r>
      <w:r w:rsidRPr="009078D6">
        <w:rPr>
          <w:rFonts w:ascii="ITC Avant Garde" w:hAnsi="ITC Avant Garde"/>
        </w:rPr>
        <w:t xml:space="preserve"> </w:t>
      </w:r>
      <w:r w:rsidRPr="00BF1A38">
        <w:rPr>
          <w:rFonts w:ascii="ITC Avant Garde" w:hAnsi="ITC Avant Garde"/>
          <w:sz w:val="16"/>
          <w:szCs w:val="16"/>
          <w:lang w:val="es-MX"/>
        </w:rPr>
        <w:t>El tiempo que el CS tendrá para indicar la velocidad que será habilitada, no contabilizará para los plazos de entrega de Telmex.</w:t>
      </w:r>
    </w:p>
  </w:footnote>
  <w:footnote w:id="34">
    <w:p w14:paraId="3E55177C" w14:textId="77777777" w:rsidR="00CA026A" w:rsidRPr="00BF1A38" w:rsidRDefault="00CA026A" w:rsidP="00394A75">
      <w:pPr>
        <w:spacing w:line="360" w:lineRule="auto"/>
        <w:jc w:val="both"/>
        <w:rPr>
          <w:rFonts w:ascii="ITC Avant Garde" w:hAnsi="ITC Avant Garde"/>
          <w:sz w:val="16"/>
          <w:szCs w:val="16"/>
          <w:lang w:val="es-MX"/>
        </w:rPr>
      </w:pPr>
      <w:r w:rsidRPr="00A82F9C">
        <w:rPr>
          <w:rStyle w:val="Refdenotaalpie"/>
          <w:rFonts w:ascii="ITC Avant Garde" w:hAnsi="ITC Avant Garde"/>
          <w:sz w:val="16"/>
          <w:szCs w:val="16"/>
        </w:rPr>
        <w:footnoteRef/>
      </w:r>
      <w:r w:rsidRPr="00A82F9C">
        <w:rPr>
          <w:rFonts w:ascii="ITC Avant Garde" w:hAnsi="ITC Avant Garde"/>
          <w:sz w:val="16"/>
          <w:szCs w:val="16"/>
        </w:rPr>
        <w:t xml:space="preserve"> </w:t>
      </w:r>
      <w:r w:rsidRPr="00BF1A38">
        <w:rPr>
          <w:rFonts w:ascii="ITC Avant Garde" w:hAnsi="ITC Avant Garde"/>
          <w:sz w:val="16"/>
          <w:szCs w:val="16"/>
          <w:lang w:val="es-MX"/>
        </w:rPr>
        <w:t>Nota: Aunque la C-117 establece un plazo de cinco días hábiles, según el tipo de pruebas podría resultar demasiado corto.</w:t>
      </w:r>
    </w:p>
    <w:p w14:paraId="6172B7D4" w14:textId="77777777" w:rsidR="00CA026A" w:rsidRPr="00AE76D2" w:rsidRDefault="00CA026A" w:rsidP="00394A75">
      <w:pPr>
        <w:pStyle w:val="Textonotapie"/>
      </w:pPr>
    </w:p>
  </w:footnote>
  <w:footnote w:id="35">
    <w:p w14:paraId="40E86146" w14:textId="77777777" w:rsidR="00CA026A" w:rsidRPr="009D40E9" w:rsidRDefault="00CA026A">
      <w:pPr>
        <w:pStyle w:val="Textonotapie"/>
        <w:rPr>
          <w:rFonts w:ascii="ITC Avant Garde" w:hAnsi="ITC Avant Garde"/>
          <w:sz w:val="16"/>
          <w:szCs w:val="16"/>
        </w:rPr>
      </w:pPr>
      <w:r w:rsidRPr="009D40E9">
        <w:rPr>
          <w:rStyle w:val="Refdenotaalpie"/>
          <w:rFonts w:ascii="ITC Avant Garde" w:hAnsi="ITC Avant Garde"/>
          <w:sz w:val="16"/>
          <w:szCs w:val="16"/>
        </w:rPr>
        <w:footnoteRef/>
      </w:r>
      <w:r w:rsidRPr="009D40E9">
        <w:rPr>
          <w:rFonts w:ascii="ITC Avant Garde" w:hAnsi="ITC Avant Garde"/>
          <w:sz w:val="16"/>
          <w:szCs w:val="16"/>
        </w:rPr>
        <w:t xml:space="preserve"> </w:t>
      </w:r>
      <w:r w:rsidRPr="009D40E9">
        <w:rPr>
          <w:rFonts w:ascii="ITC Avant Garde" w:hAnsi="ITC Avant Garde"/>
          <w:sz w:val="16"/>
          <w:szCs w:val="16"/>
          <w:lang w:val="es-MX"/>
        </w:rPr>
        <w:t>El tiempo que el CS tendrá para indicar si desea habilitar el bucle bajo las mismas condiciones existentes en el bucle o sub-bucle, no contabilizará para los plazos de entrega de Telmex.</w:t>
      </w:r>
    </w:p>
  </w:footnote>
  <w:footnote w:id="36">
    <w:p w14:paraId="3F0FBC5F" w14:textId="45CD790B" w:rsidR="00CA026A" w:rsidRPr="00F67D06" w:rsidRDefault="00CA026A">
      <w:pPr>
        <w:pStyle w:val="Textonotapie"/>
        <w:rPr>
          <w:rFonts w:ascii="ITC Avant Garde" w:hAnsi="ITC Avant Garde"/>
          <w:sz w:val="16"/>
          <w:szCs w:val="16"/>
          <w:lang w:val="es-MX"/>
        </w:rPr>
      </w:pPr>
      <w:r w:rsidRPr="00F67D06">
        <w:rPr>
          <w:rStyle w:val="Refdenotaalpie"/>
          <w:rFonts w:ascii="ITC Avant Garde" w:hAnsi="ITC Avant Garde"/>
          <w:sz w:val="16"/>
          <w:szCs w:val="16"/>
        </w:rPr>
        <w:footnoteRef/>
      </w:r>
      <w:r w:rsidRPr="00F67D06">
        <w:rPr>
          <w:rFonts w:ascii="ITC Avant Garde" w:hAnsi="ITC Avant Garde"/>
          <w:sz w:val="16"/>
          <w:szCs w:val="16"/>
        </w:rPr>
        <w:t xml:space="preserve"> </w:t>
      </w:r>
      <w:r w:rsidRPr="00F67D06">
        <w:rPr>
          <w:rFonts w:ascii="ITC Avant Garde" w:hAnsi="ITC Avant Garde"/>
          <w:sz w:val="16"/>
          <w:szCs w:val="16"/>
          <w:lang w:val="es-MX"/>
        </w:rPr>
        <w:t>Para que el Usuario Final pueda hacer uso de su derecho de portar su número telefónico se deberá  prever la obtención del NIP con antelación a la realización del puente, así como que este no caduque.</w:t>
      </w:r>
    </w:p>
  </w:footnote>
  <w:footnote w:id="37">
    <w:p w14:paraId="40E86147" w14:textId="47B2B9EC" w:rsidR="00CA026A" w:rsidRPr="009D40E9" w:rsidRDefault="00CA026A" w:rsidP="005F53AD">
      <w:pPr>
        <w:pStyle w:val="Textonotapie"/>
        <w:rPr>
          <w:rFonts w:ascii="ITC Avant Garde" w:hAnsi="ITC Avant Garde"/>
          <w:sz w:val="16"/>
          <w:szCs w:val="16"/>
        </w:rPr>
      </w:pPr>
      <w:r w:rsidRPr="009D40E9">
        <w:rPr>
          <w:rStyle w:val="Refdenotaalpie"/>
          <w:rFonts w:ascii="ITC Avant Garde" w:hAnsi="ITC Avant Garde"/>
          <w:sz w:val="16"/>
          <w:szCs w:val="16"/>
        </w:rPr>
        <w:footnoteRef/>
      </w:r>
      <w:r w:rsidRPr="009D40E9">
        <w:rPr>
          <w:rFonts w:ascii="ITC Avant Garde" w:hAnsi="ITC Avant Garde"/>
          <w:sz w:val="16"/>
          <w:szCs w:val="16"/>
        </w:rPr>
        <w:t xml:space="preserve"> En el caso de los servicios sobre cobre la factibilidad técnica también considerará verificar que se cumpla con el </w:t>
      </w:r>
      <w:r>
        <w:rPr>
          <w:rFonts w:ascii="ITC Avant Garde" w:hAnsi="ITC Avant Garde"/>
          <w:sz w:val="16"/>
          <w:szCs w:val="16"/>
        </w:rPr>
        <w:t>PGE</w:t>
      </w:r>
      <w:r w:rsidRPr="009D40E9">
        <w:rPr>
          <w:rFonts w:ascii="ITC Avant Garde" w:hAnsi="ITC Avant Garde"/>
          <w:sz w:val="16"/>
          <w:szCs w:val="16"/>
        </w:rPr>
        <w:t xml:space="preserve">. </w:t>
      </w:r>
    </w:p>
  </w:footnote>
  <w:footnote w:id="38">
    <w:p w14:paraId="40E86148" w14:textId="77777777" w:rsidR="00CA026A" w:rsidRPr="009D40E9" w:rsidRDefault="00CA026A" w:rsidP="005F53AD">
      <w:pPr>
        <w:pStyle w:val="Textonotapie"/>
        <w:jc w:val="both"/>
        <w:rPr>
          <w:rFonts w:ascii="ITC Avant Garde" w:hAnsi="ITC Avant Garde"/>
          <w:sz w:val="16"/>
          <w:szCs w:val="16"/>
        </w:rPr>
      </w:pPr>
      <w:r w:rsidRPr="009D40E9">
        <w:rPr>
          <w:rStyle w:val="Refdenotaalpie"/>
          <w:rFonts w:ascii="ITC Avant Garde" w:hAnsi="ITC Avant Garde"/>
          <w:sz w:val="16"/>
          <w:szCs w:val="16"/>
        </w:rPr>
        <w:footnoteRef/>
      </w:r>
      <w:r w:rsidRPr="009D40E9">
        <w:rPr>
          <w:rFonts w:ascii="ITC Avant Garde" w:hAnsi="ITC Avant Garde"/>
          <w:sz w:val="16"/>
          <w:szCs w:val="16"/>
        </w:rPr>
        <w:t xml:space="preserve"> Si no fue posible la instalación de la acometida en la tercera visita o durante los días hábiles programados por razones asociadas al usuario, el CS deberá reingresar la solicitud. Las visitas posteriores no podrán llevarse a cabo en el mismo día.</w:t>
      </w:r>
    </w:p>
  </w:footnote>
  <w:footnote w:id="39">
    <w:p w14:paraId="40E86149" w14:textId="385181B2" w:rsidR="00CA026A" w:rsidRDefault="00CA026A" w:rsidP="005F53AD">
      <w:pPr>
        <w:pStyle w:val="Textonotapie"/>
        <w:jc w:val="both"/>
        <w:rPr>
          <w:sz w:val="20"/>
          <w:szCs w:val="20"/>
        </w:rPr>
      </w:pPr>
      <w:r w:rsidRPr="009D40E9">
        <w:rPr>
          <w:rStyle w:val="Refdenotaalpie"/>
          <w:rFonts w:ascii="ITC Avant Garde" w:hAnsi="ITC Avant Garde"/>
          <w:sz w:val="16"/>
          <w:szCs w:val="16"/>
        </w:rPr>
        <w:footnoteRef/>
      </w:r>
      <w:r w:rsidRPr="009D40E9">
        <w:rPr>
          <w:rFonts w:ascii="ITC Avant Garde" w:hAnsi="ITC Avant Garde"/>
          <w:sz w:val="16"/>
          <w:szCs w:val="16"/>
        </w:rPr>
        <w:t xml:space="preserve"> Telmex deberá justificar al CS las causas de la no realización de la prueba y habilitación del servicio y en caso de que estas no sean de fuerza mayor se hará acreedor a una pena convencional conforme </w:t>
      </w:r>
      <w:r>
        <w:rPr>
          <w:rFonts w:ascii="ITC Avant Garde" w:hAnsi="ITC Avant Garde"/>
          <w:sz w:val="16"/>
          <w:szCs w:val="16"/>
        </w:rPr>
        <w:t>a lo señalado en el Anexo B: Penas Convencionales de la presente OREDA</w:t>
      </w:r>
      <w:r w:rsidRPr="009D40E9">
        <w:rPr>
          <w:rFonts w:ascii="ITC Avant Garde" w:hAnsi="ITC Avant Garde"/>
          <w:sz w:val="16"/>
          <w:szCs w:val="16"/>
        </w:rPr>
        <w:t>.</w:t>
      </w:r>
    </w:p>
  </w:footnote>
  <w:footnote w:id="40">
    <w:p w14:paraId="55E3BDC2" w14:textId="15BD88C4" w:rsidR="00CA026A" w:rsidRPr="003F5187" w:rsidRDefault="00CA026A">
      <w:pPr>
        <w:pStyle w:val="Textonotapie"/>
        <w:rPr>
          <w:rFonts w:ascii="ITC Avant Garde" w:hAnsi="ITC Avant Garde"/>
          <w:lang w:val="es-MX"/>
        </w:rPr>
      </w:pPr>
      <w:r w:rsidRPr="00FF666A">
        <w:rPr>
          <w:rStyle w:val="Refdenotaalpie"/>
          <w:rFonts w:ascii="ITC Avant Garde" w:hAnsi="ITC Avant Garde"/>
        </w:rPr>
        <w:footnoteRef/>
      </w:r>
      <w:r w:rsidRPr="00FF666A">
        <w:rPr>
          <w:rFonts w:ascii="ITC Avant Garde" w:hAnsi="ITC Avant Garde"/>
          <w:lang w:val="en-US"/>
        </w:rPr>
        <w:t xml:space="preserve"> </w:t>
      </w:r>
      <w:r w:rsidRPr="00FF666A">
        <w:rPr>
          <w:rFonts w:ascii="ITC Avant Garde" w:hAnsi="ITC Avant Garde"/>
          <w:sz w:val="16"/>
          <w:lang w:val="en-US"/>
        </w:rPr>
        <w:t xml:space="preserve">Single Ended Loop Test (SELT). </w:t>
      </w:r>
      <w:r w:rsidRPr="003F5187">
        <w:rPr>
          <w:rFonts w:ascii="ITC Avant Garde" w:hAnsi="ITC Avant Garde"/>
          <w:sz w:val="16"/>
          <w:lang w:val="es-MX"/>
        </w:rPr>
        <w:t xml:space="preserve">El SELT está siendo estandarizado por el Grupo de Estudio 15, Pregunta 4 del ITU-T bajo la </w:t>
      </w:r>
      <w:r w:rsidRPr="005A6337">
        <w:rPr>
          <w:rFonts w:ascii="ITC Avant Garde" w:hAnsi="ITC Avant Garde"/>
          <w:sz w:val="16"/>
          <w:lang w:val="es-MX"/>
        </w:rPr>
        <w:t>forma</w:t>
      </w:r>
      <w:r w:rsidRPr="003F5187">
        <w:rPr>
          <w:rFonts w:ascii="ITC Avant Garde" w:hAnsi="ITC Avant Garde"/>
          <w:sz w:val="16"/>
          <w:lang w:val="es-MX"/>
        </w:rPr>
        <w:t xml:space="preserve"> del </w:t>
      </w:r>
      <w:r w:rsidRPr="005A6337">
        <w:rPr>
          <w:rFonts w:ascii="ITC Avant Garde" w:hAnsi="ITC Avant Garde"/>
          <w:sz w:val="16"/>
          <w:lang w:val="es-MX"/>
        </w:rPr>
        <w:t>documento</w:t>
      </w:r>
      <w:r w:rsidRPr="003F5187">
        <w:rPr>
          <w:rFonts w:ascii="ITC Avant Garde" w:hAnsi="ITC Avant Garde"/>
          <w:sz w:val="16"/>
          <w:lang w:val="es-MX"/>
        </w:rPr>
        <w:t xml:space="preserve"> de trabajo G </w:t>
      </w:r>
      <w:r w:rsidRPr="005A6337">
        <w:rPr>
          <w:rFonts w:ascii="ITC Avant Garde" w:hAnsi="ITC Avant Garde"/>
          <w:sz w:val="16"/>
          <w:lang w:val="es-MX"/>
        </w:rPr>
        <w:t>SELT</w:t>
      </w:r>
      <w:r w:rsidRPr="003F5187">
        <w:rPr>
          <w:rFonts w:ascii="ITC Avant Garde" w:hAnsi="ITC Avant Garde"/>
          <w:sz w:val="16"/>
          <w:lang w:val="es-MX"/>
        </w:rPr>
        <w:t xml:space="preserve">. </w:t>
      </w:r>
    </w:p>
  </w:footnote>
  <w:footnote w:id="41">
    <w:p w14:paraId="6928872C" w14:textId="68784FF0" w:rsidR="00CA026A" w:rsidRPr="000178E6" w:rsidRDefault="00CA026A">
      <w:pPr>
        <w:pStyle w:val="Textonotapie"/>
        <w:rPr>
          <w:rFonts w:ascii="ITC Avant Garde" w:hAnsi="ITC Avant Garde"/>
          <w:sz w:val="16"/>
          <w:szCs w:val="16"/>
          <w:lang w:val="es-MX"/>
        </w:rPr>
      </w:pPr>
      <w:r w:rsidRPr="000178E6">
        <w:rPr>
          <w:rStyle w:val="Refdenotaalpie"/>
          <w:rFonts w:ascii="ITC Avant Garde" w:hAnsi="ITC Avant Garde"/>
          <w:sz w:val="16"/>
          <w:szCs w:val="16"/>
        </w:rPr>
        <w:footnoteRef/>
      </w:r>
      <w:r w:rsidRPr="000178E6">
        <w:rPr>
          <w:rFonts w:ascii="ITC Avant Garde" w:hAnsi="ITC Avant Garde"/>
          <w:sz w:val="16"/>
          <w:szCs w:val="16"/>
        </w:rPr>
        <w:t xml:space="preserve"> Estos podrán ser reubicados en caso de que exista saturación de espacios.</w:t>
      </w:r>
    </w:p>
  </w:footnote>
  <w:footnote w:id="42">
    <w:p w14:paraId="19475C9F" w14:textId="3D6F3530" w:rsidR="00CA026A" w:rsidRPr="00A850FA" w:rsidRDefault="00CA026A">
      <w:pPr>
        <w:pStyle w:val="Textonotapie"/>
        <w:rPr>
          <w:rFonts w:ascii="ITC Avant Garde" w:hAnsi="ITC Avant Garde"/>
          <w:sz w:val="16"/>
          <w:szCs w:val="16"/>
          <w:lang w:val="es-MX"/>
        </w:rPr>
      </w:pPr>
      <w:r w:rsidRPr="00A850FA">
        <w:rPr>
          <w:rStyle w:val="Refdenotaalpie"/>
          <w:rFonts w:ascii="ITC Avant Garde" w:hAnsi="ITC Avant Garde"/>
          <w:sz w:val="16"/>
          <w:szCs w:val="16"/>
        </w:rPr>
        <w:footnoteRef/>
      </w:r>
      <w:r w:rsidRPr="00A850FA">
        <w:rPr>
          <w:rFonts w:ascii="ITC Avant Garde" w:hAnsi="ITC Avant Garde"/>
          <w:sz w:val="16"/>
          <w:szCs w:val="16"/>
        </w:rPr>
        <w:t xml:space="preserve"> Equivalente a 20 m</w:t>
      </w:r>
      <w:r w:rsidRPr="00A850FA">
        <w:rPr>
          <w:rFonts w:ascii="ITC Avant Garde" w:hAnsi="ITC Avant Garde"/>
          <w:sz w:val="16"/>
          <w:szCs w:val="16"/>
          <w:vertAlign w:val="superscript"/>
        </w:rPr>
        <w:t>2</w:t>
      </w:r>
    </w:p>
  </w:footnote>
  <w:footnote w:id="43">
    <w:p w14:paraId="4DDDE67A" w14:textId="7CFBDEF0" w:rsidR="00CA026A" w:rsidRPr="00140DD3" w:rsidRDefault="00CA026A">
      <w:pPr>
        <w:pStyle w:val="Textonotapie"/>
        <w:rPr>
          <w:rFonts w:ascii="ITC Avant Garde" w:hAnsi="ITC Avant Garde"/>
          <w:sz w:val="16"/>
          <w:szCs w:val="16"/>
          <w:lang w:val="es-MX"/>
        </w:rPr>
      </w:pPr>
      <w:r w:rsidRPr="00140DD3">
        <w:rPr>
          <w:rStyle w:val="Refdenotaalpie"/>
          <w:rFonts w:ascii="ITC Avant Garde" w:hAnsi="ITC Avant Garde"/>
          <w:sz w:val="16"/>
          <w:szCs w:val="16"/>
        </w:rPr>
        <w:footnoteRef/>
      </w:r>
      <w:r w:rsidRPr="00140DD3">
        <w:rPr>
          <w:rFonts w:ascii="ITC Avant Garde" w:hAnsi="ITC Avant Garde"/>
          <w:sz w:val="16"/>
          <w:szCs w:val="16"/>
        </w:rPr>
        <w:t xml:space="preserve"> Los BTUs están asociados a una mayor disipación térmica.</w:t>
      </w:r>
    </w:p>
  </w:footnote>
  <w:footnote w:id="44">
    <w:p w14:paraId="3BFC4841" w14:textId="11D9BE7F" w:rsidR="00CA026A" w:rsidRPr="00E22C66" w:rsidRDefault="00CA026A">
      <w:pPr>
        <w:pStyle w:val="Textonotapie"/>
        <w:rPr>
          <w:lang w:val="es-MX"/>
        </w:rPr>
      </w:pPr>
      <w:r w:rsidRPr="00E22C66">
        <w:rPr>
          <w:rStyle w:val="Refdenotaalpie"/>
          <w:rFonts w:ascii="ITC Avant Garde" w:hAnsi="ITC Avant Garde"/>
          <w:sz w:val="16"/>
          <w:szCs w:val="16"/>
        </w:rPr>
        <w:footnoteRef/>
      </w:r>
      <w:r>
        <w:t xml:space="preserve"> </w:t>
      </w:r>
      <w:r w:rsidRPr="005D0725">
        <w:rPr>
          <w:rFonts w:ascii="ITC Avant Garde" w:hAnsi="ITC Avant Garde"/>
          <w:sz w:val="16"/>
          <w:szCs w:val="16"/>
          <w:lang w:val="es-MX"/>
        </w:rPr>
        <w:t>El tiempo que el CS tendrá para indicar si acepta la cotización</w:t>
      </w:r>
      <w:r>
        <w:rPr>
          <w:rFonts w:ascii="ITC Avant Garde" w:hAnsi="ITC Avant Garde"/>
          <w:sz w:val="16"/>
          <w:szCs w:val="16"/>
          <w:lang w:val="es-MX"/>
        </w:rPr>
        <w:t xml:space="preserve"> y el plan de trabajo</w:t>
      </w:r>
      <w:r w:rsidRPr="005D0725">
        <w:rPr>
          <w:rFonts w:ascii="ITC Avant Garde" w:hAnsi="ITC Avant Garde"/>
          <w:sz w:val="16"/>
          <w:szCs w:val="16"/>
          <w:lang w:val="es-MX"/>
        </w:rPr>
        <w:t>, no contabilizará para los plazos de entrega de Telmex.</w:t>
      </w:r>
    </w:p>
  </w:footnote>
  <w:footnote w:id="45">
    <w:p w14:paraId="33EEF3C0" w14:textId="77777777" w:rsidR="00CA026A" w:rsidRPr="00976ED6" w:rsidRDefault="00CA026A" w:rsidP="008070FB">
      <w:pPr>
        <w:pStyle w:val="Textonotapie"/>
        <w:jc w:val="both"/>
        <w:rPr>
          <w:sz w:val="20"/>
          <w:szCs w:val="20"/>
        </w:rPr>
      </w:pPr>
      <w:r w:rsidRPr="005D0725">
        <w:rPr>
          <w:rStyle w:val="Refdenotaalpie"/>
          <w:rFonts w:ascii="ITC Avant Garde" w:hAnsi="ITC Avant Garde"/>
          <w:sz w:val="16"/>
          <w:szCs w:val="16"/>
        </w:rPr>
        <w:footnoteRef/>
      </w:r>
      <w:r w:rsidRPr="005D0725">
        <w:rPr>
          <w:rFonts w:ascii="ITC Avant Garde" w:hAnsi="ITC Avant Garde"/>
          <w:sz w:val="16"/>
          <w:szCs w:val="16"/>
        </w:rPr>
        <w:t xml:space="preserve"> </w:t>
      </w:r>
      <w:r w:rsidRPr="005D0725">
        <w:rPr>
          <w:rFonts w:ascii="ITC Avant Garde" w:hAnsi="ITC Avant Garde"/>
          <w:sz w:val="16"/>
          <w:szCs w:val="16"/>
          <w:lang w:val="es-MX"/>
        </w:rPr>
        <w:t>El tiempo que el CS tendrá para indicar si acepta la cotización</w:t>
      </w:r>
      <w:r>
        <w:rPr>
          <w:rFonts w:ascii="ITC Avant Garde" w:hAnsi="ITC Avant Garde"/>
          <w:sz w:val="16"/>
          <w:szCs w:val="16"/>
          <w:lang w:val="es-MX"/>
        </w:rPr>
        <w:t xml:space="preserve"> y el plan de trabajo</w:t>
      </w:r>
      <w:r w:rsidRPr="005D0725">
        <w:rPr>
          <w:rFonts w:ascii="ITC Avant Garde" w:hAnsi="ITC Avant Garde"/>
          <w:sz w:val="16"/>
          <w:szCs w:val="16"/>
          <w:lang w:val="es-MX"/>
        </w:rPr>
        <w:t>, no contabilizará para los plazos de entrega de Telmex.</w:t>
      </w:r>
    </w:p>
  </w:footnote>
  <w:footnote w:id="46">
    <w:p w14:paraId="7109DF3E" w14:textId="77777777" w:rsidR="00CA026A" w:rsidRPr="008951F3" w:rsidRDefault="00CA026A" w:rsidP="008070FB">
      <w:pPr>
        <w:pStyle w:val="Textonotapie"/>
        <w:jc w:val="both"/>
        <w:rPr>
          <w:rFonts w:ascii="ITC Avant Garde" w:hAnsi="ITC Avant Garde"/>
          <w:sz w:val="16"/>
          <w:szCs w:val="16"/>
        </w:rPr>
      </w:pPr>
      <w:r w:rsidRPr="008951F3">
        <w:rPr>
          <w:rStyle w:val="Refdenotaalpie"/>
          <w:rFonts w:ascii="ITC Avant Garde" w:hAnsi="ITC Avant Garde"/>
          <w:sz w:val="16"/>
          <w:szCs w:val="16"/>
        </w:rPr>
        <w:footnoteRef/>
      </w:r>
      <w:r w:rsidRPr="008951F3">
        <w:rPr>
          <w:rFonts w:ascii="ITC Avant Garde" w:hAnsi="ITC Avant Garde"/>
          <w:sz w:val="16"/>
          <w:szCs w:val="16"/>
        </w:rPr>
        <w:t xml:space="preserve"> </w:t>
      </w:r>
      <w:r w:rsidRPr="008951F3">
        <w:rPr>
          <w:rFonts w:ascii="ITC Avant Garde" w:hAnsi="ITC Avant Garde"/>
          <w:sz w:val="16"/>
          <w:szCs w:val="16"/>
          <w:lang w:val="es-MX"/>
        </w:rPr>
        <w:t>El tiempo que el CS tendrá para indicar si acepta la cotización, no contabilizará para los plazos de entrega de Telmex.</w:t>
      </w:r>
    </w:p>
  </w:footnote>
  <w:footnote w:id="47">
    <w:p w14:paraId="22C64D34" w14:textId="77777777" w:rsidR="00CA026A" w:rsidRPr="000804CF" w:rsidRDefault="00CA026A" w:rsidP="008070FB">
      <w:pPr>
        <w:pStyle w:val="Textonotapie"/>
        <w:jc w:val="both"/>
        <w:rPr>
          <w:rFonts w:ascii="ITC Avant Garde" w:hAnsi="ITC Avant Garde"/>
          <w:sz w:val="20"/>
          <w:szCs w:val="20"/>
        </w:rPr>
      </w:pPr>
      <w:r w:rsidRPr="000804CF">
        <w:rPr>
          <w:rStyle w:val="Refdenotaalpie"/>
          <w:rFonts w:ascii="ITC Avant Garde" w:hAnsi="ITC Avant Garde"/>
          <w:sz w:val="20"/>
          <w:szCs w:val="20"/>
        </w:rPr>
        <w:footnoteRef/>
      </w:r>
      <w:r w:rsidRPr="000804CF">
        <w:rPr>
          <w:rFonts w:ascii="ITC Avant Garde" w:hAnsi="ITC Avant Garde"/>
          <w:sz w:val="20"/>
          <w:szCs w:val="20"/>
        </w:rPr>
        <w:t xml:space="preserve"> </w:t>
      </w:r>
      <w:r w:rsidRPr="000804CF">
        <w:rPr>
          <w:rFonts w:ascii="ITC Avant Garde" w:hAnsi="ITC Avant Garde"/>
          <w:sz w:val="16"/>
          <w:szCs w:val="16"/>
          <w:lang w:val="es-MX"/>
        </w:rPr>
        <w:t>El tiempo que el CS tendrá para indicar si acepta la cotización, no contabilizará para los plazos de entrega de Telmex.</w:t>
      </w:r>
    </w:p>
  </w:footnote>
  <w:footnote w:id="48">
    <w:p w14:paraId="2C8C8B26" w14:textId="77777777" w:rsidR="00CA026A" w:rsidRPr="004D1840" w:rsidRDefault="00CA026A" w:rsidP="008070FB">
      <w:pPr>
        <w:pStyle w:val="Textonotapie"/>
        <w:jc w:val="both"/>
      </w:pPr>
      <w:r w:rsidRPr="000804CF">
        <w:rPr>
          <w:rStyle w:val="Refdenotaalpie"/>
          <w:rFonts w:ascii="ITC Avant Garde" w:hAnsi="ITC Avant Garde"/>
          <w:sz w:val="20"/>
          <w:szCs w:val="20"/>
        </w:rPr>
        <w:footnoteRef/>
      </w:r>
      <w:r w:rsidRPr="000804CF">
        <w:rPr>
          <w:rFonts w:ascii="ITC Avant Garde" w:hAnsi="ITC Avant Garde"/>
        </w:rPr>
        <w:t xml:space="preserve"> </w:t>
      </w:r>
      <w:r w:rsidRPr="008951F3">
        <w:rPr>
          <w:rFonts w:ascii="ITC Avant Garde" w:hAnsi="ITC Avant Garde"/>
          <w:sz w:val="16"/>
          <w:szCs w:val="16"/>
          <w:lang w:val="es-MX"/>
        </w:rPr>
        <w:t>El tiempo relativo a la tramitación de permisos para la construcción de la Coubicación no contabilizará para los plazos de entrega de Telmex.</w:t>
      </w:r>
    </w:p>
  </w:footnote>
  <w:footnote w:id="49">
    <w:p w14:paraId="05AFBDC5" w14:textId="77777777" w:rsidR="00CA026A" w:rsidRPr="00060BEC" w:rsidRDefault="00CA026A" w:rsidP="000E1DC3">
      <w:pPr>
        <w:pStyle w:val="Textonotapie"/>
        <w:rPr>
          <w:rFonts w:ascii="ITC Avant Garde" w:hAnsi="ITC Avant Garde"/>
          <w:sz w:val="16"/>
          <w:szCs w:val="16"/>
        </w:rPr>
      </w:pPr>
      <w:r w:rsidRPr="005718BD">
        <w:rPr>
          <w:rStyle w:val="Refdenotaalpie"/>
          <w:sz w:val="20"/>
          <w:szCs w:val="20"/>
        </w:rPr>
        <w:footnoteRef/>
      </w:r>
      <w:r w:rsidRPr="005718BD">
        <w:rPr>
          <w:sz w:val="20"/>
          <w:szCs w:val="20"/>
        </w:rPr>
        <w:t xml:space="preserve"> </w:t>
      </w:r>
      <w:r w:rsidRPr="00060BEC">
        <w:rPr>
          <w:rFonts w:ascii="ITC Avant Garde" w:hAnsi="ITC Avant Garde"/>
          <w:sz w:val="16"/>
          <w:szCs w:val="16"/>
          <w:lang w:val="es-MX"/>
        </w:rPr>
        <w:t>El tiempo que el CS tendrá para indicar si acepta la cotización, no contabilizará para los plazos de entrega de Telmex.</w:t>
      </w:r>
    </w:p>
  </w:footnote>
  <w:footnote w:id="50">
    <w:p w14:paraId="420FD6A7" w14:textId="77777777" w:rsidR="00CA026A" w:rsidRPr="00060BEC" w:rsidRDefault="00CA026A" w:rsidP="000E1DC3">
      <w:pPr>
        <w:pStyle w:val="Textonotapie"/>
        <w:jc w:val="both"/>
        <w:rPr>
          <w:rFonts w:ascii="ITC Avant Garde" w:hAnsi="ITC Avant Garde"/>
          <w:sz w:val="16"/>
          <w:szCs w:val="16"/>
        </w:rPr>
      </w:pPr>
      <w:r w:rsidRPr="00060BEC">
        <w:rPr>
          <w:rStyle w:val="Refdenotaalpie"/>
          <w:rFonts w:ascii="ITC Avant Garde" w:hAnsi="ITC Avant Garde"/>
          <w:sz w:val="16"/>
          <w:szCs w:val="16"/>
        </w:rPr>
        <w:footnoteRef/>
      </w:r>
      <w:r w:rsidRPr="00060BEC">
        <w:rPr>
          <w:rFonts w:ascii="ITC Avant Garde" w:hAnsi="ITC Avant Garde"/>
          <w:sz w:val="16"/>
          <w:szCs w:val="16"/>
        </w:rPr>
        <w:t xml:space="preserve"> </w:t>
      </w:r>
      <w:r w:rsidRPr="00060BEC">
        <w:rPr>
          <w:rFonts w:ascii="ITC Avant Garde" w:hAnsi="ITC Avant Garde"/>
          <w:sz w:val="16"/>
          <w:szCs w:val="16"/>
          <w:lang w:val="es-MX"/>
        </w:rPr>
        <w:t>El tiempo relativo a la tramitación de permisos para la construcción del Anexo de Caja no contabilizará para los plazos de entrega de Telmex.</w:t>
      </w:r>
    </w:p>
  </w:footnote>
  <w:footnote w:id="51">
    <w:p w14:paraId="74AAA553" w14:textId="77777777" w:rsidR="00CA026A" w:rsidRPr="00060BEC" w:rsidRDefault="00CA026A" w:rsidP="000E1DC3">
      <w:pPr>
        <w:pStyle w:val="Textonotapie"/>
        <w:rPr>
          <w:rFonts w:ascii="ITC Avant Garde" w:hAnsi="ITC Avant Garde"/>
          <w:sz w:val="16"/>
          <w:szCs w:val="16"/>
        </w:rPr>
      </w:pPr>
      <w:r w:rsidRPr="005718BD">
        <w:rPr>
          <w:rStyle w:val="Refdenotaalpie"/>
          <w:sz w:val="20"/>
          <w:szCs w:val="20"/>
        </w:rPr>
        <w:footnoteRef/>
      </w:r>
      <w:r w:rsidRPr="005718BD">
        <w:rPr>
          <w:sz w:val="20"/>
          <w:szCs w:val="20"/>
        </w:rPr>
        <w:t xml:space="preserve"> </w:t>
      </w:r>
      <w:r w:rsidRPr="00060BEC">
        <w:rPr>
          <w:rFonts w:ascii="ITC Avant Garde" w:hAnsi="ITC Avant Garde"/>
          <w:sz w:val="16"/>
          <w:szCs w:val="16"/>
          <w:lang w:val="es-MX"/>
        </w:rPr>
        <w:t>El tiempo que el CS tendrá para indicar si acepta la cotización, no contabilizará para los plazos de entrega de Telmex.</w:t>
      </w:r>
    </w:p>
  </w:footnote>
  <w:footnote w:id="52">
    <w:p w14:paraId="51954721" w14:textId="77777777" w:rsidR="00CA026A" w:rsidRDefault="00CA026A" w:rsidP="000E1DC3">
      <w:pPr>
        <w:pStyle w:val="Textonotapie"/>
        <w:jc w:val="both"/>
        <w:rPr>
          <w:sz w:val="20"/>
          <w:szCs w:val="20"/>
        </w:rPr>
      </w:pPr>
      <w:r w:rsidRPr="00060BEC">
        <w:rPr>
          <w:rStyle w:val="Refdenotaalpie"/>
          <w:rFonts w:ascii="ITC Avant Garde" w:hAnsi="ITC Avant Garde"/>
          <w:sz w:val="16"/>
          <w:szCs w:val="16"/>
        </w:rPr>
        <w:footnoteRef/>
      </w:r>
      <w:r w:rsidRPr="00060BEC">
        <w:rPr>
          <w:rFonts w:ascii="ITC Avant Garde" w:hAnsi="ITC Avant Garde"/>
          <w:sz w:val="16"/>
          <w:szCs w:val="16"/>
        </w:rPr>
        <w:t xml:space="preserve"> </w:t>
      </w:r>
      <w:r w:rsidRPr="00060BEC">
        <w:rPr>
          <w:rFonts w:ascii="ITC Avant Garde" w:hAnsi="ITC Avant Garde"/>
          <w:sz w:val="16"/>
          <w:szCs w:val="16"/>
          <w:lang w:val="es-MX"/>
        </w:rPr>
        <w:t>El tiempo relativo a la tramitación de permisos para la construcción del Anexo de Caja no contabilizará para los plazos de entrega de Telmex.</w:t>
      </w:r>
    </w:p>
  </w:footnote>
  <w:footnote w:id="53">
    <w:p w14:paraId="66D69F11" w14:textId="77777777" w:rsidR="00CA026A" w:rsidRPr="00060BEC" w:rsidRDefault="00CA026A" w:rsidP="000E1DC3">
      <w:pPr>
        <w:pStyle w:val="Textonotapie"/>
        <w:rPr>
          <w:rFonts w:ascii="ITC Avant Garde" w:hAnsi="ITC Avant Garde"/>
          <w:sz w:val="16"/>
          <w:szCs w:val="16"/>
        </w:rPr>
      </w:pPr>
      <w:r w:rsidRPr="005718BD">
        <w:rPr>
          <w:rStyle w:val="Refdenotaalpie"/>
          <w:sz w:val="20"/>
          <w:szCs w:val="20"/>
        </w:rPr>
        <w:footnoteRef/>
      </w:r>
      <w:r w:rsidRPr="005718BD">
        <w:rPr>
          <w:sz w:val="20"/>
          <w:szCs w:val="20"/>
        </w:rPr>
        <w:t xml:space="preserve"> </w:t>
      </w:r>
      <w:r w:rsidRPr="00060BEC">
        <w:rPr>
          <w:rFonts w:ascii="ITC Avant Garde" w:hAnsi="ITC Avant Garde"/>
          <w:sz w:val="16"/>
          <w:szCs w:val="16"/>
          <w:lang w:val="es-MX"/>
        </w:rPr>
        <w:t>El tiempo que el CS tendrá para indicar si acepta la cotización, no contabilizará para los plazos de entrega de Telmex.</w:t>
      </w:r>
    </w:p>
  </w:footnote>
  <w:footnote w:id="54">
    <w:p w14:paraId="52A14676" w14:textId="77777777" w:rsidR="00CA026A" w:rsidRPr="00060BEC" w:rsidRDefault="00CA026A" w:rsidP="000E1DC3">
      <w:pPr>
        <w:pStyle w:val="Textonotapie"/>
        <w:jc w:val="both"/>
        <w:rPr>
          <w:rFonts w:ascii="ITC Avant Garde" w:hAnsi="ITC Avant Garde"/>
          <w:sz w:val="16"/>
          <w:szCs w:val="16"/>
        </w:rPr>
      </w:pPr>
      <w:r w:rsidRPr="00060BEC">
        <w:rPr>
          <w:rStyle w:val="Refdenotaalpie"/>
          <w:rFonts w:ascii="ITC Avant Garde" w:hAnsi="ITC Avant Garde"/>
          <w:sz w:val="16"/>
          <w:szCs w:val="16"/>
        </w:rPr>
        <w:footnoteRef/>
      </w:r>
      <w:r w:rsidRPr="00060BEC">
        <w:rPr>
          <w:rFonts w:ascii="ITC Avant Garde" w:hAnsi="ITC Avant Garde"/>
          <w:sz w:val="16"/>
          <w:szCs w:val="16"/>
        </w:rPr>
        <w:t xml:space="preserve"> </w:t>
      </w:r>
      <w:r w:rsidRPr="00060BEC">
        <w:rPr>
          <w:rFonts w:ascii="ITC Avant Garde" w:hAnsi="ITC Avant Garde"/>
          <w:sz w:val="16"/>
          <w:szCs w:val="16"/>
          <w:lang w:val="es-MX"/>
        </w:rPr>
        <w:t>El tiempo relativo a la tramitación de permisos para la construcción del Anexo de Caja no contabilizará para los plazos de entrega de Telmex.</w:t>
      </w:r>
    </w:p>
  </w:footnote>
  <w:footnote w:id="55">
    <w:p w14:paraId="1018FD4E" w14:textId="77777777" w:rsidR="00CA026A" w:rsidRPr="00060BEC" w:rsidRDefault="00CA026A" w:rsidP="000E1DC3">
      <w:pPr>
        <w:pStyle w:val="Textonotapie"/>
        <w:rPr>
          <w:rFonts w:ascii="ITC Avant Garde" w:hAnsi="ITC Avant Garde"/>
          <w:sz w:val="16"/>
          <w:szCs w:val="16"/>
        </w:rPr>
      </w:pPr>
      <w:r w:rsidRPr="005718BD">
        <w:rPr>
          <w:rStyle w:val="Refdenotaalpie"/>
          <w:sz w:val="20"/>
          <w:szCs w:val="20"/>
        </w:rPr>
        <w:footnoteRef/>
      </w:r>
      <w:r w:rsidRPr="005718BD">
        <w:rPr>
          <w:sz w:val="20"/>
          <w:szCs w:val="20"/>
        </w:rPr>
        <w:t xml:space="preserve"> </w:t>
      </w:r>
      <w:r w:rsidRPr="00060BEC">
        <w:rPr>
          <w:rFonts w:ascii="ITC Avant Garde" w:hAnsi="ITC Avant Garde"/>
          <w:sz w:val="16"/>
          <w:szCs w:val="16"/>
          <w:lang w:val="es-MX"/>
        </w:rPr>
        <w:t>El tiempo que el CS tendrá para indicar si acepta la cotización, no contabilizará para los plazos de entrega de Telmex.</w:t>
      </w:r>
    </w:p>
  </w:footnote>
  <w:footnote w:id="56">
    <w:p w14:paraId="25A5C46D" w14:textId="53CEDE2C" w:rsidR="00CA026A" w:rsidRPr="00E22C66" w:rsidRDefault="00CA026A">
      <w:pPr>
        <w:pStyle w:val="Textonotapie"/>
        <w:rPr>
          <w:rFonts w:ascii="ITC Avant Garde" w:hAnsi="ITC Avant Garde"/>
          <w:sz w:val="16"/>
          <w:szCs w:val="16"/>
          <w:lang w:val="es-MX"/>
        </w:rPr>
      </w:pPr>
      <w:r>
        <w:rPr>
          <w:rStyle w:val="Refdenotaalpie"/>
        </w:rPr>
        <w:footnoteRef/>
      </w:r>
      <w:r>
        <w:t xml:space="preserve"> </w:t>
      </w:r>
      <w:r w:rsidRPr="00E22C66">
        <w:rPr>
          <w:rFonts w:ascii="ITC Avant Garde" w:hAnsi="ITC Avant Garde"/>
          <w:sz w:val="16"/>
          <w:szCs w:val="16"/>
          <w:lang w:val="es-MX"/>
        </w:rPr>
        <w:t>El SCyD es opcional si el CS solicita conectarse en el equipo de acceso.</w:t>
      </w:r>
    </w:p>
  </w:footnote>
  <w:footnote w:id="57">
    <w:p w14:paraId="45F3DDA0" w14:textId="18155A50" w:rsidR="00CA026A" w:rsidRPr="00B845CD" w:rsidRDefault="00CA026A">
      <w:pPr>
        <w:pStyle w:val="Textonotapie"/>
        <w:rPr>
          <w:rFonts w:ascii="ITC Avant Garde" w:hAnsi="ITC Avant Garde"/>
          <w:sz w:val="16"/>
          <w:szCs w:val="16"/>
        </w:rPr>
      </w:pPr>
      <w:r w:rsidRPr="00B845CD">
        <w:rPr>
          <w:rStyle w:val="Refdenotaalpie"/>
          <w:rFonts w:ascii="ITC Avant Garde" w:hAnsi="ITC Avant Garde"/>
          <w:sz w:val="16"/>
          <w:szCs w:val="16"/>
        </w:rPr>
        <w:footnoteRef/>
      </w:r>
      <w:r w:rsidRPr="00B845CD">
        <w:rPr>
          <w:rFonts w:ascii="ITC Avant Garde" w:hAnsi="ITC Avant Garde"/>
          <w:sz w:val="16"/>
          <w:szCs w:val="16"/>
        </w:rPr>
        <w:t xml:space="preserve"> Figura con fines exclusivamente ilustrativos del funcionamiento del servicio.</w:t>
      </w:r>
    </w:p>
  </w:footnote>
  <w:footnote w:id="58">
    <w:p w14:paraId="652B038D" w14:textId="77777777" w:rsidR="00CA026A" w:rsidRPr="00B845CD" w:rsidRDefault="00CA026A" w:rsidP="00F51B07">
      <w:pPr>
        <w:rPr>
          <w:rFonts w:ascii="ITC Avant Garde" w:hAnsi="ITC Avant Garde"/>
          <w:sz w:val="16"/>
          <w:szCs w:val="16"/>
          <w:lang w:val="es-MX"/>
        </w:rPr>
      </w:pPr>
      <w:r w:rsidRPr="00B845CD">
        <w:rPr>
          <w:rStyle w:val="Refdenotaalpie"/>
          <w:rFonts w:ascii="ITC Avant Garde" w:hAnsi="ITC Avant Garde"/>
          <w:sz w:val="16"/>
          <w:szCs w:val="16"/>
        </w:rPr>
        <w:footnoteRef/>
      </w:r>
      <w:r w:rsidRPr="00B845CD">
        <w:rPr>
          <w:rFonts w:ascii="ITC Avant Garde" w:hAnsi="ITC Avant Garde"/>
          <w:sz w:val="16"/>
          <w:szCs w:val="16"/>
        </w:rPr>
        <w:t xml:space="preserve"> </w:t>
      </w:r>
      <w:r w:rsidRPr="00B845CD">
        <w:rPr>
          <w:rFonts w:ascii="ITC Avant Garde" w:hAnsi="ITC Avant Garde"/>
          <w:sz w:val="16"/>
          <w:szCs w:val="16"/>
          <w:lang w:val="es-MX"/>
        </w:rPr>
        <w:t>Conforme a la Condición SEPTUAGÉSIMA, los puntos de entrega serán coincidentes como mínimo con los puntos de interconexión definidos para el tráfico de telefonía de voz.</w:t>
      </w:r>
    </w:p>
    <w:p w14:paraId="3E341DAD" w14:textId="77777777" w:rsidR="00CA026A" w:rsidRPr="0000134B" w:rsidRDefault="00CA026A" w:rsidP="00F51B07">
      <w:pPr>
        <w:pStyle w:val="Textonotapie"/>
      </w:pPr>
    </w:p>
  </w:footnote>
  <w:footnote w:id="59">
    <w:p w14:paraId="70A3FCC6" w14:textId="3821B7AE" w:rsidR="00CA026A" w:rsidRPr="00E22C66" w:rsidRDefault="00CA026A">
      <w:pPr>
        <w:pStyle w:val="Textonotapie"/>
        <w:rPr>
          <w:rFonts w:ascii="ITC Avant Garde" w:hAnsi="ITC Avant Garde"/>
          <w:sz w:val="16"/>
          <w:szCs w:val="16"/>
          <w:lang w:val="es-MX"/>
        </w:rPr>
      </w:pPr>
      <w:r w:rsidRPr="00B845CD">
        <w:rPr>
          <w:rStyle w:val="Refdenotaalpie"/>
          <w:rFonts w:ascii="ITC Avant Garde" w:hAnsi="ITC Avant Garde"/>
          <w:sz w:val="16"/>
          <w:szCs w:val="16"/>
        </w:rPr>
        <w:footnoteRef/>
      </w:r>
      <w:r w:rsidRPr="00B845CD">
        <w:rPr>
          <w:rFonts w:ascii="ITC Avant Garde" w:hAnsi="ITC Avant Garde"/>
          <w:sz w:val="16"/>
          <w:szCs w:val="16"/>
        </w:rPr>
        <w:t xml:space="preserve"> Figura con fines exclusivamente ilustrativos del funcionamiento del servicio.</w:t>
      </w:r>
    </w:p>
  </w:footnote>
  <w:footnote w:id="60">
    <w:p w14:paraId="5DB2A557" w14:textId="77777777" w:rsidR="00CA026A" w:rsidRPr="00B845CD" w:rsidRDefault="00CA026A" w:rsidP="00F51B07">
      <w:pPr>
        <w:pStyle w:val="Textonotapie"/>
        <w:jc w:val="both"/>
        <w:rPr>
          <w:rFonts w:ascii="ITC Avant Garde" w:hAnsi="ITC Avant Garde"/>
          <w:sz w:val="16"/>
          <w:szCs w:val="16"/>
        </w:rPr>
      </w:pPr>
      <w:r w:rsidRPr="00B845CD">
        <w:rPr>
          <w:rStyle w:val="Refdenotaalpie"/>
          <w:rFonts w:ascii="ITC Avant Garde" w:hAnsi="ITC Avant Garde"/>
          <w:sz w:val="16"/>
          <w:szCs w:val="16"/>
        </w:rPr>
        <w:footnoteRef/>
      </w:r>
      <w:r w:rsidRPr="00B845CD">
        <w:rPr>
          <w:rFonts w:ascii="ITC Avant Garde" w:hAnsi="ITC Avant Garde"/>
          <w:sz w:val="16"/>
          <w:szCs w:val="16"/>
        </w:rPr>
        <w:t xml:space="preserve"> Si el CS acudió a la realización de pruebas y éstas no fueron satisfactorias se realizarán las adecuaciones correspondientes hasta que el servicio esté habilitado conforme a las pruebas.</w:t>
      </w:r>
    </w:p>
  </w:footnote>
  <w:footnote w:id="61">
    <w:p w14:paraId="19AEDD39" w14:textId="77777777" w:rsidR="00CA026A" w:rsidRPr="001D0BDE" w:rsidRDefault="00CA026A" w:rsidP="0015192E">
      <w:pPr>
        <w:pStyle w:val="Textonotapie"/>
        <w:jc w:val="both"/>
        <w:rPr>
          <w:rFonts w:ascii="ITC Avant Garde" w:hAnsi="ITC Avant Garde"/>
          <w:sz w:val="16"/>
          <w:szCs w:val="16"/>
          <w:lang w:val="es-MX"/>
        </w:rPr>
      </w:pPr>
      <w:r w:rsidRPr="001D0BDE">
        <w:rPr>
          <w:rStyle w:val="Refdenotaalpie"/>
          <w:rFonts w:ascii="ITC Avant Garde" w:hAnsi="ITC Avant Garde"/>
          <w:sz w:val="16"/>
          <w:szCs w:val="16"/>
        </w:rPr>
        <w:footnoteRef/>
      </w:r>
      <w:r w:rsidRPr="001D0BDE">
        <w:rPr>
          <w:rFonts w:ascii="ITC Avant Garde" w:hAnsi="ITC Avant Garde"/>
          <w:sz w:val="16"/>
          <w:szCs w:val="16"/>
        </w:rPr>
        <w:t xml:space="preserve"> </w:t>
      </w:r>
      <w:r w:rsidRPr="001D0BDE">
        <w:rPr>
          <w:rFonts w:ascii="ITC Avant Garde" w:hAnsi="ITC Avant Garde"/>
          <w:sz w:val="16"/>
          <w:szCs w:val="16"/>
          <w:lang w:val="es-MX"/>
        </w:rPr>
        <w:t>Los tiempos de retraso atribuibles al CS o a proveedores de equipo requerido para el trabajo especial, no contabilizarán para los plazos de entrega.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86118" w14:textId="77777777" w:rsidR="00CA026A" w:rsidRDefault="00CA026A">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E10E26" w14:textId="77777777" w:rsidR="00C82861" w:rsidRDefault="00C82861" w:rsidP="00C82861">
    <w:pPr>
      <w:pStyle w:val="Encabezado"/>
      <w:rPr>
        <w:rFonts w:ascii="ITC Avant Garde" w:hAnsi="ITC Avant Garde"/>
        <w:b/>
        <w:sz w:val="22"/>
        <w:szCs w:val="22"/>
        <w:lang w:val="es-MX"/>
      </w:rPr>
    </w:pPr>
  </w:p>
  <w:p w14:paraId="3A2E7ED7" w14:textId="77777777" w:rsidR="00C82861" w:rsidRDefault="00C82861" w:rsidP="00C82861">
    <w:pPr>
      <w:pStyle w:val="Encabezado"/>
      <w:rPr>
        <w:rFonts w:ascii="ITC Avant Garde" w:hAnsi="ITC Avant Garde"/>
        <w:b/>
        <w:sz w:val="22"/>
        <w:szCs w:val="22"/>
        <w:lang w:val="es-MX"/>
      </w:rPr>
    </w:pPr>
  </w:p>
  <w:p w14:paraId="24C4E31C" w14:textId="77777777" w:rsidR="00C82861" w:rsidRDefault="00C82861" w:rsidP="00C82861">
    <w:pPr>
      <w:pStyle w:val="Encabezado"/>
      <w:rPr>
        <w:rFonts w:ascii="ITC Avant Garde" w:hAnsi="ITC Avant Garde"/>
        <w:b/>
        <w:sz w:val="22"/>
        <w:szCs w:val="22"/>
        <w:lang w:val="es-MX"/>
      </w:rPr>
    </w:pPr>
  </w:p>
  <w:p w14:paraId="40E86119" w14:textId="77777777" w:rsidR="00CA026A" w:rsidRDefault="00CA026A" w:rsidP="00C82861">
    <w:pPr>
      <w:pStyle w:val="Encabezado"/>
      <w:rPr>
        <w:rFonts w:ascii="ITC Avant Garde" w:hAnsi="ITC Avant Garde"/>
        <w:b/>
        <w:sz w:val="22"/>
        <w:szCs w:val="22"/>
        <w:lang w:val="es-MX"/>
      </w:rPr>
    </w:pPr>
    <w:r w:rsidRPr="00787BAC">
      <w:rPr>
        <w:rFonts w:ascii="ITC Avant Garde" w:hAnsi="ITC Avant Garde"/>
        <w:b/>
        <w:sz w:val="22"/>
        <w:szCs w:val="22"/>
        <w:lang w:val="es-MX"/>
      </w:rPr>
      <w:t>Oferta de Referencia para la Desagregación del Bucle Local</w:t>
    </w:r>
  </w:p>
  <w:p w14:paraId="1937C281" w14:textId="77777777" w:rsidR="00C82861" w:rsidRPr="00787BAC" w:rsidRDefault="00C82861" w:rsidP="00C82861">
    <w:pPr>
      <w:pStyle w:val="Encabezado"/>
      <w:rPr>
        <w:rFonts w:ascii="ITC Avant Garde" w:hAnsi="ITC Avant Garde"/>
        <w:b/>
        <w:sz w:val="22"/>
        <w:szCs w:val="22"/>
        <w:lang w:val="es-MX"/>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8611A" w14:textId="77777777" w:rsidR="00CA026A" w:rsidRDefault="00CA026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8"/>
    <w:lvl w:ilvl="0">
      <w:start w:val="1"/>
      <w:numFmt w:val="decimal"/>
      <w:lvlText w:val="6.12.%1"/>
      <w:lvlJc w:val="left"/>
      <w:pPr>
        <w:tabs>
          <w:tab w:val="num" w:pos="1080"/>
        </w:tabs>
      </w:pPr>
      <w:rPr>
        <w:rFonts w:cs="Times New Roman"/>
        <w:sz w:val="20"/>
      </w:rPr>
    </w:lvl>
  </w:abstractNum>
  <w:abstractNum w:abstractNumId="1" w15:restartNumberingAfterBreak="0">
    <w:nsid w:val="007252AB"/>
    <w:multiLevelType w:val="hybridMultilevel"/>
    <w:tmpl w:val="10284374"/>
    <w:lvl w:ilvl="0" w:tplc="2DA0DE14">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0D8172A"/>
    <w:multiLevelType w:val="hybridMultilevel"/>
    <w:tmpl w:val="B532CD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1095610"/>
    <w:multiLevelType w:val="hybridMultilevel"/>
    <w:tmpl w:val="68723EFE"/>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1C64018"/>
    <w:multiLevelType w:val="hybridMultilevel"/>
    <w:tmpl w:val="6AC8ED92"/>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5" w15:restartNumberingAfterBreak="0">
    <w:nsid w:val="01F722A0"/>
    <w:multiLevelType w:val="hybridMultilevel"/>
    <w:tmpl w:val="D872258C"/>
    <w:lvl w:ilvl="0" w:tplc="080A0019">
      <w:start w:val="1"/>
      <w:numFmt w:val="lowerLetter"/>
      <w:lvlText w:val="%1."/>
      <w:lvlJc w:val="left"/>
      <w:pPr>
        <w:ind w:left="1440" w:hanging="360"/>
      </w:pPr>
    </w:lvl>
    <w:lvl w:ilvl="1" w:tplc="080A001B">
      <w:start w:val="1"/>
      <w:numFmt w:val="lowerRoman"/>
      <w:lvlText w:val="%2."/>
      <w:lvlJc w:val="right"/>
      <w:pPr>
        <w:ind w:left="2160" w:hanging="360"/>
      </w:pPr>
    </w:lvl>
    <w:lvl w:ilvl="2" w:tplc="080A001B">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6" w15:restartNumberingAfterBreak="0">
    <w:nsid w:val="01FF3414"/>
    <w:multiLevelType w:val="hybridMultilevel"/>
    <w:tmpl w:val="435442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2701E99"/>
    <w:multiLevelType w:val="hybridMultilevel"/>
    <w:tmpl w:val="FD68051E"/>
    <w:lvl w:ilvl="0" w:tplc="7AEE5F96">
      <w:start w:val="1"/>
      <w:numFmt w:val="decimal"/>
      <w:lvlText w:val="%1)"/>
      <w:lvlJc w:val="left"/>
      <w:pPr>
        <w:ind w:left="720" w:hanging="360"/>
      </w:pPr>
      <w:rPr>
        <w:rFonts w:ascii="Calibri" w:eastAsia="Times New Roman" w:hAnsi="Calibri" w:cs="Arial"/>
      </w:rPr>
    </w:lvl>
    <w:lvl w:ilvl="1" w:tplc="080A0011">
      <w:start w:val="1"/>
      <w:numFmt w:val="decimal"/>
      <w:lvlText w:val="%2)"/>
      <w:lvlJc w:val="left"/>
      <w:pPr>
        <w:ind w:left="1211" w:hanging="360"/>
      </w:pPr>
      <w:rPr>
        <w:rFonts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CB3E1F"/>
    <w:multiLevelType w:val="hybridMultilevel"/>
    <w:tmpl w:val="E384F8C2"/>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46C5124"/>
    <w:multiLevelType w:val="hybridMultilevel"/>
    <w:tmpl w:val="C91234E0"/>
    <w:lvl w:ilvl="0" w:tplc="A5D097CA">
      <w:start w:val="5"/>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0" w15:restartNumberingAfterBreak="0">
    <w:nsid w:val="048220A7"/>
    <w:multiLevelType w:val="hybridMultilevel"/>
    <w:tmpl w:val="DD22101E"/>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51E0EA4"/>
    <w:multiLevelType w:val="hybridMultilevel"/>
    <w:tmpl w:val="D91CB20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2" w15:restartNumberingAfterBreak="0">
    <w:nsid w:val="05D32CCC"/>
    <w:multiLevelType w:val="hybridMultilevel"/>
    <w:tmpl w:val="08F88CC8"/>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6301EF8"/>
    <w:multiLevelType w:val="hybridMultilevel"/>
    <w:tmpl w:val="88129C68"/>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 w15:restartNumberingAfterBreak="0">
    <w:nsid w:val="063305C9"/>
    <w:multiLevelType w:val="hybridMultilevel"/>
    <w:tmpl w:val="19C290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68424F7"/>
    <w:multiLevelType w:val="hybridMultilevel"/>
    <w:tmpl w:val="9C14286E"/>
    <w:lvl w:ilvl="0" w:tplc="59F0DE7A">
      <w:start w:val="5"/>
      <w:numFmt w:val="bullet"/>
      <w:lvlText w:val=""/>
      <w:lvlJc w:val="left"/>
      <w:pPr>
        <w:ind w:left="720" w:hanging="360"/>
      </w:pPr>
      <w:rPr>
        <w:rFonts w:ascii="Wingdings" w:eastAsia="Times New Roman" w:hAnsi="Wingdings"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6F35ACD"/>
    <w:multiLevelType w:val="hybridMultilevel"/>
    <w:tmpl w:val="F9246D4C"/>
    <w:lvl w:ilvl="0" w:tplc="A46A15FE">
      <w:numFmt w:val="bullet"/>
      <w:lvlText w:val="•"/>
      <w:lvlJc w:val="left"/>
      <w:pPr>
        <w:ind w:left="1406" w:hanging="555"/>
      </w:pPr>
      <w:rPr>
        <w:rFonts w:ascii="ITC Avant Garde" w:eastAsia="Times New Roman" w:hAnsi="ITC Avant Garde" w:cs="Arial" w:hint="default"/>
      </w:rPr>
    </w:lvl>
    <w:lvl w:ilvl="1" w:tplc="9DBCC6E4">
      <w:numFmt w:val="bullet"/>
      <w:lvlText w:val="-"/>
      <w:lvlJc w:val="left"/>
      <w:pPr>
        <w:ind w:left="2126" w:hanging="555"/>
      </w:pPr>
      <w:rPr>
        <w:rFonts w:ascii="ITC Avant Garde" w:eastAsia="Times New Roman" w:hAnsi="ITC Avant Garde" w:cs="Arial" w:hint="default"/>
      </w:rPr>
    </w:lvl>
    <w:lvl w:ilvl="2" w:tplc="080A0005" w:tentative="1">
      <w:start w:val="1"/>
      <w:numFmt w:val="bullet"/>
      <w:lvlText w:val=""/>
      <w:lvlJc w:val="left"/>
      <w:pPr>
        <w:ind w:left="2651" w:hanging="360"/>
      </w:pPr>
      <w:rPr>
        <w:rFonts w:ascii="Wingdings" w:hAnsi="Wingdings" w:hint="default"/>
      </w:rPr>
    </w:lvl>
    <w:lvl w:ilvl="3" w:tplc="080A0001" w:tentative="1">
      <w:start w:val="1"/>
      <w:numFmt w:val="bullet"/>
      <w:lvlText w:val=""/>
      <w:lvlJc w:val="left"/>
      <w:pPr>
        <w:ind w:left="3371" w:hanging="360"/>
      </w:pPr>
      <w:rPr>
        <w:rFonts w:ascii="Symbol" w:hAnsi="Symbol" w:hint="default"/>
      </w:rPr>
    </w:lvl>
    <w:lvl w:ilvl="4" w:tplc="080A0003" w:tentative="1">
      <w:start w:val="1"/>
      <w:numFmt w:val="bullet"/>
      <w:lvlText w:val="o"/>
      <w:lvlJc w:val="left"/>
      <w:pPr>
        <w:ind w:left="4091" w:hanging="360"/>
      </w:pPr>
      <w:rPr>
        <w:rFonts w:ascii="Courier New" w:hAnsi="Courier New" w:cs="Courier New" w:hint="default"/>
      </w:rPr>
    </w:lvl>
    <w:lvl w:ilvl="5" w:tplc="080A0005" w:tentative="1">
      <w:start w:val="1"/>
      <w:numFmt w:val="bullet"/>
      <w:lvlText w:val=""/>
      <w:lvlJc w:val="left"/>
      <w:pPr>
        <w:ind w:left="4811" w:hanging="360"/>
      </w:pPr>
      <w:rPr>
        <w:rFonts w:ascii="Wingdings" w:hAnsi="Wingdings" w:hint="default"/>
      </w:rPr>
    </w:lvl>
    <w:lvl w:ilvl="6" w:tplc="080A0001" w:tentative="1">
      <w:start w:val="1"/>
      <w:numFmt w:val="bullet"/>
      <w:lvlText w:val=""/>
      <w:lvlJc w:val="left"/>
      <w:pPr>
        <w:ind w:left="5531" w:hanging="360"/>
      </w:pPr>
      <w:rPr>
        <w:rFonts w:ascii="Symbol" w:hAnsi="Symbol" w:hint="default"/>
      </w:rPr>
    </w:lvl>
    <w:lvl w:ilvl="7" w:tplc="080A0003" w:tentative="1">
      <w:start w:val="1"/>
      <w:numFmt w:val="bullet"/>
      <w:lvlText w:val="o"/>
      <w:lvlJc w:val="left"/>
      <w:pPr>
        <w:ind w:left="6251" w:hanging="360"/>
      </w:pPr>
      <w:rPr>
        <w:rFonts w:ascii="Courier New" w:hAnsi="Courier New" w:cs="Courier New" w:hint="default"/>
      </w:rPr>
    </w:lvl>
    <w:lvl w:ilvl="8" w:tplc="080A0005" w:tentative="1">
      <w:start w:val="1"/>
      <w:numFmt w:val="bullet"/>
      <w:lvlText w:val=""/>
      <w:lvlJc w:val="left"/>
      <w:pPr>
        <w:ind w:left="6971" w:hanging="360"/>
      </w:pPr>
      <w:rPr>
        <w:rFonts w:ascii="Wingdings" w:hAnsi="Wingdings" w:hint="default"/>
      </w:rPr>
    </w:lvl>
  </w:abstractNum>
  <w:abstractNum w:abstractNumId="17" w15:restartNumberingAfterBreak="0">
    <w:nsid w:val="07265A7D"/>
    <w:multiLevelType w:val="hybridMultilevel"/>
    <w:tmpl w:val="719843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0827625E"/>
    <w:multiLevelType w:val="hybridMultilevel"/>
    <w:tmpl w:val="2A5A2B42"/>
    <w:lvl w:ilvl="0" w:tplc="080A000F">
      <w:start w:val="1"/>
      <w:numFmt w:val="decimal"/>
      <w:lvlText w:val="%1."/>
      <w:lvlJc w:val="left"/>
      <w:pPr>
        <w:tabs>
          <w:tab w:val="num" w:pos="720"/>
        </w:tabs>
        <w:ind w:left="720" w:hanging="360"/>
      </w:pPr>
    </w:lvl>
    <w:lvl w:ilvl="1" w:tplc="4D20217C">
      <w:start w:val="1"/>
      <w:numFmt w:val="decimal"/>
      <w:lvlText w:val="%2."/>
      <w:lvlJc w:val="left"/>
      <w:pPr>
        <w:tabs>
          <w:tab w:val="num" w:pos="1440"/>
        </w:tabs>
        <w:ind w:left="1440" w:hanging="360"/>
      </w:pPr>
      <w:rPr>
        <w:rFonts w:cs="Times New Roman"/>
      </w:rPr>
    </w:lvl>
    <w:lvl w:ilvl="2" w:tplc="0F86C506">
      <w:start w:val="1"/>
      <w:numFmt w:val="decimal"/>
      <w:lvlText w:val="%3."/>
      <w:lvlJc w:val="left"/>
      <w:pPr>
        <w:tabs>
          <w:tab w:val="num" w:pos="2160"/>
        </w:tabs>
        <w:ind w:left="2160" w:hanging="360"/>
      </w:pPr>
      <w:rPr>
        <w:rFonts w:cs="Times New Roman"/>
      </w:rPr>
    </w:lvl>
    <w:lvl w:ilvl="3" w:tplc="041A9BFA">
      <w:start w:val="1"/>
      <w:numFmt w:val="decimal"/>
      <w:lvlText w:val="%4."/>
      <w:lvlJc w:val="left"/>
      <w:pPr>
        <w:tabs>
          <w:tab w:val="num" w:pos="2880"/>
        </w:tabs>
        <w:ind w:left="2880" w:hanging="360"/>
      </w:pPr>
      <w:rPr>
        <w:rFonts w:cs="Times New Roman"/>
      </w:rPr>
    </w:lvl>
    <w:lvl w:ilvl="4" w:tplc="6CDCCAF6">
      <w:start w:val="1"/>
      <w:numFmt w:val="decimal"/>
      <w:lvlText w:val="%5."/>
      <w:lvlJc w:val="left"/>
      <w:pPr>
        <w:tabs>
          <w:tab w:val="num" w:pos="3600"/>
        </w:tabs>
        <w:ind w:left="3600" w:hanging="360"/>
      </w:pPr>
      <w:rPr>
        <w:rFonts w:cs="Times New Roman"/>
      </w:rPr>
    </w:lvl>
    <w:lvl w:ilvl="5" w:tplc="E188D39E">
      <w:start w:val="1"/>
      <w:numFmt w:val="decimal"/>
      <w:lvlText w:val="%6."/>
      <w:lvlJc w:val="left"/>
      <w:pPr>
        <w:tabs>
          <w:tab w:val="num" w:pos="4320"/>
        </w:tabs>
        <w:ind w:left="4320" w:hanging="360"/>
      </w:pPr>
      <w:rPr>
        <w:rFonts w:cs="Times New Roman"/>
      </w:rPr>
    </w:lvl>
    <w:lvl w:ilvl="6" w:tplc="005AD0EE">
      <w:start w:val="1"/>
      <w:numFmt w:val="decimal"/>
      <w:lvlText w:val="%7."/>
      <w:lvlJc w:val="left"/>
      <w:pPr>
        <w:tabs>
          <w:tab w:val="num" w:pos="5040"/>
        </w:tabs>
        <w:ind w:left="5040" w:hanging="360"/>
      </w:pPr>
      <w:rPr>
        <w:rFonts w:cs="Times New Roman"/>
      </w:rPr>
    </w:lvl>
    <w:lvl w:ilvl="7" w:tplc="FA4E299E">
      <w:start w:val="1"/>
      <w:numFmt w:val="decimal"/>
      <w:lvlText w:val="%8."/>
      <w:lvlJc w:val="left"/>
      <w:pPr>
        <w:tabs>
          <w:tab w:val="num" w:pos="5760"/>
        </w:tabs>
        <w:ind w:left="5760" w:hanging="360"/>
      </w:pPr>
      <w:rPr>
        <w:rFonts w:cs="Times New Roman"/>
      </w:rPr>
    </w:lvl>
    <w:lvl w:ilvl="8" w:tplc="E35014D6">
      <w:start w:val="1"/>
      <w:numFmt w:val="decimal"/>
      <w:lvlText w:val="%9."/>
      <w:lvlJc w:val="left"/>
      <w:pPr>
        <w:tabs>
          <w:tab w:val="num" w:pos="6480"/>
        </w:tabs>
        <w:ind w:left="6480" w:hanging="360"/>
      </w:pPr>
      <w:rPr>
        <w:rFonts w:cs="Times New Roman"/>
      </w:rPr>
    </w:lvl>
  </w:abstractNum>
  <w:abstractNum w:abstractNumId="19" w15:restartNumberingAfterBreak="0">
    <w:nsid w:val="08431C23"/>
    <w:multiLevelType w:val="hybridMultilevel"/>
    <w:tmpl w:val="26EEF0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0A2435EE"/>
    <w:multiLevelType w:val="hybridMultilevel"/>
    <w:tmpl w:val="4B5EA4EE"/>
    <w:lvl w:ilvl="0" w:tplc="080A0011">
      <w:start w:val="1"/>
      <w:numFmt w:val="decimal"/>
      <w:lvlText w:val="%1)"/>
      <w:lvlJc w:val="left"/>
      <w:pPr>
        <w:ind w:left="1571" w:hanging="360"/>
      </w:pPr>
    </w:lvl>
    <w:lvl w:ilvl="1" w:tplc="080A0019" w:tentative="1">
      <w:start w:val="1"/>
      <w:numFmt w:val="lowerLetter"/>
      <w:lvlText w:val="%2."/>
      <w:lvlJc w:val="left"/>
      <w:pPr>
        <w:ind w:left="2291" w:hanging="360"/>
      </w:pPr>
    </w:lvl>
    <w:lvl w:ilvl="2" w:tplc="080A001B" w:tentative="1">
      <w:start w:val="1"/>
      <w:numFmt w:val="lowerRoman"/>
      <w:lvlText w:val="%3."/>
      <w:lvlJc w:val="right"/>
      <w:pPr>
        <w:ind w:left="3011" w:hanging="180"/>
      </w:pPr>
    </w:lvl>
    <w:lvl w:ilvl="3" w:tplc="080A000F" w:tentative="1">
      <w:start w:val="1"/>
      <w:numFmt w:val="decimal"/>
      <w:lvlText w:val="%4."/>
      <w:lvlJc w:val="left"/>
      <w:pPr>
        <w:ind w:left="3731" w:hanging="360"/>
      </w:pPr>
    </w:lvl>
    <w:lvl w:ilvl="4" w:tplc="080A0019" w:tentative="1">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21" w15:restartNumberingAfterBreak="0">
    <w:nsid w:val="0A627437"/>
    <w:multiLevelType w:val="hybridMultilevel"/>
    <w:tmpl w:val="C7F4729C"/>
    <w:lvl w:ilvl="0" w:tplc="0C0A0017">
      <w:start w:val="1"/>
      <w:numFmt w:val="lowerLetter"/>
      <w:pStyle w:val="aOpcional"/>
      <w:lvlText w:val="%1)"/>
      <w:lvlJc w:val="left"/>
      <w:pPr>
        <w:tabs>
          <w:tab w:val="num" w:pos="397"/>
        </w:tabs>
        <w:ind w:left="397" w:hanging="397"/>
      </w:pPr>
      <w:rPr>
        <w:rFonts w:cs="Times New Roman" w:hint="default"/>
        <w:b/>
        <w:i w:val="0"/>
        <w:iCs w:val="0"/>
        <w:caps w:val="0"/>
        <w:smallCaps w:val="0"/>
        <w:strike w:val="0"/>
        <w:dstrike w:val="0"/>
        <w:vanish w:val="0"/>
        <w:spacing w:val="0"/>
        <w:kern w:val="0"/>
        <w:position w:val="0"/>
        <w:u w:val="none"/>
        <w:vertAlign w:val="baseline"/>
      </w:rPr>
    </w:lvl>
    <w:lvl w:ilvl="1" w:tplc="0C0A0019" w:tentative="1">
      <w:start w:val="1"/>
      <w:numFmt w:val="lowerLetter"/>
      <w:lvlText w:val="%2."/>
      <w:lvlJc w:val="left"/>
      <w:pPr>
        <w:tabs>
          <w:tab w:val="num" w:pos="1383"/>
        </w:tabs>
        <w:ind w:left="1383" w:hanging="360"/>
      </w:pPr>
      <w:rPr>
        <w:rFonts w:cs="Times New Roman"/>
      </w:rPr>
    </w:lvl>
    <w:lvl w:ilvl="2" w:tplc="0C0A001B" w:tentative="1">
      <w:start w:val="1"/>
      <w:numFmt w:val="lowerRoman"/>
      <w:lvlText w:val="%3."/>
      <w:lvlJc w:val="right"/>
      <w:pPr>
        <w:tabs>
          <w:tab w:val="num" w:pos="2103"/>
        </w:tabs>
        <w:ind w:left="2103" w:hanging="180"/>
      </w:pPr>
      <w:rPr>
        <w:rFonts w:cs="Times New Roman"/>
      </w:rPr>
    </w:lvl>
    <w:lvl w:ilvl="3" w:tplc="0C0A000F" w:tentative="1">
      <w:start w:val="1"/>
      <w:numFmt w:val="decimal"/>
      <w:lvlText w:val="%4."/>
      <w:lvlJc w:val="left"/>
      <w:pPr>
        <w:tabs>
          <w:tab w:val="num" w:pos="2823"/>
        </w:tabs>
        <w:ind w:left="2823" w:hanging="360"/>
      </w:pPr>
      <w:rPr>
        <w:rFonts w:cs="Times New Roman"/>
      </w:rPr>
    </w:lvl>
    <w:lvl w:ilvl="4" w:tplc="0C0A0019" w:tentative="1">
      <w:start w:val="1"/>
      <w:numFmt w:val="lowerLetter"/>
      <w:lvlText w:val="%5."/>
      <w:lvlJc w:val="left"/>
      <w:pPr>
        <w:tabs>
          <w:tab w:val="num" w:pos="3543"/>
        </w:tabs>
        <w:ind w:left="3543" w:hanging="360"/>
      </w:pPr>
      <w:rPr>
        <w:rFonts w:cs="Times New Roman"/>
      </w:rPr>
    </w:lvl>
    <w:lvl w:ilvl="5" w:tplc="0C0A001B" w:tentative="1">
      <w:start w:val="1"/>
      <w:numFmt w:val="lowerRoman"/>
      <w:lvlText w:val="%6."/>
      <w:lvlJc w:val="right"/>
      <w:pPr>
        <w:tabs>
          <w:tab w:val="num" w:pos="4263"/>
        </w:tabs>
        <w:ind w:left="4263" w:hanging="180"/>
      </w:pPr>
      <w:rPr>
        <w:rFonts w:cs="Times New Roman"/>
      </w:rPr>
    </w:lvl>
    <w:lvl w:ilvl="6" w:tplc="0C0A000F" w:tentative="1">
      <w:start w:val="1"/>
      <w:numFmt w:val="decimal"/>
      <w:lvlText w:val="%7."/>
      <w:lvlJc w:val="left"/>
      <w:pPr>
        <w:tabs>
          <w:tab w:val="num" w:pos="4983"/>
        </w:tabs>
        <w:ind w:left="4983" w:hanging="360"/>
      </w:pPr>
      <w:rPr>
        <w:rFonts w:cs="Times New Roman"/>
      </w:rPr>
    </w:lvl>
    <w:lvl w:ilvl="7" w:tplc="0C0A0019" w:tentative="1">
      <w:start w:val="1"/>
      <w:numFmt w:val="lowerLetter"/>
      <w:lvlText w:val="%8."/>
      <w:lvlJc w:val="left"/>
      <w:pPr>
        <w:tabs>
          <w:tab w:val="num" w:pos="5703"/>
        </w:tabs>
        <w:ind w:left="5703" w:hanging="360"/>
      </w:pPr>
      <w:rPr>
        <w:rFonts w:cs="Times New Roman"/>
      </w:rPr>
    </w:lvl>
    <w:lvl w:ilvl="8" w:tplc="0C0A001B" w:tentative="1">
      <w:start w:val="1"/>
      <w:numFmt w:val="lowerRoman"/>
      <w:lvlText w:val="%9."/>
      <w:lvlJc w:val="right"/>
      <w:pPr>
        <w:tabs>
          <w:tab w:val="num" w:pos="6423"/>
        </w:tabs>
        <w:ind w:left="6423" w:hanging="180"/>
      </w:pPr>
      <w:rPr>
        <w:rFonts w:cs="Times New Roman"/>
      </w:rPr>
    </w:lvl>
  </w:abstractNum>
  <w:abstractNum w:abstractNumId="22" w15:restartNumberingAfterBreak="0">
    <w:nsid w:val="0C582D28"/>
    <w:multiLevelType w:val="hybridMultilevel"/>
    <w:tmpl w:val="8D7C5D4E"/>
    <w:lvl w:ilvl="0" w:tplc="FFFFFFFF">
      <w:start w:val="1"/>
      <w:numFmt w:val="decimal"/>
      <w:pStyle w:val="Titulo2"/>
      <w:lvlText w:val="6.1.%1."/>
      <w:lvlJc w:val="left"/>
      <w:pPr>
        <w:tabs>
          <w:tab w:val="num" w:pos="1440"/>
        </w:tabs>
        <w:ind w:left="144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0D897E90"/>
    <w:multiLevelType w:val="hybridMultilevel"/>
    <w:tmpl w:val="7C565B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0DED62F9"/>
    <w:multiLevelType w:val="hybridMultilevel"/>
    <w:tmpl w:val="FC2839A4"/>
    <w:lvl w:ilvl="0" w:tplc="FFFFFFFF">
      <w:start w:val="1"/>
      <w:numFmt w:val="decimal"/>
      <w:pStyle w:val="EstiloTitulo3Negrita"/>
      <w:lvlText w:val="5.4.%1."/>
      <w:lvlJc w:val="left"/>
      <w:pPr>
        <w:tabs>
          <w:tab w:val="num" w:pos="1440"/>
        </w:tabs>
        <w:ind w:left="144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5" w15:restartNumberingAfterBreak="0">
    <w:nsid w:val="0E2B4609"/>
    <w:multiLevelType w:val="hybridMultilevel"/>
    <w:tmpl w:val="0B14583E"/>
    <w:lvl w:ilvl="0" w:tplc="FFFFFFFF">
      <w:numFmt w:val="bullet"/>
      <w:lvlText w:val="-"/>
      <w:lvlJc w:val="left"/>
      <w:pPr>
        <w:ind w:left="720" w:hanging="360"/>
      </w:pPr>
      <w:rPr>
        <w:rFonts w:ascii="Arial" w:eastAsia="Times New Roman" w:hAnsi="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0EB2036B"/>
    <w:multiLevelType w:val="hybridMultilevel"/>
    <w:tmpl w:val="A74463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0F513911"/>
    <w:multiLevelType w:val="hybridMultilevel"/>
    <w:tmpl w:val="E9448A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0F544301"/>
    <w:multiLevelType w:val="hybridMultilevel"/>
    <w:tmpl w:val="626672B2"/>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0F706FCA"/>
    <w:multiLevelType w:val="multilevel"/>
    <w:tmpl w:val="1B8C0C12"/>
    <w:styleLink w:val="Estilo1"/>
    <w:lvl w:ilvl="0">
      <w:start w:val="3"/>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0" w15:restartNumberingAfterBreak="0">
    <w:nsid w:val="0F8D3F65"/>
    <w:multiLevelType w:val="hybridMultilevel"/>
    <w:tmpl w:val="DBDC318C"/>
    <w:lvl w:ilvl="0" w:tplc="A7505762">
      <w:start w:val="3"/>
      <w:numFmt w:val="bullet"/>
      <w:lvlText w:val="-"/>
      <w:lvlJc w:val="left"/>
      <w:pPr>
        <w:ind w:left="720" w:hanging="360"/>
      </w:pPr>
      <w:rPr>
        <w:rFonts w:ascii="Calibri" w:eastAsia="Times New Roman" w:hAnsi="Calibri"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0F8E7AAE"/>
    <w:multiLevelType w:val="hybridMultilevel"/>
    <w:tmpl w:val="411E7F72"/>
    <w:lvl w:ilvl="0" w:tplc="27AAF78C">
      <w:start w:val="1"/>
      <w:numFmt w:val="lowerLetter"/>
      <w:lvlText w:val="%1)"/>
      <w:lvlJc w:val="left"/>
      <w:pPr>
        <w:ind w:left="1080" w:hanging="360"/>
      </w:pPr>
      <w:rPr>
        <w:rFonts w:hint="default"/>
      </w:rPr>
    </w:lvl>
    <w:lvl w:ilvl="1" w:tplc="080A0019">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2" w15:restartNumberingAfterBreak="0">
    <w:nsid w:val="0FA27EE3"/>
    <w:multiLevelType w:val="hybridMultilevel"/>
    <w:tmpl w:val="612AFD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10221379"/>
    <w:multiLevelType w:val="hybridMultilevel"/>
    <w:tmpl w:val="84F2D160"/>
    <w:lvl w:ilvl="0" w:tplc="F8B6E68E">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10F06F52"/>
    <w:multiLevelType w:val="hybridMultilevel"/>
    <w:tmpl w:val="923437EE"/>
    <w:lvl w:ilvl="0" w:tplc="0C0A0019">
      <w:start w:val="1"/>
      <w:numFmt w:val="lowerLetter"/>
      <w:lvlText w:val="%1."/>
      <w:lvlJc w:val="left"/>
      <w:pPr>
        <w:ind w:left="2291" w:hanging="360"/>
      </w:pPr>
      <w:rPr>
        <w:rFonts w:cs="Times New Roman"/>
      </w:rPr>
    </w:lvl>
    <w:lvl w:ilvl="1" w:tplc="7AEE5F96">
      <w:start w:val="1"/>
      <w:numFmt w:val="decimal"/>
      <w:lvlText w:val="%2)"/>
      <w:lvlJc w:val="left"/>
      <w:pPr>
        <w:ind w:left="2291" w:hanging="360"/>
      </w:pPr>
      <w:rPr>
        <w:rFonts w:ascii="Calibri" w:eastAsia="Times New Roman" w:hAnsi="Calibri" w:cs="Arial"/>
      </w:rPr>
    </w:lvl>
    <w:lvl w:ilvl="2" w:tplc="080A0001">
      <w:start w:val="1"/>
      <w:numFmt w:val="bullet"/>
      <w:lvlText w:val=""/>
      <w:lvlJc w:val="left"/>
      <w:pPr>
        <w:ind w:left="3011" w:hanging="180"/>
      </w:pPr>
      <w:rPr>
        <w:rFonts w:ascii="Symbol" w:hAnsi="Symbol" w:hint="default"/>
      </w:rPr>
    </w:lvl>
    <w:lvl w:ilvl="3" w:tplc="16ECC00C">
      <w:start w:val="1"/>
      <w:numFmt w:val="lowerRoman"/>
      <w:lvlText w:val="%4)"/>
      <w:lvlJc w:val="left"/>
      <w:pPr>
        <w:ind w:left="4091" w:hanging="720"/>
      </w:pPr>
      <w:rPr>
        <w:rFonts w:ascii="ITC Avant Garde" w:eastAsia="Times New Roman" w:hAnsi="ITC Avant Garde" w:cs="Arial"/>
      </w:rPr>
    </w:lvl>
    <w:lvl w:ilvl="4" w:tplc="080A0019">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35" w15:restartNumberingAfterBreak="0">
    <w:nsid w:val="1101130E"/>
    <w:multiLevelType w:val="hybridMultilevel"/>
    <w:tmpl w:val="96D2731C"/>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59BE3012">
      <w:start w:val="1"/>
      <w:numFmt w:val="lowerLetter"/>
      <w:lvlText w:val="%5)"/>
      <w:lvlJc w:val="left"/>
      <w:pPr>
        <w:ind w:left="3621" w:hanging="360"/>
      </w:pPr>
      <w:rPr>
        <w:rFonts w:hint="default"/>
      </w:rPr>
    </w:lvl>
    <w:lvl w:ilvl="5" w:tplc="0C0A001B">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36" w15:restartNumberingAfterBreak="0">
    <w:nsid w:val="119C4CF5"/>
    <w:multiLevelType w:val="hybridMultilevel"/>
    <w:tmpl w:val="75360428"/>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37" w15:restartNumberingAfterBreak="0">
    <w:nsid w:val="12B14D06"/>
    <w:multiLevelType w:val="hybridMultilevel"/>
    <w:tmpl w:val="5650C42A"/>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38" w15:restartNumberingAfterBreak="0">
    <w:nsid w:val="12F752D3"/>
    <w:multiLevelType w:val="hybridMultilevel"/>
    <w:tmpl w:val="4DC042E2"/>
    <w:lvl w:ilvl="0" w:tplc="0C0A0001">
      <w:start w:val="1"/>
      <w:numFmt w:val="decimal"/>
      <w:pStyle w:val="Titulo3-"/>
      <w:lvlText w:val="6.3.%1."/>
      <w:lvlJc w:val="left"/>
      <w:pPr>
        <w:tabs>
          <w:tab w:val="num" w:pos="1440"/>
        </w:tabs>
        <w:ind w:left="1440" w:hanging="360"/>
      </w:pPr>
      <w:rPr>
        <w:rFonts w:cs="Times New Roman" w:hint="default"/>
        <w:b/>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39" w15:restartNumberingAfterBreak="0">
    <w:nsid w:val="145662B9"/>
    <w:multiLevelType w:val="hybridMultilevel"/>
    <w:tmpl w:val="24DC60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155A50E2"/>
    <w:multiLevelType w:val="hybridMultilevel"/>
    <w:tmpl w:val="5802B3F6"/>
    <w:lvl w:ilvl="0" w:tplc="C2E44800">
      <w:numFmt w:val="bullet"/>
      <w:lvlText w:val="-"/>
      <w:lvlJc w:val="left"/>
      <w:pPr>
        <w:ind w:left="720" w:hanging="360"/>
      </w:pPr>
      <w:rPr>
        <w:rFonts w:ascii="Calibri" w:eastAsiaTheme="minorHAnsi" w:hAnsi="Calibri" w:cs="Times New Roman" w:hint="default"/>
      </w:rPr>
    </w:lvl>
    <w:lvl w:ilvl="1" w:tplc="C2E44800">
      <w:numFmt w:val="bullet"/>
      <w:lvlText w:val="-"/>
      <w:lvlJc w:val="left"/>
      <w:pPr>
        <w:ind w:left="1440" w:hanging="360"/>
      </w:pPr>
      <w:rPr>
        <w:rFonts w:ascii="Calibri" w:eastAsiaTheme="minorHAnsi" w:hAnsi="Calibri"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158C55D2"/>
    <w:multiLevelType w:val="hybridMultilevel"/>
    <w:tmpl w:val="37FE90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15B56338"/>
    <w:multiLevelType w:val="hybridMultilevel"/>
    <w:tmpl w:val="4DB6B7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16501DFA"/>
    <w:multiLevelType w:val="hybridMultilevel"/>
    <w:tmpl w:val="2D80EC2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17136075"/>
    <w:multiLevelType w:val="hybridMultilevel"/>
    <w:tmpl w:val="62444D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1">
      <w:start w:val="1"/>
      <w:numFmt w:val="bullet"/>
      <w:lvlText w:val=""/>
      <w:lvlJc w:val="left"/>
      <w:pPr>
        <w:ind w:left="3600" w:hanging="360"/>
      </w:pPr>
      <w:rPr>
        <w:rFonts w:ascii="Symbol" w:hAnsi="Symbol"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17721BE5"/>
    <w:multiLevelType w:val="hybridMultilevel"/>
    <w:tmpl w:val="925099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17B11988"/>
    <w:multiLevelType w:val="hybridMultilevel"/>
    <w:tmpl w:val="5A9466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17FF542B"/>
    <w:multiLevelType w:val="hybridMultilevel"/>
    <w:tmpl w:val="F8C2D66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18996C6D"/>
    <w:multiLevelType w:val="hybridMultilevel"/>
    <w:tmpl w:val="2A5A2B42"/>
    <w:lvl w:ilvl="0" w:tplc="080A000F">
      <w:start w:val="1"/>
      <w:numFmt w:val="decimal"/>
      <w:lvlText w:val="%1."/>
      <w:lvlJc w:val="left"/>
      <w:pPr>
        <w:tabs>
          <w:tab w:val="num" w:pos="720"/>
        </w:tabs>
        <w:ind w:left="720" w:hanging="360"/>
      </w:pPr>
    </w:lvl>
    <w:lvl w:ilvl="1" w:tplc="4D20217C">
      <w:start w:val="1"/>
      <w:numFmt w:val="decimal"/>
      <w:lvlText w:val="%2."/>
      <w:lvlJc w:val="left"/>
      <w:pPr>
        <w:tabs>
          <w:tab w:val="num" w:pos="1440"/>
        </w:tabs>
        <w:ind w:left="1440" w:hanging="360"/>
      </w:pPr>
      <w:rPr>
        <w:rFonts w:cs="Times New Roman"/>
      </w:rPr>
    </w:lvl>
    <w:lvl w:ilvl="2" w:tplc="0F86C506">
      <w:start w:val="1"/>
      <w:numFmt w:val="decimal"/>
      <w:lvlText w:val="%3."/>
      <w:lvlJc w:val="left"/>
      <w:pPr>
        <w:tabs>
          <w:tab w:val="num" w:pos="2160"/>
        </w:tabs>
        <w:ind w:left="2160" w:hanging="360"/>
      </w:pPr>
      <w:rPr>
        <w:rFonts w:cs="Times New Roman"/>
      </w:rPr>
    </w:lvl>
    <w:lvl w:ilvl="3" w:tplc="041A9BFA">
      <w:start w:val="1"/>
      <w:numFmt w:val="decimal"/>
      <w:lvlText w:val="%4."/>
      <w:lvlJc w:val="left"/>
      <w:pPr>
        <w:tabs>
          <w:tab w:val="num" w:pos="2880"/>
        </w:tabs>
        <w:ind w:left="2880" w:hanging="360"/>
      </w:pPr>
      <w:rPr>
        <w:rFonts w:cs="Times New Roman"/>
      </w:rPr>
    </w:lvl>
    <w:lvl w:ilvl="4" w:tplc="6CDCCAF6">
      <w:start w:val="1"/>
      <w:numFmt w:val="decimal"/>
      <w:lvlText w:val="%5."/>
      <w:lvlJc w:val="left"/>
      <w:pPr>
        <w:tabs>
          <w:tab w:val="num" w:pos="3600"/>
        </w:tabs>
        <w:ind w:left="3600" w:hanging="360"/>
      </w:pPr>
      <w:rPr>
        <w:rFonts w:cs="Times New Roman"/>
      </w:rPr>
    </w:lvl>
    <w:lvl w:ilvl="5" w:tplc="E188D39E">
      <w:start w:val="1"/>
      <w:numFmt w:val="decimal"/>
      <w:lvlText w:val="%6."/>
      <w:lvlJc w:val="left"/>
      <w:pPr>
        <w:tabs>
          <w:tab w:val="num" w:pos="4320"/>
        </w:tabs>
        <w:ind w:left="4320" w:hanging="360"/>
      </w:pPr>
      <w:rPr>
        <w:rFonts w:cs="Times New Roman"/>
      </w:rPr>
    </w:lvl>
    <w:lvl w:ilvl="6" w:tplc="005AD0EE">
      <w:start w:val="1"/>
      <w:numFmt w:val="decimal"/>
      <w:lvlText w:val="%7."/>
      <w:lvlJc w:val="left"/>
      <w:pPr>
        <w:tabs>
          <w:tab w:val="num" w:pos="5040"/>
        </w:tabs>
        <w:ind w:left="5040" w:hanging="360"/>
      </w:pPr>
      <w:rPr>
        <w:rFonts w:cs="Times New Roman"/>
      </w:rPr>
    </w:lvl>
    <w:lvl w:ilvl="7" w:tplc="FA4E299E">
      <w:start w:val="1"/>
      <w:numFmt w:val="decimal"/>
      <w:lvlText w:val="%8."/>
      <w:lvlJc w:val="left"/>
      <w:pPr>
        <w:tabs>
          <w:tab w:val="num" w:pos="5760"/>
        </w:tabs>
        <w:ind w:left="5760" w:hanging="360"/>
      </w:pPr>
      <w:rPr>
        <w:rFonts w:cs="Times New Roman"/>
      </w:rPr>
    </w:lvl>
    <w:lvl w:ilvl="8" w:tplc="E35014D6">
      <w:start w:val="1"/>
      <w:numFmt w:val="decimal"/>
      <w:lvlText w:val="%9."/>
      <w:lvlJc w:val="left"/>
      <w:pPr>
        <w:tabs>
          <w:tab w:val="num" w:pos="6480"/>
        </w:tabs>
        <w:ind w:left="6480" w:hanging="360"/>
      </w:pPr>
      <w:rPr>
        <w:rFonts w:cs="Times New Roman"/>
      </w:rPr>
    </w:lvl>
  </w:abstractNum>
  <w:abstractNum w:abstractNumId="49" w15:restartNumberingAfterBreak="0">
    <w:nsid w:val="193365B8"/>
    <w:multiLevelType w:val="hybridMultilevel"/>
    <w:tmpl w:val="1110F4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199B72E9"/>
    <w:multiLevelType w:val="hybridMultilevel"/>
    <w:tmpl w:val="2B7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19EC1B61"/>
    <w:multiLevelType w:val="hybridMultilevel"/>
    <w:tmpl w:val="1878FC2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2" w15:restartNumberingAfterBreak="0">
    <w:nsid w:val="1B281665"/>
    <w:multiLevelType w:val="hybridMultilevel"/>
    <w:tmpl w:val="97B8FD48"/>
    <w:lvl w:ilvl="0" w:tplc="0C0A0019">
      <w:start w:val="1"/>
      <w:numFmt w:val="lowerLetter"/>
      <w:lvlText w:val="%1."/>
      <w:lvlJc w:val="left"/>
      <w:pPr>
        <w:ind w:left="144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1C385855"/>
    <w:multiLevelType w:val="hybridMultilevel"/>
    <w:tmpl w:val="14484F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1CE419D1"/>
    <w:multiLevelType w:val="hybridMultilevel"/>
    <w:tmpl w:val="F544C378"/>
    <w:lvl w:ilvl="0" w:tplc="BFF0D60A">
      <w:numFmt w:val="bullet"/>
      <w:lvlText w:val="-"/>
      <w:lvlJc w:val="left"/>
      <w:pPr>
        <w:ind w:left="720" w:hanging="360"/>
      </w:pPr>
      <w:rPr>
        <w:rFonts w:ascii="Comic Sans MS" w:eastAsia="Times New Roman" w:hAnsi="Comic Sans MS" w:hint="default"/>
      </w:rPr>
    </w:lvl>
    <w:lvl w:ilvl="1" w:tplc="080A0003">
      <w:start w:val="1"/>
      <w:numFmt w:val="bullet"/>
      <w:lvlText w:val="o"/>
      <w:lvlJc w:val="left"/>
      <w:pPr>
        <w:ind w:left="1440" w:hanging="360"/>
      </w:pPr>
      <w:rPr>
        <w:rFonts w:ascii="Courier New" w:hAnsi="Courier New" w:cs="Times New Roman" w:hint="default"/>
      </w:r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55" w15:restartNumberingAfterBreak="0">
    <w:nsid w:val="1DF3187E"/>
    <w:multiLevelType w:val="hybridMultilevel"/>
    <w:tmpl w:val="AE5EF7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1E25200C"/>
    <w:multiLevelType w:val="hybridMultilevel"/>
    <w:tmpl w:val="3B3845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1E80480F"/>
    <w:multiLevelType w:val="hybridMultilevel"/>
    <w:tmpl w:val="775ED588"/>
    <w:lvl w:ilvl="0" w:tplc="0C0A001B">
      <w:start w:val="1"/>
      <w:numFmt w:val="lowerRoman"/>
      <w:lvlText w:val="%1."/>
      <w:lvlJc w:val="right"/>
      <w:pPr>
        <w:ind w:left="2160" w:hanging="180"/>
      </w:pPr>
      <w:rPr>
        <w:rFonts w:cs="Times New Roman"/>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1F000960"/>
    <w:multiLevelType w:val="hybridMultilevel"/>
    <w:tmpl w:val="BA5AA50E"/>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9D08DE3E">
      <w:numFmt w:val="bullet"/>
      <w:lvlText w:val="•"/>
      <w:lvlJc w:val="left"/>
      <w:pPr>
        <w:ind w:left="3600" w:hanging="360"/>
      </w:pPr>
      <w:rPr>
        <w:rFonts w:ascii="ITC Avant Garde" w:eastAsia="Calibri" w:hAnsi="ITC Avant Garde" w:cs="Calibri"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1F732E3E"/>
    <w:multiLevelType w:val="hybridMultilevel"/>
    <w:tmpl w:val="7AFEC16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1F955DEE"/>
    <w:multiLevelType w:val="hybridMultilevel"/>
    <w:tmpl w:val="83AE3C1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1" w15:restartNumberingAfterBreak="0">
    <w:nsid w:val="1FB10813"/>
    <w:multiLevelType w:val="hybridMultilevel"/>
    <w:tmpl w:val="E184470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2" w15:restartNumberingAfterBreak="0">
    <w:nsid w:val="1FC04109"/>
    <w:multiLevelType w:val="hybridMultilevel"/>
    <w:tmpl w:val="55061A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200B6CFA"/>
    <w:multiLevelType w:val="hybridMultilevel"/>
    <w:tmpl w:val="045EFF1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20464D52"/>
    <w:multiLevelType w:val="hybridMultilevel"/>
    <w:tmpl w:val="9E745318"/>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208E1210"/>
    <w:multiLevelType w:val="multilevel"/>
    <w:tmpl w:val="5D7484B0"/>
    <w:lvl w:ilvl="0">
      <w:start w:val="1"/>
      <w:numFmt w:val="decimal"/>
      <w:lvlText w:val="%1."/>
      <w:lvlJc w:val="left"/>
      <w:pPr>
        <w:tabs>
          <w:tab w:val="num" w:pos="0"/>
        </w:tabs>
        <w:ind w:left="360" w:hanging="360"/>
      </w:pPr>
      <w:rPr>
        <w:rFonts w:cs="Times New Roman" w:hint="default"/>
      </w:rPr>
    </w:lvl>
    <w:lvl w:ilvl="1">
      <w:numFmt w:val="none"/>
      <w:lvlText w:val="%26.1."/>
      <w:lvlJc w:val="left"/>
      <w:pPr>
        <w:tabs>
          <w:tab w:val="num" w:pos="0"/>
        </w:tabs>
        <w:ind w:left="43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pStyle w:val="SUBCAP4"/>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66" w15:restartNumberingAfterBreak="0">
    <w:nsid w:val="20C673E3"/>
    <w:multiLevelType w:val="hybridMultilevel"/>
    <w:tmpl w:val="5BDEBF7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215D33C7"/>
    <w:multiLevelType w:val="hybridMultilevel"/>
    <w:tmpl w:val="361AD8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15:restartNumberingAfterBreak="0">
    <w:nsid w:val="215F6D63"/>
    <w:multiLevelType w:val="hybridMultilevel"/>
    <w:tmpl w:val="61D461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21E62536"/>
    <w:multiLevelType w:val="hybridMultilevel"/>
    <w:tmpl w:val="D9264078"/>
    <w:lvl w:ilvl="0" w:tplc="8FF2C674">
      <w:start w:val="1"/>
      <w:numFmt w:val="decimal"/>
      <w:lvlText w:val="%1)"/>
      <w:lvlJc w:val="left"/>
      <w:pPr>
        <w:ind w:left="4330" w:hanging="360"/>
      </w:pPr>
      <w:rPr>
        <w:b w:val="0"/>
      </w:rPr>
    </w:lvl>
    <w:lvl w:ilvl="1" w:tplc="080A0019" w:tentative="1">
      <w:start w:val="1"/>
      <w:numFmt w:val="lowerLetter"/>
      <w:lvlText w:val="%2."/>
      <w:lvlJc w:val="left"/>
      <w:pPr>
        <w:ind w:left="5050" w:hanging="360"/>
      </w:pPr>
    </w:lvl>
    <w:lvl w:ilvl="2" w:tplc="080A001B" w:tentative="1">
      <w:start w:val="1"/>
      <w:numFmt w:val="lowerRoman"/>
      <w:lvlText w:val="%3."/>
      <w:lvlJc w:val="right"/>
      <w:pPr>
        <w:ind w:left="5770" w:hanging="180"/>
      </w:pPr>
    </w:lvl>
    <w:lvl w:ilvl="3" w:tplc="080A000F" w:tentative="1">
      <w:start w:val="1"/>
      <w:numFmt w:val="decimal"/>
      <w:lvlText w:val="%4."/>
      <w:lvlJc w:val="left"/>
      <w:pPr>
        <w:ind w:left="6490" w:hanging="360"/>
      </w:pPr>
    </w:lvl>
    <w:lvl w:ilvl="4" w:tplc="080A0019" w:tentative="1">
      <w:start w:val="1"/>
      <w:numFmt w:val="lowerLetter"/>
      <w:lvlText w:val="%5."/>
      <w:lvlJc w:val="left"/>
      <w:pPr>
        <w:ind w:left="7210" w:hanging="360"/>
      </w:pPr>
    </w:lvl>
    <w:lvl w:ilvl="5" w:tplc="080A001B" w:tentative="1">
      <w:start w:val="1"/>
      <w:numFmt w:val="lowerRoman"/>
      <w:lvlText w:val="%6."/>
      <w:lvlJc w:val="right"/>
      <w:pPr>
        <w:ind w:left="7930" w:hanging="180"/>
      </w:pPr>
    </w:lvl>
    <w:lvl w:ilvl="6" w:tplc="080A000F" w:tentative="1">
      <w:start w:val="1"/>
      <w:numFmt w:val="decimal"/>
      <w:lvlText w:val="%7."/>
      <w:lvlJc w:val="left"/>
      <w:pPr>
        <w:ind w:left="8650" w:hanging="360"/>
      </w:pPr>
    </w:lvl>
    <w:lvl w:ilvl="7" w:tplc="080A0019" w:tentative="1">
      <w:start w:val="1"/>
      <w:numFmt w:val="lowerLetter"/>
      <w:lvlText w:val="%8."/>
      <w:lvlJc w:val="left"/>
      <w:pPr>
        <w:ind w:left="9370" w:hanging="360"/>
      </w:pPr>
    </w:lvl>
    <w:lvl w:ilvl="8" w:tplc="080A001B" w:tentative="1">
      <w:start w:val="1"/>
      <w:numFmt w:val="lowerRoman"/>
      <w:lvlText w:val="%9."/>
      <w:lvlJc w:val="right"/>
      <w:pPr>
        <w:ind w:left="10090" w:hanging="180"/>
      </w:pPr>
    </w:lvl>
  </w:abstractNum>
  <w:abstractNum w:abstractNumId="70" w15:restartNumberingAfterBreak="0">
    <w:nsid w:val="22166A47"/>
    <w:multiLevelType w:val="hybridMultilevel"/>
    <w:tmpl w:val="00BC6D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224320AB"/>
    <w:multiLevelType w:val="hybridMultilevel"/>
    <w:tmpl w:val="6AC8ED92"/>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72" w15:restartNumberingAfterBreak="0">
    <w:nsid w:val="23082B59"/>
    <w:multiLevelType w:val="hybridMultilevel"/>
    <w:tmpl w:val="699883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23D255A4"/>
    <w:multiLevelType w:val="hybridMultilevel"/>
    <w:tmpl w:val="59766128"/>
    <w:lvl w:ilvl="0" w:tplc="FD2621FE">
      <w:start w:val="1"/>
      <w:numFmt w:val="decimal"/>
      <w:lvlText w:val="%1)"/>
      <w:lvlJc w:val="left"/>
      <w:pPr>
        <w:ind w:left="1080" w:hanging="360"/>
      </w:pPr>
      <w:rPr>
        <w:rFonts w:hint="default"/>
      </w:r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74" w15:restartNumberingAfterBreak="0">
    <w:nsid w:val="257B11CB"/>
    <w:multiLevelType w:val="hybridMultilevel"/>
    <w:tmpl w:val="73AABD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25D64E86"/>
    <w:multiLevelType w:val="hybridMultilevel"/>
    <w:tmpl w:val="81CA8B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26973968"/>
    <w:multiLevelType w:val="hybridMultilevel"/>
    <w:tmpl w:val="25BE61F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15:restartNumberingAfterBreak="0">
    <w:nsid w:val="269B3F77"/>
    <w:multiLevelType w:val="hybridMultilevel"/>
    <w:tmpl w:val="75360428"/>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78" w15:restartNumberingAfterBreak="0">
    <w:nsid w:val="274251BF"/>
    <w:multiLevelType w:val="hybridMultilevel"/>
    <w:tmpl w:val="B12090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15:restartNumberingAfterBreak="0">
    <w:nsid w:val="276E5800"/>
    <w:multiLevelType w:val="hybridMultilevel"/>
    <w:tmpl w:val="81A2BD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28BF7158"/>
    <w:multiLevelType w:val="hybridMultilevel"/>
    <w:tmpl w:val="08760F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15:restartNumberingAfterBreak="0">
    <w:nsid w:val="296F404F"/>
    <w:multiLevelType w:val="hybridMultilevel"/>
    <w:tmpl w:val="F954A578"/>
    <w:lvl w:ilvl="0" w:tplc="71D2EC40">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29782C7C"/>
    <w:multiLevelType w:val="hybridMultilevel"/>
    <w:tmpl w:val="A648A38C"/>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83" w15:restartNumberingAfterBreak="0">
    <w:nsid w:val="2A635307"/>
    <w:multiLevelType w:val="hybridMultilevel"/>
    <w:tmpl w:val="922E8822"/>
    <w:lvl w:ilvl="0" w:tplc="46FEF5C0">
      <w:start w:val="1"/>
      <w:numFmt w:val="lowerRoman"/>
      <w:lvlText w:val="%1)"/>
      <w:lvlJc w:val="left"/>
      <w:pPr>
        <w:ind w:left="2136" w:hanging="720"/>
      </w:pPr>
      <w:rPr>
        <w:rFonts w:hint="default"/>
      </w:rPr>
    </w:lvl>
    <w:lvl w:ilvl="1" w:tplc="080A0019" w:tentative="1">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84" w15:restartNumberingAfterBreak="0">
    <w:nsid w:val="2AB93AE6"/>
    <w:multiLevelType w:val="hybridMultilevel"/>
    <w:tmpl w:val="837ED9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15:restartNumberingAfterBreak="0">
    <w:nsid w:val="2B62799F"/>
    <w:multiLevelType w:val="hybridMultilevel"/>
    <w:tmpl w:val="0DF2803A"/>
    <w:lvl w:ilvl="0" w:tplc="EE62E36A">
      <w:start w:val="1"/>
      <w:numFmt w:val="decimal"/>
      <w:lvlText w:val="%1)"/>
      <w:lvlJc w:val="left"/>
      <w:pPr>
        <w:ind w:left="720" w:hanging="360"/>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15:restartNumberingAfterBreak="0">
    <w:nsid w:val="2C8B09EF"/>
    <w:multiLevelType w:val="multilevel"/>
    <w:tmpl w:val="E5B63796"/>
    <w:lvl w:ilvl="0">
      <w:start w:val="3"/>
      <w:numFmt w:val="decimal"/>
      <w:lvlText w:val="%1."/>
      <w:lvlJc w:val="left"/>
      <w:pPr>
        <w:ind w:left="360" w:hanging="360"/>
      </w:pPr>
      <w:rPr>
        <w:rFonts w:cs="Times New Roman" w:hint="default"/>
      </w:rPr>
    </w:lvl>
    <w:lvl w:ilvl="1">
      <w:start w:val="1"/>
      <w:numFmt w:val="decimal"/>
      <w:pStyle w:val="DIDSUBCAP"/>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7" w15:restartNumberingAfterBreak="0">
    <w:nsid w:val="2D3B6F18"/>
    <w:multiLevelType w:val="hybridMultilevel"/>
    <w:tmpl w:val="08F88CC8"/>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2DF0171C"/>
    <w:multiLevelType w:val="hybridMultilevel"/>
    <w:tmpl w:val="C84232F8"/>
    <w:lvl w:ilvl="0" w:tplc="080A0019">
      <w:start w:val="1"/>
      <w:numFmt w:val="lowerLetter"/>
      <w:lvlText w:val="%1."/>
      <w:lvlJc w:val="left"/>
      <w:pPr>
        <w:ind w:left="720" w:hanging="360"/>
      </w:pPr>
      <w:rPr>
        <w:rFonts w:cs="Times New Roman"/>
      </w:rPr>
    </w:lvl>
    <w:lvl w:ilvl="1" w:tplc="080A0019">
      <w:start w:val="1"/>
      <w:numFmt w:val="decimal"/>
      <w:lvlText w:val="%2."/>
      <w:lvlJc w:val="left"/>
      <w:pPr>
        <w:tabs>
          <w:tab w:val="num" w:pos="1440"/>
        </w:tabs>
        <w:ind w:left="1440" w:hanging="360"/>
      </w:pPr>
    </w:lvl>
    <w:lvl w:ilvl="2" w:tplc="080A001B">
      <w:start w:val="1"/>
      <w:numFmt w:val="decimal"/>
      <w:lvlText w:val="%3."/>
      <w:lvlJc w:val="left"/>
      <w:pPr>
        <w:tabs>
          <w:tab w:val="num" w:pos="2160"/>
        </w:tabs>
        <w:ind w:left="2160" w:hanging="360"/>
      </w:pPr>
    </w:lvl>
    <w:lvl w:ilvl="3" w:tplc="080A000F">
      <w:start w:val="1"/>
      <w:numFmt w:val="decimal"/>
      <w:lvlText w:val="%4."/>
      <w:lvlJc w:val="left"/>
      <w:pPr>
        <w:tabs>
          <w:tab w:val="num" w:pos="2880"/>
        </w:tabs>
        <w:ind w:left="2880" w:hanging="360"/>
      </w:pPr>
    </w:lvl>
    <w:lvl w:ilvl="4" w:tplc="080A0019">
      <w:start w:val="1"/>
      <w:numFmt w:val="decimal"/>
      <w:lvlText w:val="%5."/>
      <w:lvlJc w:val="left"/>
      <w:pPr>
        <w:tabs>
          <w:tab w:val="num" w:pos="3600"/>
        </w:tabs>
        <w:ind w:left="3600" w:hanging="360"/>
      </w:pPr>
    </w:lvl>
    <w:lvl w:ilvl="5" w:tplc="080A001B">
      <w:start w:val="1"/>
      <w:numFmt w:val="decimal"/>
      <w:lvlText w:val="%6."/>
      <w:lvlJc w:val="left"/>
      <w:pPr>
        <w:tabs>
          <w:tab w:val="num" w:pos="4320"/>
        </w:tabs>
        <w:ind w:left="4320" w:hanging="360"/>
      </w:pPr>
    </w:lvl>
    <w:lvl w:ilvl="6" w:tplc="080A000F">
      <w:start w:val="1"/>
      <w:numFmt w:val="decimal"/>
      <w:lvlText w:val="%7."/>
      <w:lvlJc w:val="left"/>
      <w:pPr>
        <w:tabs>
          <w:tab w:val="num" w:pos="5040"/>
        </w:tabs>
        <w:ind w:left="5040" w:hanging="360"/>
      </w:pPr>
    </w:lvl>
    <w:lvl w:ilvl="7" w:tplc="080A0019">
      <w:start w:val="1"/>
      <w:numFmt w:val="decimal"/>
      <w:lvlText w:val="%8."/>
      <w:lvlJc w:val="left"/>
      <w:pPr>
        <w:tabs>
          <w:tab w:val="num" w:pos="5760"/>
        </w:tabs>
        <w:ind w:left="5760" w:hanging="360"/>
      </w:pPr>
    </w:lvl>
    <w:lvl w:ilvl="8" w:tplc="080A001B">
      <w:start w:val="1"/>
      <w:numFmt w:val="decimal"/>
      <w:lvlText w:val="%9."/>
      <w:lvlJc w:val="left"/>
      <w:pPr>
        <w:tabs>
          <w:tab w:val="num" w:pos="6480"/>
        </w:tabs>
        <w:ind w:left="6480" w:hanging="360"/>
      </w:pPr>
    </w:lvl>
  </w:abstractNum>
  <w:abstractNum w:abstractNumId="89" w15:restartNumberingAfterBreak="0">
    <w:nsid w:val="2E4F37A3"/>
    <w:multiLevelType w:val="hybridMultilevel"/>
    <w:tmpl w:val="3976BDF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2E6A5E3E"/>
    <w:multiLevelType w:val="hybridMultilevel"/>
    <w:tmpl w:val="B066DC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2EA06888"/>
    <w:multiLevelType w:val="hybridMultilevel"/>
    <w:tmpl w:val="3D4E29D4"/>
    <w:lvl w:ilvl="0" w:tplc="0C0A0019">
      <w:start w:val="1"/>
      <w:numFmt w:val="lowerLetter"/>
      <w:lvlText w:val="%1."/>
      <w:lvlJc w:val="left"/>
      <w:pPr>
        <w:ind w:left="1440" w:hanging="360"/>
      </w:pPr>
      <w:rPr>
        <w:rFonts w:cs="Times New Roman"/>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2F2F6637"/>
    <w:multiLevelType w:val="hybridMultilevel"/>
    <w:tmpl w:val="913ADF4C"/>
    <w:lvl w:ilvl="0" w:tplc="771CF3CC">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15:restartNumberingAfterBreak="0">
    <w:nsid w:val="2F341A77"/>
    <w:multiLevelType w:val="hybridMultilevel"/>
    <w:tmpl w:val="D29670F6"/>
    <w:lvl w:ilvl="0" w:tplc="0C0A0011">
      <w:start w:val="1"/>
      <w:numFmt w:val="decimal"/>
      <w:lvlText w:val="%1)"/>
      <w:lvlJc w:val="left"/>
      <w:pPr>
        <w:ind w:left="720" w:hanging="360"/>
      </w:pPr>
      <w:rPr>
        <w:rFonts w:cs="Times New Roman"/>
      </w:rPr>
    </w:lvl>
    <w:lvl w:ilvl="1" w:tplc="080A0001">
      <w:start w:val="1"/>
      <w:numFmt w:val="bullet"/>
      <w:lvlText w:val=""/>
      <w:lvlJc w:val="left"/>
      <w:pPr>
        <w:ind w:left="1440" w:hanging="360"/>
      </w:pPr>
      <w:rPr>
        <w:rFonts w:ascii="Symbol" w:hAnsi="Symbol" w:hint="default"/>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1E6207BA">
      <w:numFmt w:val="bullet"/>
      <w:lvlText w:val="•"/>
      <w:lvlJc w:val="left"/>
      <w:pPr>
        <w:ind w:left="3930" w:hanging="690"/>
      </w:pPr>
      <w:rPr>
        <w:rFonts w:ascii="Calibri" w:eastAsia="Times New Roman" w:hAnsi="Calibri" w:cs="Arial" w:hint="default"/>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94" w15:restartNumberingAfterBreak="0">
    <w:nsid w:val="2FC9708E"/>
    <w:multiLevelType w:val="hybridMultilevel"/>
    <w:tmpl w:val="6B16B58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2FE34E42"/>
    <w:multiLevelType w:val="multilevel"/>
    <w:tmpl w:val="16CC17E8"/>
    <w:lvl w:ilvl="0">
      <w:start w:val="1"/>
      <w:numFmt w:val="decimal"/>
      <w:lvlText w:val="%1."/>
      <w:lvlJc w:val="left"/>
      <w:pPr>
        <w:ind w:left="72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6" w15:restartNumberingAfterBreak="0">
    <w:nsid w:val="30F970DE"/>
    <w:multiLevelType w:val="hybridMultilevel"/>
    <w:tmpl w:val="08F88CC8"/>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15:restartNumberingAfterBreak="0">
    <w:nsid w:val="30FD1A2D"/>
    <w:multiLevelType w:val="hybridMultilevel"/>
    <w:tmpl w:val="0FEE7812"/>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8" w15:restartNumberingAfterBreak="0">
    <w:nsid w:val="31183458"/>
    <w:multiLevelType w:val="hybridMultilevel"/>
    <w:tmpl w:val="9C10A03E"/>
    <w:lvl w:ilvl="0" w:tplc="0C0A0019">
      <w:start w:val="1"/>
      <w:numFmt w:val="lowerLetter"/>
      <w:lvlText w:val="%1."/>
      <w:lvlJc w:val="left"/>
      <w:pPr>
        <w:ind w:left="144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318E4187"/>
    <w:multiLevelType w:val="hybridMultilevel"/>
    <w:tmpl w:val="318C49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15:restartNumberingAfterBreak="0">
    <w:nsid w:val="31CB7775"/>
    <w:multiLevelType w:val="hybridMultilevel"/>
    <w:tmpl w:val="CE7C1C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0">
    <w:nsid w:val="33382DCC"/>
    <w:multiLevelType w:val="hybridMultilevel"/>
    <w:tmpl w:val="96D2731C"/>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59BE3012">
      <w:start w:val="1"/>
      <w:numFmt w:val="lowerLetter"/>
      <w:lvlText w:val="%5)"/>
      <w:lvlJc w:val="left"/>
      <w:pPr>
        <w:ind w:left="3621" w:hanging="360"/>
      </w:pPr>
      <w:rPr>
        <w:rFonts w:hint="default"/>
      </w:rPr>
    </w:lvl>
    <w:lvl w:ilvl="5" w:tplc="0C0A001B">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02" w15:restartNumberingAfterBreak="0">
    <w:nsid w:val="333F3F4C"/>
    <w:multiLevelType w:val="hybridMultilevel"/>
    <w:tmpl w:val="08F2A2B8"/>
    <w:lvl w:ilvl="0" w:tplc="F3E2C2AE">
      <w:start w:val="1"/>
      <w:numFmt w:val="decimal"/>
      <w:lvlText w:val="%1)"/>
      <w:lvlJc w:val="left"/>
      <w:pPr>
        <w:ind w:left="720" w:hanging="360"/>
      </w:pPr>
      <w:rPr>
        <w:rFonts w:ascii="ITC Avant Garde" w:eastAsia="Times New Roman" w:hAnsi="ITC Avant Garde" w:cs="Arial" w:hint="default"/>
      </w:rPr>
    </w:lvl>
    <w:lvl w:ilvl="1" w:tplc="080A0019">
      <w:start w:val="1"/>
      <w:numFmt w:val="lowerLetter"/>
      <w:lvlText w:val="%2."/>
      <w:lvlJc w:val="left"/>
      <w:pPr>
        <w:ind w:left="1211" w:hanging="360"/>
      </w:pPr>
      <w:rPr>
        <w:rFonts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15:restartNumberingAfterBreak="0">
    <w:nsid w:val="33673FFF"/>
    <w:multiLevelType w:val="hybridMultilevel"/>
    <w:tmpl w:val="95CEA1F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04" w15:restartNumberingAfterBreak="0">
    <w:nsid w:val="33BF53A2"/>
    <w:multiLevelType w:val="hybridMultilevel"/>
    <w:tmpl w:val="4A4E0D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343937F0"/>
    <w:multiLevelType w:val="multilevel"/>
    <w:tmpl w:val="A8E4A918"/>
    <w:lvl w:ilvl="0">
      <w:start w:val="1"/>
      <w:numFmt w:val="decimal"/>
      <w:lvlText w:val="%1."/>
      <w:lvlJc w:val="left"/>
      <w:pPr>
        <w:ind w:left="720" w:hanging="360"/>
      </w:pPr>
      <w:rPr>
        <w:rFonts w:hint="default"/>
      </w:rPr>
    </w:lvl>
    <w:lvl w:ilvl="1">
      <w:start w:val="3"/>
      <w:numFmt w:val="decimal"/>
      <w:isLgl/>
      <w:lvlText w:val="%1.%2"/>
      <w:lvlJc w:val="left"/>
      <w:pPr>
        <w:ind w:left="1410" w:hanging="6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6" w15:restartNumberingAfterBreak="0">
    <w:nsid w:val="34E6128B"/>
    <w:multiLevelType w:val="multilevel"/>
    <w:tmpl w:val="E5B63796"/>
    <w:styleLink w:val="Estilo2"/>
    <w:lvl w:ilvl="0">
      <w:start w:val="4"/>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7" w15:restartNumberingAfterBreak="0">
    <w:nsid w:val="351407EB"/>
    <w:multiLevelType w:val="hybridMultilevel"/>
    <w:tmpl w:val="C9BE1CB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8" w15:restartNumberingAfterBreak="0">
    <w:nsid w:val="354B3821"/>
    <w:multiLevelType w:val="hybridMultilevel"/>
    <w:tmpl w:val="F4447E78"/>
    <w:lvl w:ilvl="0" w:tplc="0C0A0001">
      <w:start w:val="1"/>
      <w:numFmt w:val="bullet"/>
      <w:lvlText w:val=""/>
      <w:lvlJc w:val="left"/>
      <w:pPr>
        <w:ind w:left="714" w:hanging="360"/>
      </w:pPr>
      <w:rPr>
        <w:rFonts w:ascii="Symbol" w:hAnsi="Symbol" w:hint="default"/>
      </w:rPr>
    </w:lvl>
    <w:lvl w:ilvl="1" w:tplc="0C0A0003" w:tentative="1">
      <w:start w:val="1"/>
      <w:numFmt w:val="bullet"/>
      <w:lvlText w:val="o"/>
      <w:lvlJc w:val="left"/>
      <w:pPr>
        <w:ind w:left="1434" w:hanging="360"/>
      </w:pPr>
      <w:rPr>
        <w:rFonts w:ascii="Courier New" w:hAnsi="Courier New" w:cs="Courier New" w:hint="default"/>
      </w:rPr>
    </w:lvl>
    <w:lvl w:ilvl="2" w:tplc="0C0A0005" w:tentative="1">
      <w:start w:val="1"/>
      <w:numFmt w:val="bullet"/>
      <w:lvlText w:val=""/>
      <w:lvlJc w:val="left"/>
      <w:pPr>
        <w:ind w:left="2154" w:hanging="360"/>
      </w:pPr>
      <w:rPr>
        <w:rFonts w:ascii="Wingdings" w:hAnsi="Wingdings" w:hint="default"/>
      </w:rPr>
    </w:lvl>
    <w:lvl w:ilvl="3" w:tplc="0C0A0001" w:tentative="1">
      <w:start w:val="1"/>
      <w:numFmt w:val="bullet"/>
      <w:lvlText w:val=""/>
      <w:lvlJc w:val="left"/>
      <w:pPr>
        <w:ind w:left="2874" w:hanging="360"/>
      </w:pPr>
      <w:rPr>
        <w:rFonts w:ascii="Symbol" w:hAnsi="Symbol" w:hint="default"/>
      </w:rPr>
    </w:lvl>
    <w:lvl w:ilvl="4" w:tplc="0C0A0003" w:tentative="1">
      <w:start w:val="1"/>
      <w:numFmt w:val="bullet"/>
      <w:lvlText w:val="o"/>
      <w:lvlJc w:val="left"/>
      <w:pPr>
        <w:ind w:left="3594" w:hanging="360"/>
      </w:pPr>
      <w:rPr>
        <w:rFonts w:ascii="Courier New" w:hAnsi="Courier New" w:cs="Courier New" w:hint="default"/>
      </w:rPr>
    </w:lvl>
    <w:lvl w:ilvl="5" w:tplc="0C0A0005" w:tentative="1">
      <w:start w:val="1"/>
      <w:numFmt w:val="bullet"/>
      <w:lvlText w:val=""/>
      <w:lvlJc w:val="left"/>
      <w:pPr>
        <w:ind w:left="4314" w:hanging="360"/>
      </w:pPr>
      <w:rPr>
        <w:rFonts w:ascii="Wingdings" w:hAnsi="Wingdings" w:hint="default"/>
      </w:rPr>
    </w:lvl>
    <w:lvl w:ilvl="6" w:tplc="0C0A0001" w:tentative="1">
      <w:start w:val="1"/>
      <w:numFmt w:val="bullet"/>
      <w:lvlText w:val=""/>
      <w:lvlJc w:val="left"/>
      <w:pPr>
        <w:ind w:left="5034" w:hanging="360"/>
      </w:pPr>
      <w:rPr>
        <w:rFonts w:ascii="Symbol" w:hAnsi="Symbol" w:hint="default"/>
      </w:rPr>
    </w:lvl>
    <w:lvl w:ilvl="7" w:tplc="0C0A0003" w:tentative="1">
      <w:start w:val="1"/>
      <w:numFmt w:val="bullet"/>
      <w:lvlText w:val="o"/>
      <w:lvlJc w:val="left"/>
      <w:pPr>
        <w:ind w:left="5754" w:hanging="360"/>
      </w:pPr>
      <w:rPr>
        <w:rFonts w:ascii="Courier New" w:hAnsi="Courier New" w:cs="Courier New" w:hint="default"/>
      </w:rPr>
    </w:lvl>
    <w:lvl w:ilvl="8" w:tplc="0C0A0005" w:tentative="1">
      <w:start w:val="1"/>
      <w:numFmt w:val="bullet"/>
      <w:lvlText w:val=""/>
      <w:lvlJc w:val="left"/>
      <w:pPr>
        <w:ind w:left="6474" w:hanging="360"/>
      </w:pPr>
      <w:rPr>
        <w:rFonts w:ascii="Wingdings" w:hAnsi="Wingdings" w:hint="default"/>
      </w:rPr>
    </w:lvl>
  </w:abstractNum>
  <w:abstractNum w:abstractNumId="109" w15:restartNumberingAfterBreak="0">
    <w:nsid w:val="35B21A2C"/>
    <w:multiLevelType w:val="hybridMultilevel"/>
    <w:tmpl w:val="96AE0D9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0" w15:restartNumberingAfterBreak="0">
    <w:nsid w:val="3699434D"/>
    <w:multiLevelType w:val="hybridMultilevel"/>
    <w:tmpl w:val="5566B8F6"/>
    <w:lvl w:ilvl="0" w:tplc="CBB80530">
      <w:start w:val="1"/>
      <w:numFmt w:val="upperRoman"/>
      <w:lvlText w:val="%1."/>
      <w:lvlJc w:val="left"/>
      <w:pPr>
        <w:ind w:left="3558" w:hanging="720"/>
      </w:pPr>
      <w:rPr>
        <w:rFonts w:hint="default"/>
      </w:rPr>
    </w:lvl>
    <w:lvl w:ilvl="1" w:tplc="080A0019" w:tentative="1">
      <w:start w:val="1"/>
      <w:numFmt w:val="lowerLetter"/>
      <w:lvlText w:val="%2."/>
      <w:lvlJc w:val="left"/>
      <w:pPr>
        <w:ind w:left="3918" w:hanging="360"/>
      </w:pPr>
    </w:lvl>
    <w:lvl w:ilvl="2" w:tplc="080A001B" w:tentative="1">
      <w:start w:val="1"/>
      <w:numFmt w:val="lowerRoman"/>
      <w:lvlText w:val="%3."/>
      <w:lvlJc w:val="right"/>
      <w:pPr>
        <w:ind w:left="4638" w:hanging="180"/>
      </w:pPr>
    </w:lvl>
    <w:lvl w:ilvl="3" w:tplc="080A000F" w:tentative="1">
      <w:start w:val="1"/>
      <w:numFmt w:val="decimal"/>
      <w:lvlText w:val="%4."/>
      <w:lvlJc w:val="left"/>
      <w:pPr>
        <w:ind w:left="5358" w:hanging="360"/>
      </w:pPr>
    </w:lvl>
    <w:lvl w:ilvl="4" w:tplc="080A0019" w:tentative="1">
      <w:start w:val="1"/>
      <w:numFmt w:val="lowerLetter"/>
      <w:lvlText w:val="%5."/>
      <w:lvlJc w:val="left"/>
      <w:pPr>
        <w:ind w:left="6078" w:hanging="360"/>
      </w:pPr>
    </w:lvl>
    <w:lvl w:ilvl="5" w:tplc="080A001B" w:tentative="1">
      <w:start w:val="1"/>
      <w:numFmt w:val="lowerRoman"/>
      <w:lvlText w:val="%6."/>
      <w:lvlJc w:val="right"/>
      <w:pPr>
        <w:ind w:left="6798" w:hanging="180"/>
      </w:pPr>
    </w:lvl>
    <w:lvl w:ilvl="6" w:tplc="080A000F" w:tentative="1">
      <w:start w:val="1"/>
      <w:numFmt w:val="decimal"/>
      <w:lvlText w:val="%7."/>
      <w:lvlJc w:val="left"/>
      <w:pPr>
        <w:ind w:left="7518" w:hanging="360"/>
      </w:pPr>
    </w:lvl>
    <w:lvl w:ilvl="7" w:tplc="080A0019" w:tentative="1">
      <w:start w:val="1"/>
      <w:numFmt w:val="lowerLetter"/>
      <w:lvlText w:val="%8."/>
      <w:lvlJc w:val="left"/>
      <w:pPr>
        <w:ind w:left="8238" w:hanging="360"/>
      </w:pPr>
    </w:lvl>
    <w:lvl w:ilvl="8" w:tplc="080A001B" w:tentative="1">
      <w:start w:val="1"/>
      <w:numFmt w:val="lowerRoman"/>
      <w:lvlText w:val="%9."/>
      <w:lvlJc w:val="right"/>
      <w:pPr>
        <w:ind w:left="8958" w:hanging="180"/>
      </w:pPr>
    </w:lvl>
  </w:abstractNum>
  <w:abstractNum w:abstractNumId="111" w15:restartNumberingAfterBreak="0">
    <w:nsid w:val="36F21D59"/>
    <w:multiLevelType w:val="hybridMultilevel"/>
    <w:tmpl w:val="FCAE50F8"/>
    <w:lvl w:ilvl="0" w:tplc="AB2A121A">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2" w15:restartNumberingAfterBreak="0">
    <w:nsid w:val="36FC2924"/>
    <w:multiLevelType w:val="hybridMultilevel"/>
    <w:tmpl w:val="F0E414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3" w15:restartNumberingAfterBreak="0">
    <w:nsid w:val="376D0D1E"/>
    <w:multiLevelType w:val="hybridMultilevel"/>
    <w:tmpl w:val="C80E4B3C"/>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4" w15:restartNumberingAfterBreak="0">
    <w:nsid w:val="38513EF7"/>
    <w:multiLevelType w:val="hybridMultilevel"/>
    <w:tmpl w:val="AB5A4C46"/>
    <w:lvl w:ilvl="0" w:tplc="080A0001">
      <w:start w:val="1"/>
      <w:numFmt w:val="bullet"/>
      <w:lvlText w:val=""/>
      <w:lvlJc w:val="left"/>
      <w:pPr>
        <w:ind w:left="1571" w:hanging="360"/>
      </w:pPr>
      <w:rPr>
        <w:rFonts w:ascii="Symbol" w:hAnsi="Symbol" w:hint="default"/>
      </w:rPr>
    </w:lvl>
    <w:lvl w:ilvl="1" w:tplc="080A0003">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15" w15:restartNumberingAfterBreak="0">
    <w:nsid w:val="386669DE"/>
    <w:multiLevelType w:val="hybridMultilevel"/>
    <w:tmpl w:val="7C1EF0B6"/>
    <w:lvl w:ilvl="0" w:tplc="0C0A0019">
      <w:start w:val="1"/>
      <w:numFmt w:val="lowerLetter"/>
      <w:lvlText w:val="%1."/>
      <w:lvlJc w:val="left"/>
      <w:pPr>
        <w:ind w:left="144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15:restartNumberingAfterBreak="0">
    <w:nsid w:val="3896170D"/>
    <w:multiLevelType w:val="hybridMultilevel"/>
    <w:tmpl w:val="16341D14"/>
    <w:lvl w:ilvl="0" w:tplc="0C0A0001">
      <w:start w:val="1"/>
      <w:numFmt w:val="bullet"/>
      <w:pStyle w:val="NormalBulletLevel2"/>
      <w:lvlText w:val=""/>
      <w:lvlJc w:val="left"/>
      <w:pPr>
        <w:tabs>
          <w:tab w:val="num" w:pos="9000"/>
        </w:tabs>
        <w:ind w:left="9000" w:hanging="360"/>
      </w:pPr>
      <w:rPr>
        <w:rFonts w:ascii="Symbol" w:hAnsi="Symbol" w:hint="default"/>
        <w:color w:val="auto"/>
      </w:rPr>
    </w:lvl>
    <w:lvl w:ilvl="1" w:tplc="0C0A0003">
      <w:start w:val="1"/>
      <w:numFmt w:val="bullet"/>
      <w:lvlText w:val="o"/>
      <w:lvlJc w:val="left"/>
      <w:pPr>
        <w:tabs>
          <w:tab w:val="num" w:pos="5400"/>
        </w:tabs>
        <w:ind w:left="5400" w:hanging="360"/>
      </w:pPr>
      <w:rPr>
        <w:rFonts w:ascii="Courier New" w:hAnsi="Courier New" w:hint="default"/>
      </w:rPr>
    </w:lvl>
    <w:lvl w:ilvl="2" w:tplc="0C0A0005" w:tentative="1">
      <w:start w:val="1"/>
      <w:numFmt w:val="bullet"/>
      <w:lvlText w:val=""/>
      <w:lvlJc w:val="left"/>
      <w:pPr>
        <w:tabs>
          <w:tab w:val="num" w:pos="6120"/>
        </w:tabs>
        <w:ind w:left="6120" w:hanging="360"/>
      </w:pPr>
      <w:rPr>
        <w:rFonts w:ascii="Wingdings" w:hAnsi="Wingdings" w:hint="default"/>
      </w:rPr>
    </w:lvl>
    <w:lvl w:ilvl="3" w:tplc="0C0A0001" w:tentative="1">
      <w:start w:val="1"/>
      <w:numFmt w:val="bullet"/>
      <w:lvlText w:val=""/>
      <w:lvlJc w:val="left"/>
      <w:pPr>
        <w:tabs>
          <w:tab w:val="num" w:pos="6840"/>
        </w:tabs>
        <w:ind w:left="6840" w:hanging="360"/>
      </w:pPr>
      <w:rPr>
        <w:rFonts w:ascii="Symbol" w:hAnsi="Symbol" w:hint="default"/>
      </w:rPr>
    </w:lvl>
    <w:lvl w:ilvl="4" w:tplc="0C0A0003" w:tentative="1">
      <w:start w:val="1"/>
      <w:numFmt w:val="bullet"/>
      <w:lvlText w:val="o"/>
      <w:lvlJc w:val="left"/>
      <w:pPr>
        <w:tabs>
          <w:tab w:val="num" w:pos="7560"/>
        </w:tabs>
        <w:ind w:left="7560" w:hanging="360"/>
      </w:pPr>
      <w:rPr>
        <w:rFonts w:ascii="Courier New" w:hAnsi="Courier New" w:hint="default"/>
      </w:rPr>
    </w:lvl>
    <w:lvl w:ilvl="5" w:tplc="0C0A0005" w:tentative="1">
      <w:start w:val="1"/>
      <w:numFmt w:val="bullet"/>
      <w:lvlText w:val=""/>
      <w:lvlJc w:val="left"/>
      <w:pPr>
        <w:tabs>
          <w:tab w:val="num" w:pos="8280"/>
        </w:tabs>
        <w:ind w:left="8280" w:hanging="360"/>
      </w:pPr>
      <w:rPr>
        <w:rFonts w:ascii="Wingdings" w:hAnsi="Wingdings" w:hint="default"/>
      </w:rPr>
    </w:lvl>
    <w:lvl w:ilvl="6" w:tplc="0C0A0001" w:tentative="1">
      <w:start w:val="1"/>
      <w:numFmt w:val="bullet"/>
      <w:lvlText w:val=""/>
      <w:lvlJc w:val="left"/>
      <w:pPr>
        <w:tabs>
          <w:tab w:val="num" w:pos="9000"/>
        </w:tabs>
        <w:ind w:left="9000" w:hanging="360"/>
      </w:pPr>
      <w:rPr>
        <w:rFonts w:ascii="Symbol" w:hAnsi="Symbol" w:hint="default"/>
      </w:rPr>
    </w:lvl>
    <w:lvl w:ilvl="7" w:tplc="0C0A0003" w:tentative="1">
      <w:start w:val="1"/>
      <w:numFmt w:val="bullet"/>
      <w:lvlText w:val="o"/>
      <w:lvlJc w:val="left"/>
      <w:pPr>
        <w:tabs>
          <w:tab w:val="num" w:pos="9720"/>
        </w:tabs>
        <w:ind w:left="9720" w:hanging="360"/>
      </w:pPr>
      <w:rPr>
        <w:rFonts w:ascii="Courier New" w:hAnsi="Courier New" w:hint="default"/>
      </w:rPr>
    </w:lvl>
    <w:lvl w:ilvl="8" w:tplc="0C0A0005" w:tentative="1">
      <w:start w:val="1"/>
      <w:numFmt w:val="bullet"/>
      <w:lvlText w:val=""/>
      <w:lvlJc w:val="left"/>
      <w:pPr>
        <w:tabs>
          <w:tab w:val="num" w:pos="10440"/>
        </w:tabs>
        <w:ind w:left="10440" w:hanging="360"/>
      </w:pPr>
      <w:rPr>
        <w:rFonts w:ascii="Wingdings" w:hAnsi="Wingdings" w:hint="default"/>
      </w:rPr>
    </w:lvl>
  </w:abstractNum>
  <w:abstractNum w:abstractNumId="117" w15:restartNumberingAfterBreak="0">
    <w:nsid w:val="39332AE6"/>
    <w:multiLevelType w:val="hybridMultilevel"/>
    <w:tmpl w:val="85522F82"/>
    <w:lvl w:ilvl="0" w:tplc="466E3D80">
      <w:start w:val="1"/>
      <w:numFmt w:val="decimal"/>
      <w:lvlText w:val="%1)"/>
      <w:lvlJc w:val="left"/>
      <w:pPr>
        <w:ind w:left="720" w:hanging="360"/>
      </w:pPr>
      <w:rPr>
        <w:rFonts w:cs="Times New Roman"/>
        <w:lang w:val="es-MX"/>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18" w15:restartNumberingAfterBreak="0">
    <w:nsid w:val="3A1900C6"/>
    <w:multiLevelType w:val="hybridMultilevel"/>
    <w:tmpl w:val="AE188000"/>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19" w15:restartNumberingAfterBreak="0">
    <w:nsid w:val="3A422D59"/>
    <w:multiLevelType w:val="hybridMultilevel"/>
    <w:tmpl w:val="C0E45CB4"/>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3A5D4558"/>
    <w:multiLevelType w:val="hybridMultilevel"/>
    <w:tmpl w:val="71D8DCF0"/>
    <w:lvl w:ilvl="0" w:tplc="2376B0B2">
      <w:start w:val="1"/>
      <w:numFmt w:val="decimal"/>
      <w:pStyle w:val="Titulo3"/>
      <w:lvlText w:val="5.5.%1."/>
      <w:lvlJc w:val="left"/>
      <w:pPr>
        <w:tabs>
          <w:tab w:val="num" w:pos="1440"/>
        </w:tabs>
        <w:ind w:left="1440" w:hanging="360"/>
      </w:pPr>
      <w:rPr>
        <w:rFonts w:cs="Times New Roman" w:hint="default"/>
        <w:b/>
      </w:rPr>
    </w:lvl>
    <w:lvl w:ilvl="1" w:tplc="1EB09FA8" w:tentative="1">
      <w:start w:val="1"/>
      <w:numFmt w:val="lowerLetter"/>
      <w:lvlText w:val="%2."/>
      <w:lvlJc w:val="left"/>
      <w:pPr>
        <w:tabs>
          <w:tab w:val="num" w:pos="1440"/>
        </w:tabs>
        <w:ind w:left="1440" w:hanging="360"/>
      </w:pPr>
      <w:rPr>
        <w:rFonts w:cs="Times New Roman"/>
      </w:rPr>
    </w:lvl>
    <w:lvl w:ilvl="2" w:tplc="8CDC4C54" w:tentative="1">
      <w:start w:val="1"/>
      <w:numFmt w:val="lowerRoman"/>
      <w:lvlText w:val="%3."/>
      <w:lvlJc w:val="right"/>
      <w:pPr>
        <w:tabs>
          <w:tab w:val="num" w:pos="2160"/>
        </w:tabs>
        <w:ind w:left="2160" w:hanging="180"/>
      </w:pPr>
      <w:rPr>
        <w:rFonts w:cs="Times New Roman"/>
      </w:rPr>
    </w:lvl>
    <w:lvl w:ilvl="3" w:tplc="8FA67004" w:tentative="1">
      <w:start w:val="1"/>
      <w:numFmt w:val="decimal"/>
      <w:lvlText w:val="%4."/>
      <w:lvlJc w:val="left"/>
      <w:pPr>
        <w:tabs>
          <w:tab w:val="num" w:pos="2880"/>
        </w:tabs>
        <w:ind w:left="2880" w:hanging="360"/>
      </w:pPr>
      <w:rPr>
        <w:rFonts w:cs="Times New Roman"/>
      </w:rPr>
    </w:lvl>
    <w:lvl w:ilvl="4" w:tplc="A4864CC4" w:tentative="1">
      <w:start w:val="1"/>
      <w:numFmt w:val="lowerLetter"/>
      <w:lvlText w:val="%5."/>
      <w:lvlJc w:val="left"/>
      <w:pPr>
        <w:tabs>
          <w:tab w:val="num" w:pos="3600"/>
        </w:tabs>
        <w:ind w:left="3600" w:hanging="360"/>
      </w:pPr>
      <w:rPr>
        <w:rFonts w:cs="Times New Roman"/>
      </w:rPr>
    </w:lvl>
    <w:lvl w:ilvl="5" w:tplc="6938DF80" w:tentative="1">
      <w:start w:val="1"/>
      <w:numFmt w:val="lowerRoman"/>
      <w:lvlText w:val="%6."/>
      <w:lvlJc w:val="right"/>
      <w:pPr>
        <w:tabs>
          <w:tab w:val="num" w:pos="4320"/>
        </w:tabs>
        <w:ind w:left="4320" w:hanging="180"/>
      </w:pPr>
      <w:rPr>
        <w:rFonts w:cs="Times New Roman"/>
      </w:rPr>
    </w:lvl>
    <w:lvl w:ilvl="6" w:tplc="E97E2126" w:tentative="1">
      <w:start w:val="1"/>
      <w:numFmt w:val="decimal"/>
      <w:lvlText w:val="%7."/>
      <w:lvlJc w:val="left"/>
      <w:pPr>
        <w:tabs>
          <w:tab w:val="num" w:pos="5040"/>
        </w:tabs>
        <w:ind w:left="5040" w:hanging="360"/>
      </w:pPr>
      <w:rPr>
        <w:rFonts w:cs="Times New Roman"/>
      </w:rPr>
    </w:lvl>
    <w:lvl w:ilvl="7" w:tplc="0824B6A0" w:tentative="1">
      <w:start w:val="1"/>
      <w:numFmt w:val="lowerLetter"/>
      <w:lvlText w:val="%8."/>
      <w:lvlJc w:val="left"/>
      <w:pPr>
        <w:tabs>
          <w:tab w:val="num" w:pos="5760"/>
        </w:tabs>
        <w:ind w:left="5760" w:hanging="360"/>
      </w:pPr>
      <w:rPr>
        <w:rFonts w:cs="Times New Roman"/>
      </w:rPr>
    </w:lvl>
    <w:lvl w:ilvl="8" w:tplc="8534910C" w:tentative="1">
      <w:start w:val="1"/>
      <w:numFmt w:val="lowerRoman"/>
      <w:lvlText w:val="%9."/>
      <w:lvlJc w:val="right"/>
      <w:pPr>
        <w:tabs>
          <w:tab w:val="num" w:pos="6480"/>
        </w:tabs>
        <w:ind w:left="6480" w:hanging="180"/>
      </w:pPr>
      <w:rPr>
        <w:rFonts w:cs="Times New Roman"/>
      </w:rPr>
    </w:lvl>
  </w:abstractNum>
  <w:abstractNum w:abstractNumId="121" w15:restartNumberingAfterBreak="0">
    <w:nsid w:val="3A883A85"/>
    <w:multiLevelType w:val="hybridMultilevel"/>
    <w:tmpl w:val="7FB26A5E"/>
    <w:lvl w:ilvl="0" w:tplc="310E559A">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15:restartNumberingAfterBreak="0">
    <w:nsid w:val="3AD660A2"/>
    <w:multiLevelType w:val="hybridMultilevel"/>
    <w:tmpl w:val="D7F0ABD8"/>
    <w:lvl w:ilvl="0" w:tplc="0C0A0001">
      <w:start w:val="1"/>
      <w:numFmt w:val="bullet"/>
      <w:lvlText w:val=""/>
      <w:lvlJc w:val="left"/>
      <w:pPr>
        <w:ind w:left="1440" w:hanging="360"/>
      </w:pPr>
      <w:rPr>
        <w:rFonts w:ascii="Symbol" w:hAnsi="Symbol" w:hint="default"/>
      </w:rPr>
    </w:lvl>
    <w:lvl w:ilvl="1" w:tplc="0C0A0001">
      <w:start w:val="1"/>
      <w:numFmt w:val="bullet"/>
      <w:lvlText w:val=""/>
      <w:lvlJc w:val="left"/>
      <w:pPr>
        <w:ind w:left="2160" w:hanging="360"/>
      </w:pPr>
      <w:rPr>
        <w:rFonts w:ascii="Symbol" w:hAnsi="Symbol"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23" w15:restartNumberingAfterBreak="0">
    <w:nsid w:val="3AF2085A"/>
    <w:multiLevelType w:val="hybridMultilevel"/>
    <w:tmpl w:val="2E86159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15:restartNumberingAfterBreak="0">
    <w:nsid w:val="3B707376"/>
    <w:multiLevelType w:val="hybridMultilevel"/>
    <w:tmpl w:val="836A0FE2"/>
    <w:lvl w:ilvl="0" w:tplc="9DBCC6E4">
      <w:numFmt w:val="bullet"/>
      <w:lvlText w:val="-"/>
      <w:lvlJc w:val="left"/>
      <w:pPr>
        <w:ind w:left="1571" w:hanging="360"/>
      </w:pPr>
      <w:rPr>
        <w:rFonts w:ascii="ITC Avant Garde" w:eastAsia="Times New Roman" w:hAnsi="ITC Avant Garde" w:cs="Aria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25" w15:restartNumberingAfterBreak="0">
    <w:nsid w:val="3C1A79C9"/>
    <w:multiLevelType w:val="hybridMultilevel"/>
    <w:tmpl w:val="291C8AA0"/>
    <w:lvl w:ilvl="0" w:tplc="77987828">
      <w:start w:val="2"/>
      <w:numFmt w:val="bullet"/>
      <w:lvlText w:val=""/>
      <w:lvlJc w:val="left"/>
      <w:pPr>
        <w:ind w:left="720" w:hanging="360"/>
      </w:pPr>
      <w:rPr>
        <w:rFonts w:ascii="Wingdings" w:eastAsia="Times New Roman" w:hAnsi="Wingdings"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15:restartNumberingAfterBreak="0">
    <w:nsid w:val="3CF823DF"/>
    <w:multiLevelType w:val="hybridMultilevel"/>
    <w:tmpl w:val="99FCE7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7" w15:restartNumberingAfterBreak="0">
    <w:nsid w:val="3F402CF1"/>
    <w:multiLevelType w:val="hybridMultilevel"/>
    <w:tmpl w:val="B85299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8" w15:restartNumberingAfterBreak="0">
    <w:nsid w:val="3FCB22DD"/>
    <w:multiLevelType w:val="hybridMultilevel"/>
    <w:tmpl w:val="5AF871C4"/>
    <w:lvl w:ilvl="0" w:tplc="080A0015">
      <w:numFmt w:val="bullet"/>
      <w:lvlText w:val="-"/>
      <w:lvlJc w:val="left"/>
      <w:pPr>
        <w:ind w:left="450" w:hanging="360"/>
      </w:pPr>
      <w:rPr>
        <w:rFonts w:ascii="Comic Sans MS" w:eastAsia="Times New Roman" w:hAnsi="Comic Sans MS" w:hint="default"/>
      </w:rPr>
    </w:lvl>
    <w:lvl w:ilvl="1" w:tplc="0C0A0003" w:tentative="1">
      <w:start w:val="1"/>
      <w:numFmt w:val="bullet"/>
      <w:lvlText w:val="o"/>
      <w:lvlJc w:val="left"/>
      <w:pPr>
        <w:ind w:left="1170" w:hanging="360"/>
      </w:pPr>
      <w:rPr>
        <w:rFonts w:ascii="Courier New" w:hAnsi="Courier New" w:cs="Courier New" w:hint="default"/>
      </w:rPr>
    </w:lvl>
    <w:lvl w:ilvl="2" w:tplc="0C0A0005" w:tentative="1">
      <w:start w:val="1"/>
      <w:numFmt w:val="bullet"/>
      <w:lvlText w:val=""/>
      <w:lvlJc w:val="left"/>
      <w:pPr>
        <w:ind w:left="1890" w:hanging="360"/>
      </w:pPr>
      <w:rPr>
        <w:rFonts w:ascii="Wingdings" w:hAnsi="Wingdings" w:hint="default"/>
      </w:rPr>
    </w:lvl>
    <w:lvl w:ilvl="3" w:tplc="0C0A0001" w:tentative="1">
      <w:start w:val="1"/>
      <w:numFmt w:val="bullet"/>
      <w:lvlText w:val=""/>
      <w:lvlJc w:val="left"/>
      <w:pPr>
        <w:ind w:left="2610" w:hanging="360"/>
      </w:pPr>
      <w:rPr>
        <w:rFonts w:ascii="Symbol" w:hAnsi="Symbol" w:hint="default"/>
      </w:rPr>
    </w:lvl>
    <w:lvl w:ilvl="4" w:tplc="0C0A0003" w:tentative="1">
      <w:start w:val="1"/>
      <w:numFmt w:val="bullet"/>
      <w:lvlText w:val="o"/>
      <w:lvlJc w:val="left"/>
      <w:pPr>
        <w:ind w:left="3330" w:hanging="360"/>
      </w:pPr>
      <w:rPr>
        <w:rFonts w:ascii="Courier New" w:hAnsi="Courier New" w:cs="Courier New" w:hint="default"/>
      </w:rPr>
    </w:lvl>
    <w:lvl w:ilvl="5" w:tplc="0C0A0005" w:tentative="1">
      <w:start w:val="1"/>
      <w:numFmt w:val="bullet"/>
      <w:lvlText w:val=""/>
      <w:lvlJc w:val="left"/>
      <w:pPr>
        <w:ind w:left="4050" w:hanging="360"/>
      </w:pPr>
      <w:rPr>
        <w:rFonts w:ascii="Wingdings" w:hAnsi="Wingdings" w:hint="default"/>
      </w:rPr>
    </w:lvl>
    <w:lvl w:ilvl="6" w:tplc="0C0A0001" w:tentative="1">
      <w:start w:val="1"/>
      <w:numFmt w:val="bullet"/>
      <w:lvlText w:val=""/>
      <w:lvlJc w:val="left"/>
      <w:pPr>
        <w:ind w:left="4770" w:hanging="360"/>
      </w:pPr>
      <w:rPr>
        <w:rFonts w:ascii="Symbol" w:hAnsi="Symbol" w:hint="default"/>
      </w:rPr>
    </w:lvl>
    <w:lvl w:ilvl="7" w:tplc="0C0A0003" w:tentative="1">
      <w:start w:val="1"/>
      <w:numFmt w:val="bullet"/>
      <w:lvlText w:val="o"/>
      <w:lvlJc w:val="left"/>
      <w:pPr>
        <w:ind w:left="5490" w:hanging="360"/>
      </w:pPr>
      <w:rPr>
        <w:rFonts w:ascii="Courier New" w:hAnsi="Courier New" w:cs="Courier New" w:hint="default"/>
      </w:rPr>
    </w:lvl>
    <w:lvl w:ilvl="8" w:tplc="0C0A0005" w:tentative="1">
      <w:start w:val="1"/>
      <w:numFmt w:val="bullet"/>
      <w:lvlText w:val=""/>
      <w:lvlJc w:val="left"/>
      <w:pPr>
        <w:ind w:left="6210" w:hanging="360"/>
      </w:pPr>
      <w:rPr>
        <w:rFonts w:ascii="Wingdings" w:hAnsi="Wingdings" w:hint="default"/>
      </w:rPr>
    </w:lvl>
  </w:abstractNum>
  <w:abstractNum w:abstractNumId="129" w15:restartNumberingAfterBreak="0">
    <w:nsid w:val="406235DE"/>
    <w:multiLevelType w:val="hybridMultilevel"/>
    <w:tmpl w:val="08F88CC8"/>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15:restartNumberingAfterBreak="0">
    <w:nsid w:val="40A663B7"/>
    <w:multiLevelType w:val="hybridMultilevel"/>
    <w:tmpl w:val="5680DB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15:restartNumberingAfterBreak="0">
    <w:nsid w:val="41105710"/>
    <w:multiLevelType w:val="hybridMultilevel"/>
    <w:tmpl w:val="71D8E8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2" w15:restartNumberingAfterBreak="0">
    <w:nsid w:val="415F1D5A"/>
    <w:multiLevelType w:val="hybridMultilevel"/>
    <w:tmpl w:val="B106D0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15:restartNumberingAfterBreak="0">
    <w:nsid w:val="41A935AA"/>
    <w:multiLevelType w:val="hybridMultilevel"/>
    <w:tmpl w:val="009EF814"/>
    <w:lvl w:ilvl="0" w:tplc="FFFFFFFF">
      <w:numFmt w:val="bullet"/>
      <w:lvlText w:val="-"/>
      <w:lvlJc w:val="left"/>
      <w:pPr>
        <w:ind w:left="1080" w:hanging="360"/>
      </w:pPr>
      <w:rPr>
        <w:rFonts w:ascii="Arial" w:eastAsia="Times New Roman" w:hAnsi="Arial"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4" w15:restartNumberingAfterBreak="0">
    <w:nsid w:val="425C0717"/>
    <w:multiLevelType w:val="hybridMultilevel"/>
    <w:tmpl w:val="42669B22"/>
    <w:lvl w:ilvl="0" w:tplc="0C0A0001">
      <w:start w:val="1"/>
      <w:numFmt w:val="bullet"/>
      <w:pStyle w:val="NormalBulletChar"/>
      <w:lvlText w:val=""/>
      <w:lvlJc w:val="left"/>
      <w:pPr>
        <w:tabs>
          <w:tab w:val="num" w:pos="360"/>
        </w:tabs>
        <w:ind w:left="360" w:hanging="360"/>
      </w:pPr>
      <w:rPr>
        <w:rFonts w:ascii="Symbol" w:hAnsi="Symbol" w:hint="default"/>
        <w:color w:val="0000FF"/>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27961AD"/>
    <w:multiLevelType w:val="hybridMultilevel"/>
    <w:tmpl w:val="FE7439AA"/>
    <w:lvl w:ilvl="0" w:tplc="0C0A001B">
      <w:start w:val="1"/>
      <w:numFmt w:val="lowerRoman"/>
      <w:lvlText w:val="%1."/>
      <w:lvlJc w:val="right"/>
      <w:pPr>
        <w:ind w:left="2160" w:hanging="180"/>
      </w:pPr>
      <w:rPr>
        <w:rFonts w:cs="Times New Roman"/>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15:restartNumberingAfterBreak="0">
    <w:nsid w:val="42CF387F"/>
    <w:multiLevelType w:val="hybridMultilevel"/>
    <w:tmpl w:val="405C81F8"/>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15:restartNumberingAfterBreak="0">
    <w:nsid w:val="448151E6"/>
    <w:multiLevelType w:val="hybridMultilevel"/>
    <w:tmpl w:val="41CCADF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15:restartNumberingAfterBreak="0">
    <w:nsid w:val="44D01DF8"/>
    <w:multiLevelType w:val="hybridMultilevel"/>
    <w:tmpl w:val="D7764D72"/>
    <w:lvl w:ilvl="0" w:tplc="1CBA5464">
      <w:start w:val="1"/>
      <w:numFmt w:val="decimal"/>
      <w:lvlText w:val="%1."/>
      <w:lvlJc w:val="left"/>
      <w:pPr>
        <w:ind w:left="3918" w:hanging="360"/>
      </w:pPr>
      <w:rPr>
        <w:rFonts w:hint="default"/>
      </w:rPr>
    </w:lvl>
    <w:lvl w:ilvl="1" w:tplc="080A0019" w:tentative="1">
      <w:start w:val="1"/>
      <w:numFmt w:val="lowerLetter"/>
      <w:lvlText w:val="%2."/>
      <w:lvlJc w:val="left"/>
      <w:pPr>
        <w:ind w:left="4638" w:hanging="360"/>
      </w:pPr>
    </w:lvl>
    <w:lvl w:ilvl="2" w:tplc="080A001B">
      <w:start w:val="1"/>
      <w:numFmt w:val="lowerRoman"/>
      <w:lvlText w:val="%3."/>
      <w:lvlJc w:val="right"/>
      <w:pPr>
        <w:ind w:left="5358" w:hanging="180"/>
      </w:pPr>
    </w:lvl>
    <w:lvl w:ilvl="3" w:tplc="080A000F" w:tentative="1">
      <w:start w:val="1"/>
      <w:numFmt w:val="decimal"/>
      <w:lvlText w:val="%4."/>
      <w:lvlJc w:val="left"/>
      <w:pPr>
        <w:ind w:left="6078" w:hanging="360"/>
      </w:pPr>
    </w:lvl>
    <w:lvl w:ilvl="4" w:tplc="080A0019" w:tentative="1">
      <w:start w:val="1"/>
      <w:numFmt w:val="lowerLetter"/>
      <w:lvlText w:val="%5."/>
      <w:lvlJc w:val="left"/>
      <w:pPr>
        <w:ind w:left="6798" w:hanging="360"/>
      </w:pPr>
    </w:lvl>
    <w:lvl w:ilvl="5" w:tplc="080A001B" w:tentative="1">
      <w:start w:val="1"/>
      <w:numFmt w:val="lowerRoman"/>
      <w:lvlText w:val="%6."/>
      <w:lvlJc w:val="right"/>
      <w:pPr>
        <w:ind w:left="7518" w:hanging="180"/>
      </w:pPr>
    </w:lvl>
    <w:lvl w:ilvl="6" w:tplc="080A000F" w:tentative="1">
      <w:start w:val="1"/>
      <w:numFmt w:val="decimal"/>
      <w:lvlText w:val="%7."/>
      <w:lvlJc w:val="left"/>
      <w:pPr>
        <w:ind w:left="8238" w:hanging="360"/>
      </w:pPr>
    </w:lvl>
    <w:lvl w:ilvl="7" w:tplc="080A0019" w:tentative="1">
      <w:start w:val="1"/>
      <w:numFmt w:val="lowerLetter"/>
      <w:lvlText w:val="%8."/>
      <w:lvlJc w:val="left"/>
      <w:pPr>
        <w:ind w:left="8958" w:hanging="360"/>
      </w:pPr>
    </w:lvl>
    <w:lvl w:ilvl="8" w:tplc="080A001B" w:tentative="1">
      <w:start w:val="1"/>
      <w:numFmt w:val="lowerRoman"/>
      <w:lvlText w:val="%9."/>
      <w:lvlJc w:val="right"/>
      <w:pPr>
        <w:ind w:left="9678" w:hanging="180"/>
      </w:pPr>
    </w:lvl>
  </w:abstractNum>
  <w:abstractNum w:abstractNumId="139" w15:restartNumberingAfterBreak="0">
    <w:nsid w:val="450A4567"/>
    <w:multiLevelType w:val="hybridMultilevel"/>
    <w:tmpl w:val="649062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15:restartNumberingAfterBreak="0">
    <w:nsid w:val="45120187"/>
    <w:multiLevelType w:val="hybridMultilevel"/>
    <w:tmpl w:val="547CB3F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1" w15:restartNumberingAfterBreak="0">
    <w:nsid w:val="45146197"/>
    <w:multiLevelType w:val="hybridMultilevel"/>
    <w:tmpl w:val="6436F7D6"/>
    <w:lvl w:ilvl="0" w:tplc="504ABAE6">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15:restartNumberingAfterBreak="0">
    <w:nsid w:val="45214DEA"/>
    <w:multiLevelType w:val="hybridMultilevel"/>
    <w:tmpl w:val="6AC8ED92"/>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3" w15:restartNumberingAfterBreak="0">
    <w:nsid w:val="452C7BE5"/>
    <w:multiLevelType w:val="hybridMultilevel"/>
    <w:tmpl w:val="C9F8A3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15:restartNumberingAfterBreak="0">
    <w:nsid w:val="45645E9D"/>
    <w:multiLevelType w:val="hybridMultilevel"/>
    <w:tmpl w:val="75360428"/>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5" w15:restartNumberingAfterBreak="0">
    <w:nsid w:val="45D67627"/>
    <w:multiLevelType w:val="hybridMultilevel"/>
    <w:tmpl w:val="84F2D160"/>
    <w:lvl w:ilvl="0" w:tplc="F8B6E68E">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6" w15:restartNumberingAfterBreak="0">
    <w:nsid w:val="45D8334B"/>
    <w:multiLevelType w:val="hybridMultilevel"/>
    <w:tmpl w:val="F676AF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15:restartNumberingAfterBreak="0">
    <w:nsid w:val="466007B5"/>
    <w:multiLevelType w:val="multilevel"/>
    <w:tmpl w:val="FDA6629C"/>
    <w:styleLink w:val="Estilo3"/>
    <w:lvl w:ilvl="0">
      <w:start w:val="5"/>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8" w15:restartNumberingAfterBreak="0">
    <w:nsid w:val="470C5D82"/>
    <w:multiLevelType w:val="hybridMultilevel"/>
    <w:tmpl w:val="384ADC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9" w15:restartNumberingAfterBreak="0">
    <w:nsid w:val="475C4F7F"/>
    <w:multiLevelType w:val="hybridMultilevel"/>
    <w:tmpl w:val="20CA3AE4"/>
    <w:lvl w:ilvl="0" w:tplc="080A0001">
      <w:start w:val="1"/>
      <w:numFmt w:val="bullet"/>
      <w:lvlText w:val=""/>
      <w:lvlJc w:val="left"/>
      <w:pPr>
        <w:ind w:left="715" w:hanging="360"/>
      </w:pPr>
      <w:rPr>
        <w:rFonts w:ascii="Symbol" w:hAnsi="Symbol" w:hint="default"/>
      </w:rPr>
    </w:lvl>
    <w:lvl w:ilvl="1" w:tplc="080A0003" w:tentative="1">
      <w:start w:val="1"/>
      <w:numFmt w:val="bullet"/>
      <w:lvlText w:val="o"/>
      <w:lvlJc w:val="left"/>
      <w:pPr>
        <w:ind w:left="1435" w:hanging="360"/>
      </w:pPr>
      <w:rPr>
        <w:rFonts w:ascii="Courier New" w:hAnsi="Courier New" w:cs="Courier New" w:hint="default"/>
      </w:rPr>
    </w:lvl>
    <w:lvl w:ilvl="2" w:tplc="080A0005" w:tentative="1">
      <w:start w:val="1"/>
      <w:numFmt w:val="bullet"/>
      <w:lvlText w:val=""/>
      <w:lvlJc w:val="left"/>
      <w:pPr>
        <w:ind w:left="2155" w:hanging="360"/>
      </w:pPr>
      <w:rPr>
        <w:rFonts w:ascii="Wingdings" w:hAnsi="Wingdings" w:hint="default"/>
      </w:rPr>
    </w:lvl>
    <w:lvl w:ilvl="3" w:tplc="080A0001" w:tentative="1">
      <w:start w:val="1"/>
      <w:numFmt w:val="bullet"/>
      <w:lvlText w:val=""/>
      <w:lvlJc w:val="left"/>
      <w:pPr>
        <w:ind w:left="2875" w:hanging="360"/>
      </w:pPr>
      <w:rPr>
        <w:rFonts w:ascii="Symbol" w:hAnsi="Symbol" w:hint="default"/>
      </w:rPr>
    </w:lvl>
    <w:lvl w:ilvl="4" w:tplc="080A0003" w:tentative="1">
      <w:start w:val="1"/>
      <w:numFmt w:val="bullet"/>
      <w:lvlText w:val="o"/>
      <w:lvlJc w:val="left"/>
      <w:pPr>
        <w:ind w:left="3595" w:hanging="360"/>
      </w:pPr>
      <w:rPr>
        <w:rFonts w:ascii="Courier New" w:hAnsi="Courier New" w:cs="Courier New" w:hint="default"/>
      </w:rPr>
    </w:lvl>
    <w:lvl w:ilvl="5" w:tplc="080A0005" w:tentative="1">
      <w:start w:val="1"/>
      <w:numFmt w:val="bullet"/>
      <w:lvlText w:val=""/>
      <w:lvlJc w:val="left"/>
      <w:pPr>
        <w:ind w:left="4315" w:hanging="360"/>
      </w:pPr>
      <w:rPr>
        <w:rFonts w:ascii="Wingdings" w:hAnsi="Wingdings" w:hint="default"/>
      </w:rPr>
    </w:lvl>
    <w:lvl w:ilvl="6" w:tplc="080A0001" w:tentative="1">
      <w:start w:val="1"/>
      <w:numFmt w:val="bullet"/>
      <w:lvlText w:val=""/>
      <w:lvlJc w:val="left"/>
      <w:pPr>
        <w:ind w:left="5035" w:hanging="360"/>
      </w:pPr>
      <w:rPr>
        <w:rFonts w:ascii="Symbol" w:hAnsi="Symbol" w:hint="default"/>
      </w:rPr>
    </w:lvl>
    <w:lvl w:ilvl="7" w:tplc="080A0003" w:tentative="1">
      <w:start w:val="1"/>
      <w:numFmt w:val="bullet"/>
      <w:lvlText w:val="o"/>
      <w:lvlJc w:val="left"/>
      <w:pPr>
        <w:ind w:left="5755" w:hanging="360"/>
      </w:pPr>
      <w:rPr>
        <w:rFonts w:ascii="Courier New" w:hAnsi="Courier New" w:cs="Courier New" w:hint="default"/>
      </w:rPr>
    </w:lvl>
    <w:lvl w:ilvl="8" w:tplc="080A0005" w:tentative="1">
      <w:start w:val="1"/>
      <w:numFmt w:val="bullet"/>
      <w:lvlText w:val=""/>
      <w:lvlJc w:val="left"/>
      <w:pPr>
        <w:ind w:left="6475" w:hanging="360"/>
      </w:pPr>
      <w:rPr>
        <w:rFonts w:ascii="Wingdings" w:hAnsi="Wingdings" w:hint="default"/>
      </w:rPr>
    </w:lvl>
  </w:abstractNum>
  <w:abstractNum w:abstractNumId="150" w15:restartNumberingAfterBreak="0">
    <w:nsid w:val="478B62CA"/>
    <w:multiLevelType w:val="hybridMultilevel"/>
    <w:tmpl w:val="3C481B1A"/>
    <w:lvl w:ilvl="0" w:tplc="7D966372">
      <w:start w:val="1"/>
      <w:numFmt w:val="decimal"/>
      <w:pStyle w:val="FIGURAS"/>
      <w:lvlText w:val="Figura %1."/>
      <w:lvlJc w:val="left"/>
      <w:pPr>
        <w:ind w:left="3621" w:hanging="360"/>
      </w:pPr>
      <w:rPr>
        <w:rFonts w:ascii="Times New Roman" w:hAnsi="Times New Roman" w:cs="Times New Roman"/>
        <w:b w:val="0"/>
        <w:bCs w:val="0"/>
        <w:i w:val="0"/>
        <w:iCs w:val="0"/>
        <w:caps w:val="0"/>
        <w:smallCaps w:val="0"/>
        <w:strike w:val="0"/>
        <w:dstrike w:val="0"/>
        <w:vanish w:val="0"/>
        <w:color w:val="auto"/>
        <w:spacing w:val="0"/>
        <w:w w:val="100"/>
        <w:kern w:val="0"/>
        <w:position w:val="0"/>
        <w:sz w:val="24"/>
        <w:szCs w:val="24"/>
        <w:u w:val="none" w:color="000000"/>
        <w:vertAlign w:val="baseline"/>
      </w:rPr>
    </w:lvl>
    <w:lvl w:ilvl="1" w:tplc="6770CF50">
      <w:start w:val="1"/>
      <w:numFmt w:val="bullet"/>
      <w:lvlText w:val=""/>
      <w:lvlJc w:val="left"/>
      <w:pPr>
        <w:tabs>
          <w:tab w:val="num" w:pos="1440"/>
        </w:tabs>
        <w:ind w:left="1440" w:hanging="360"/>
      </w:pPr>
      <w:rPr>
        <w:rFonts w:ascii="Symbol" w:hAnsi="Symbol" w:hint="default"/>
        <w:sz w:val="24"/>
      </w:rPr>
    </w:lvl>
    <w:lvl w:ilvl="2" w:tplc="EE56F816" w:tentative="1">
      <w:start w:val="1"/>
      <w:numFmt w:val="lowerRoman"/>
      <w:lvlText w:val="%3."/>
      <w:lvlJc w:val="right"/>
      <w:pPr>
        <w:ind w:left="2160" w:hanging="180"/>
      </w:pPr>
      <w:rPr>
        <w:rFonts w:cs="Times New Roman"/>
      </w:rPr>
    </w:lvl>
    <w:lvl w:ilvl="3" w:tplc="062060B4" w:tentative="1">
      <w:start w:val="1"/>
      <w:numFmt w:val="decimal"/>
      <w:lvlText w:val="%4."/>
      <w:lvlJc w:val="left"/>
      <w:pPr>
        <w:ind w:left="2880" w:hanging="360"/>
      </w:pPr>
      <w:rPr>
        <w:rFonts w:cs="Times New Roman"/>
      </w:rPr>
    </w:lvl>
    <w:lvl w:ilvl="4" w:tplc="31DE9A34" w:tentative="1">
      <w:start w:val="1"/>
      <w:numFmt w:val="lowerLetter"/>
      <w:lvlText w:val="%5."/>
      <w:lvlJc w:val="left"/>
      <w:pPr>
        <w:ind w:left="3600" w:hanging="360"/>
      </w:pPr>
      <w:rPr>
        <w:rFonts w:cs="Times New Roman"/>
      </w:rPr>
    </w:lvl>
    <w:lvl w:ilvl="5" w:tplc="6D3CF9A4" w:tentative="1">
      <w:start w:val="1"/>
      <w:numFmt w:val="lowerRoman"/>
      <w:lvlText w:val="%6."/>
      <w:lvlJc w:val="right"/>
      <w:pPr>
        <w:ind w:left="4320" w:hanging="180"/>
      </w:pPr>
      <w:rPr>
        <w:rFonts w:cs="Times New Roman"/>
      </w:rPr>
    </w:lvl>
    <w:lvl w:ilvl="6" w:tplc="D4DA387E" w:tentative="1">
      <w:start w:val="1"/>
      <w:numFmt w:val="decimal"/>
      <w:lvlText w:val="%7."/>
      <w:lvlJc w:val="left"/>
      <w:pPr>
        <w:ind w:left="5040" w:hanging="360"/>
      </w:pPr>
      <w:rPr>
        <w:rFonts w:cs="Times New Roman"/>
      </w:rPr>
    </w:lvl>
    <w:lvl w:ilvl="7" w:tplc="8F4CDBDC" w:tentative="1">
      <w:start w:val="1"/>
      <w:numFmt w:val="lowerLetter"/>
      <w:lvlText w:val="%8."/>
      <w:lvlJc w:val="left"/>
      <w:pPr>
        <w:ind w:left="5760" w:hanging="360"/>
      </w:pPr>
      <w:rPr>
        <w:rFonts w:cs="Times New Roman"/>
      </w:rPr>
    </w:lvl>
    <w:lvl w:ilvl="8" w:tplc="43987CC0" w:tentative="1">
      <w:start w:val="1"/>
      <w:numFmt w:val="lowerRoman"/>
      <w:lvlText w:val="%9."/>
      <w:lvlJc w:val="right"/>
      <w:pPr>
        <w:ind w:left="6480" w:hanging="180"/>
      </w:pPr>
      <w:rPr>
        <w:rFonts w:cs="Times New Roman"/>
      </w:rPr>
    </w:lvl>
  </w:abstractNum>
  <w:abstractNum w:abstractNumId="151" w15:restartNumberingAfterBreak="0">
    <w:nsid w:val="479A32CB"/>
    <w:multiLevelType w:val="hybridMultilevel"/>
    <w:tmpl w:val="23BA0F0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15:restartNumberingAfterBreak="0">
    <w:nsid w:val="48786332"/>
    <w:multiLevelType w:val="hybridMultilevel"/>
    <w:tmpl w:val="153C0C3E"/>
    <w:lvl w:ilvl="0" w:tplc="0C0A0001">
      <w:start w:val="1"/>
      <w:numFmt w:val="decimal"/>
      <w:pStyle w:val="Continuarlista"/>
      <w:lvlText w:val="4.2.%1."/>
      <w:lvlJc w:val="left"/>
      <w:pPr>
        <w:tabs>
          <w:tab w:val="num" w:pos="1440"/>
        </w:tabs>
        <w:ind w:left="1440" w:hanging="36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53" w15:restartNumberingAfterBreak="0">
    <w:nsid w:val="48CF63B5"/>
    <w:multiLevelType w:val="hybridMultilevel"/>
    <w:tmpl w:val="B39C00E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4" w15:restartNumberingAfterBreak="0">
    <w:nsid w:val="491451CD"/>
    <w:multiLevelType w:val="hybridMultilevel"/>
    <w:tmpl w:val="B7A6E76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5" w15:restartNumberingAfterBreak="0">
    <w:nsid w:val="49690E6C"/>
    <w:multiLevelType w:val="hybridMultilevel"/>
    <w:tmpl w:val="D4EAB8FE"/>
    <w:lvl w:ilvl="0" w:tplc="EF9835BA">
      <w:numFmt w:val="bullet"/>
      <w:lvlText w:val="•"/>
      <w:lvlJc w:val="left"/>
      <w:pPr>
        <w:ind w:left="425" w:hanging="360"/>
      </w:pPr>
      <w:rPr>
        <w:rFonts w:ascii="Calibri" w:eastAsia="Times New Roman" w:hAnsi="Calibri"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6" w15:restartNumberingAfterBreak="0">
    <w:nsid w:val="4976704A"/>
    <w:multiLevelType w:val="hybridMultilevel"/>
    <w:tmpl w:val="191C98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7" w15:restartNumberingAfterBreak="0">
    <w:nsid w:val="4996548F"/>
    <w:multiLevelType w:val="hybridMultilevel"/>
    <w:tmpl w:val="54BACE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8" w15:restartNumberingAfterBreak="0">
    <w:nsid w:val="4A195731"/>
    <w:multiLevelType w:val="hybridMultilevel"/>
    <w:tmpl w:val="9A00A140"/>
    <w:lvl w:ilvl="0" w:tplc="080A0001">
      <w:start w:val="1"/>
      <w:numFmt w:val="decimal"/>
      <w:pStyle w:val="Titulo20"/>
      <w:lvlText w:val="5.2.%1."/>
      <w:lvlJc w:val="left"/>
      <w:pPr>
        <w:tabs>
          <w:tab w:val="num" w:pos="720"/>
        </w:tabs>
        <w:ind w:left="720" w:hanging="360"/>
      </w:pPr>
      <w:rPr>
        <w:rFonts w:cs="Times New Roman" w:hint="default"/>
      </w:rPr>
    </w:lvl>
    <w:lvl w:ilvl="1" w:tplc="080A0003" w:tentative="1">
      <w:start w:val="1"/>
      <w:numFmt w:val="lowerLetter"/>
      <w:lvlText w:val="%2."/>
      <w:lvlJc w:val="left"/>
      <w:pPr>
        <w:tabs>
          <w:tab w:val="num" w:pos="1440"/>
        </w:tabs>
        <w:ind w:left="1440" w:hanging="360"/>
      </w:pPr>
      <w:rPr>
        <w:rFonts w:cs="Times New Roman"/>
      </w:rPr>
    </w:lvl>
    <w:lvl w:ilvl="2" w:tplc="080A0005" w:tentative="1">
      <w:start w:val="1"/>
      <w:numFmt w:val="lowerRoman"/>
      <w:lvlText w:val="%3."/>
      <w:lvlJc w:val="right"/>
      <w:pPr>
        <w:tabs>
          <w:tab w:val="num" w:pos="2160"/>
        </w:tabs>
        <w:ind w:left="2160" w:hanging="180"/>
      </w:pPr>
      <w:rPr>
        <w:rFonts w:cs="Times New Roman"/>
      </w:rPr>
    </w:lvl>
    <w:lvl w:ilvl="3" w:tplc="080A0001" w:tentative="1">
      <w:start w:val="1"/>
      <w:numFmt w:val="decimal"/>
      <w:lvlText w:val="%4."/>
      <w:lvlJc w:val="left"/>
      <w:pPr>
        <w:tabs>
          <w:tab w:val="num" w:pos="2880"/>
        </w:tabs>
        <w:ind w:left="2880" w:hanging="360"/>
      </w:pPr>
      <w:rPr>
        <w:rFonts w:cs="Times New Roman"/>
      </w:rPr>
    </w:lvl>
    <w:lvl w:ilvl="4" w:tplc="080A0003" w:tentative="1">
      <w:start w:val="1"/>
      <w:numFmt w:val="lowerLetter"/>
      <w:lvlText w:val="%5."/>
      <w:lvlJc w:val="left"/>
      <w:pPr>
        <w:tabs>
          <w:tab w:val="num" w:pos="3600"/>
        </w:tabs>
        <w:ind w:left="3600" w:hanging="360"/>
      </w:pPr>
      <w:rPr>
        <w:rFonts w:cs="Times New Roman"/>
      </w:rPr>
    </w:lvl>
    <w:lvl w:ilvl="5" w:tplc="080A0005" w:tentative="1">
      <w:start w:val="1"/>
      <w:numFmt w:val="lowerRoman"/>
      <w:lvlText w:val="%6."/>
      <w:lvlJc w:val="right"/>
      <w:pPr>
        <w:tabs>
          <w:tab w:val="num" w:pos="4320"/>
        </w:tabs>
        <w:ind w:left="4320" w:hanging="180"/>
      </w:pPr>
      <w:rPr>
        <w:rFonts w:cs="Times New Roman"/>
      </w:rPr>
    </w:lvl>
    <w:lvl w:ilvl="6" w:tplc="080A0001" w:tentative="1">
      <w:start w:val="1"/>
      <w:numFmt w:val="decimal"/>
      <w:lvlText w:val="%7."/>
      <w:lvlJc w:val="left"/>
      <w:pPr>
        <w:tabs>
          <w:tab w:val="num" w:pos="5040"/>
        </w:tabs>
        <w:ind w:left="5040" w:hanging="360"/>
      </w:pPr>
      <w:rPr>
        <w:rFonts w:cs="Times New Roman"/>
      </w:rPr>
    </w:lvl>
    <w:lvl w:ilvl="7" w:tplc="080A0003" w:tentative="1">
      <w:start w:val="1"/>
      <w:numFmt w:val="lowerLetter"/>
      <w:lvlText w:val="%8."/>
      <w:lvlJc w:val="left"/>
      <w:pPr>
        <w:tabs>
          <w:tab w:val="num" w:pos="5760"/>
        </w:tabs>
        <w:ind w:left="5760" w:hanging="360"/>
      </w:pPr>
      <w:rPr>
        <w:rFonts w:cs="Times New Roman"/>
      </w:rPr>
    </w:lvl>
    <w:lvl w:ilvl="8" w:tplc="080A0005" w:tentative="1">
      <w:start w:val="1"/>
      <w:numFmt w:val="lowerRoman"/>
      <w:lvlText w:val="%9."/>
      <w:lvlJc w:val="right"/>
      <w:pPr>
        <w:tabs>
          <w:tab w:val="num" w:pos="6480"/>
        </w:tabs>
        <w:ind w:left="6480" w:hanging="180"/>
      </w:pPr>
      <w:rPr>
        <w:rFonts w:cs="Times New Roman"/>
      </w:rPr>
    </w:lvl>
  </w:abstractNum>
  <w:abstractNum w:abstractNumId="159" w15:restartNumberingAfterBreak="0">
    <w:nsid w:val="4A4E4F19"/>
    <w:multiLevelType w:val="hybridMultilevel"/>
    <w:tmpl w:val="F244CDD4"/>
    <w:lvl w:ilvl="0" w:tplc="FFFFFFFF">
      <w:start w:val="1"/>
      <w:numFmt w:val="decimal"/>
      <w:pStyle w:val="Titulo3-0"/>
      <w:lvlText w:val="6.2.%1."/>
      <w:lvlJc w:val="left"/>
      <w:pPr>
        <w:tabs>
          <w:tab w:val="num" w:pos="1440"/>
        </w:tabs>
        <w:ind w:left="144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0" w15:restartNumberingAfterBreak="0">
    <w:nsid w:val="4A684A89"/>
    <w:multiLevelType w:val="hybridMultilevel"/>
    <w:tmpl w:val="056A3444"/>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1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1" w15:restartNumberingAfterBreak="0">
    <w:nsid w:val="4AA55CE2"/>
    <w:multiLevelType w:val="hybridMultilevel"/>
    <w:tmpl w:val="F16439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2" w15:restartNumberingAfterBreak="0">
    <w:nsid w:val="4BF53BC9"/>
    <w:multiLevelType w:val="hybridMultilevel"/>
    <w:tmpl w:val="D9B8E58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3" w15:restartNumberingAfterBreak="0">
    <w:nsid w:val="4BFD7FC5"/>
    <w:multiLevelType w:val="hybridMultilevel"/>
    <w:tmpl w:val="E38AC0A8"/>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64" w15:restartNumberingAfterBreak="0">
    <w:nsid w:val="4C0E05A3"/>
    <w:multiLevelType w:val="hybridMultilevel"/>
    <w:tmpl w:val="D9CE533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5" w15:restartNumberingAfterBreak="0">
    <w:nsid w:val="4CB15F87"/>
    <w:multiLevelType w:val="hybridMultilevel"/>
    <w:tmpl w:val="0C7895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6" w15:restartNumberingAfterBreak="0">
    <w:nsid w:val="4DC708FA"/>
    <w:multiLevelType w:val="hybridMultilevel"/>
    <w:tmpl w:val="2A5A2B42"/>
    <w:lvl w:ilvl="0" w:tplc="080A000F">
      <w:start w:val="1"/>
      <w:numFmt w:val="decimal"/>
      <w:lvlText w:val="%1."/>
      <w:lvlJc w:val="left"/>
      <w:pPr>
        <w:tabs>
          <w:tab w:val="num" w:pos="720"/>
        </w:tabs>
        <w:ind w:left="720" w:hanging="360"/>
      </w:pPr>
    </w:lvl>
    <w:lvl w:ilvl="1" w:tplc="4D20217C">
      <w:start w:val="1"/>
      <w:numFmt w:val="decimal"/>
      <w:lvlText w:val="%2."/>
      <w:lvlJc w:val="left"/>
      <w:pPr>
        <w:tabs>
          <w:tab w:val="num" w:pos="1440"/>
        </w:tabs>
        <w:ind w:left="1440" w:hanging="360"/>
      </w:pPr>
      <w:rPr>
        <w:rFonts w:cs="Times New Roman"/>
      </w:rPr>
    </w:lvl>
    <w:lvl w:ilvl="2" w:tplc="0F86C506">
      <w:start w:val="1"/>
      <w:numFmt w:val="decimal"/>
      <w:lvlText w:val="%3."/>
      <w:lvlJc w:val="left"/>
      <w:pPr>
        <w:tabs>
          <w:tab w:val="num" w:pos="2160"/>
        </w:tabs>
        <w:ind w:left="2160" w:hanging="360"/>
      </w:pPr>
      <w:rPr>
        <w:rFonts w:cs="Times New Roman"/>
      </w:rPr>
    </w:lvl>
    <w:lvl w:ilvl="3" w:tplc="041A9BFA">
      <w:start w:val="1"/>
      <w:numFmt w:val="decimal"/>
      <w:lvlText w:val="%4."/>
      <w:lvlJc w:val="left"/>
      <w:pPr>
        <w:tabs>
          <w:tab w:val="num" w:pos="2880"/>
        </w:tabs>
        <w:ind w:left="2880" w:hanging="360"/>
      </w:pPr>
      <w:rPr>
        <w:rFonts w:cs="Times New Roman"/>
      </w:rPr>
    </w:lvl>
    <w:lvl w:ilvl="4" w:tplc="6CDCCAF6">
      <w:start w:val="1"/>
      <w:numFmt w:val="decimal"/>
      <w:lvlText w:val="%5."/>
      <w:lvlJc w:val="left"/>
      <w:pPr>
        <w:tabs>
          <w:tab w:val="num" w:pos="3600"/>
        </w:tabs>
        <w:ind w:left="3600" w:hanging="360"/>
      </w:pPr>
      <w:rPr>
        <w:rFonts w:cs="Times New Roman"/>
      </w:rPr>
    </w:lvl>
    <w:lvl w:ilvl="5" w:tplc="E188D39E">
      <w:start w:val="1"/>
      <w:numFmt w:val="decimal"/>
      <w:lvlText w:val="%6."/>
      <w:lvlJc w:val="left"/>
      <w:pPr>
        <w:tabs>
          <w:tab w:val="num" w:pos="4320"/>
        </w:tabs>
        <w:ind w:left="4320" w:hanging="360"/>
      </w:pPr>
      <w:rPr>
        <w:rFonts w:cs="Times New Roman"/>
      </w:rPr>
    </w:lvl>
    <w:lvl w:ilvl="6" w:tplc="005AD0EE">
      <w:start w:val="1"/>
      <w:numFmt w:val="decimal"/>
      <w:lvlText w:val="%7."/>
      <w:lvlJc w:val="left"/>
      <w:pPr>
        <w:tabs>
          <w:tab w:val="num" w:pos="5040"/>
        </w:tabs>
        <w:ind w:left="5040" w:hanging="360"/>
      </w:pPr>
      <w:rPr>
        <w:rFonts w:cs="Times New Roman"/>
      </w:rPr>
    </w:lvl>
    <w:lvl w:ilvl="7" w:tplc="FA4E299E">
      <w:start w:val="1"/>
      <w:numFmt w:val="decimal"/>
      <w:lvlText w:val="%8."/>
      <w:lvlJc w:val="left"/>
      <w:pPr>
        <w:tabs>
          <w:tab w:val="num" w:pos="5760"/>
        </w:tabs>
        <w:ind w:left="5760" w:hanging="360"/>
      </w:pPr>
      <w:rPr>
        <w:rFonts w:cs="Times New Roman"/>
      </w:rPr>
    </w:lvl>
    <w:lvl w:ilvl="8" w:tplc="E35014D6">
      <w:start w:val="1"/>
      <w:numFmt w:val="decimal"/>
      <w:lvlText w:val="%9."/>
      <w:lvlJc w:val="left"/>
      <w:pPr>
        <w:tabs>
          <w:tab w:val="num" w:pos="6480"/>
        </w:tabs>
        <w:ind w:left="6480" w:hanging="360"/>
      </w:pPr>
      <w:rPr>
        <w:rFonts w:cs="Times New Roman"/>
      </w:rPr>
    </w:lvl>
  </w:abstractNum>
  <w:abstractNum w:abstractNumId="167" w15:restartNumberingAfterBreak="0">
    <w:nsid w:val="4DD951BE"/>
    <w:multiLevelType w:val="hybridMultilevel"/>
    <w:tmpl w:val="D872258C"/>
    <w:lvl w:ilvl="0" w:tplc="080A0019">
      <w:start w:val="1"/>
      <w:numFmt w:val="lowerLetter"/>
      <w:lvlText w:val="%1."/>
      <w:lvlJc w:val="left"/>
      <w:pPr>
        <w:ind w:left="1440" w:hanging="360"/>
      </w:pPr>
    </w:lvl>
    <w:lvl w:ilvl="1" w:tplc="080A001B">
      <w:start w:val="1"/>
      <w:numFmt w:val="lowerRoman"/>
      <w:lvlText w:val="%2."/>
      <w:lvlJc w:val="righ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68" w15:restartNumberingAfterBreak="0">
    <w:nsid w:val="4DF72FDA"/>
    <w:multiLevelType w:val="hybridMultilevel"/>
    <w:tmpl w:val="056A3444"/>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1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15:restartNumberingAfterBreak="0">
    <w:nsid w:val="4E125E11"/>
    <w:multiLevelType w:val="hybridMultilevel"/>
    <w:tmpl w:val="F84286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15:restartNumberingAfterBreak="0">
    <w:nsid w:val="4E7E0D63"/>
    <w:multiLevelType w:val="hybridMultilevel"/>
    <w:tmpl w:val="BACA7E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1" w15:restartNumberingAfterBreak="0">
    <w:nsid w:val="4ECA622C"/>
    <w:multiLevelType w:val="hybridMultilevel"/>
    <w:tmpl w:val="2EE21750"/>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C094694A">
      <w:start w:val="2"/>
      <w:numFmt w:val="low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2" w15:restartNumberingAfterBreak="0">
    <w:nsid w:val="4EE86E37"/>
    <w:multiLevelType w:val="hybridMultilevel"/>
    <w:tmpl w:val="ED8A4A6C"/>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173" w15:restartNumberingAfterBreak="0">
    <w:nsid w:val="4EF12723"/>
    <w:multiLevelType w:val="hybridMultilevel"/>
    <w:tmpl w:val="443E70A8"/>
    <w:lvl w:ilvl="0" w:tplc="0C0A0001">
      <w:start w:val="1"/>
      <w:numFmt w:val="decimal"/>
      <w:pStyle w:val="Titulo30"/>
      <w:lvlText w:val="5.%1."/>
      <w:lvlJc w:val="left"/>
      <w:pPr>
        <w:tabs>
          <w:tab w:val="num" w:pos="853"/>
        </w:tabs>
        <w:ind w:left="700" w:hanging="34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74" w15:restartNumberingAfterBreak="0">
    <w:nsid w:val="510D174B"/>
    <w:multiLevelType w:val="hybridMultilevel"/>
    <w:tmpl w:val="913ADF4C"/>
    <w:lvl w:ilvl="0" w:tplc="771CF3CC">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5" w15:restartNumberingAfterBreak="0">
    <w:nsid w:val="51173851"/>
    <w:multiLevelType w:val="hybridMultilevel"/>
    <w:tmpl w:val="755EF822"/>
    <w:lvl w:ilvl="0" w:tplc="0C0A0001">
      <w:start w:val="1"/>
      <w:numFmt w:val="bullet"/>
      <w:lvlText w:val=""/>
      <w:lvlJc w:val="left"/>
      <w:pPr>
        <w:ind w:left="1494" w:hanging="360"/>
      </w:pPr>
      <w:rPr>
        <w:rFonts w:ascii="Symbol" w:hAnsi="Symbol" w:hint="default"/>
      </w:rPr>
    </w:lvl>
    <w:lvl w:ilvl="1" w:tplc="0C0A0003" w:tentative="1">
      <w:start w:val="1"/>
      <w:numFmt w:val="bullet"/>
      <w:lvlText w:val="o"/>
      <w:lvlJc w:val="left"/>
      <w:pPr>
        <w:ind w:left="2214" w:hanging="360"/>
      </w:pPr>
      <w:rPr>
        <w:rFonts w:ascii="Courier New" w:hAnsi="Courier New" w:cs="Courier New" w:hint="default"/>
      </w:rPr>
    </w:lvl>
    <w:lvl w:ilvl="2" w:tplc="0C0A0005" w:tentative="1">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176" w15:restartNumberingAfterBreak="0">
    <w:nsid w:val="51212F8B"/>
    <w:multiLevelType w:val="hybridMultilevel"/>
    <w:tmpl w:val="6CF2EB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7" w15:restartNumberingAfterBreak="0">
    <w:nsid w:val="53023AC7"/>
    <w:multiLevelType w:val="hybridMultilevel"/>
    <w:tmpl w:val="7EEE0E9A"/>
    <w:lvl w:ilvl="0" w:tplc="0C0A0001">
      <w:start w:val="1"/>
      <w:numFmt w:val="decimal"/>
      <w:pStyle w:val="Titulo31"/>
      <w:lvlText w:val="6.%1."/>
      <w:lvlJc w:val="left"/>
      <w:pPr>
        <w:tabs>
          <w:tab w:val="num" w:pos="853"/>
        </w:tabs>
        <w:ind w:left="700" w:hanging="34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78" w15:restartNumberingAfterBreak="0">
    <w:nsid w:val="542B31A9"/>
    <w:multiLevelType w:val="hybridMultilevel"/>
    <w:tmpl w:val="B9BAC3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15:restartNumberingAfterBreak="0">
    <w:nsid w:val="54E64F23"/>
    <w:multiLevelType w:val="hybridMultilevel"/>
    <w:tmpl w:val="B33C724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0" w15:restartNumberingAfterBreak="0">
    <w:nsid w:val="552C3305"/>
    <w:multiLevelType w:val="hybridMultilevel"/>
    <w:tmpl w:val="F8929210"/>
    <w:lvl w:ilvl="0" w:tplc="A768DF88">
      <w:start w:val="1"/>
      <w:numFmt w:val="decimal"/>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181" w15:restartNumberingAfterBreak="0">
    <w:nsid w:val="559801F2"/>
    <w:multiLevelType w:val="hybridMultilevel"/>
    <w:tmpl w:val="C2420E66"/>
    <w:lvl w:ilvl="0" w:tplc="B4AEF00C">
      <w:start w:val="1"/>
      <w:numFmt w:val="upperRoman"/>
      <w:lvlText w:val="%1."/>
      <w:lvlJc w:val="left"/>
      <w:pPr>
        <w:ind w:left="2490" w:hanging="720"/>
      </w:pPr>
      <w:rPr>
        <w:rFonts w:hint="default"/>
      </w:rPr>
    </w:lvl>
    <w:lvl w:ilvl="1" w:tplc="080A0019" w:tentative="1">
      <w:start w:val="1"/>
      <w:numFmt w:val="lowerLetter"/>
      <w:lvlText w:val="%2."/>
      <w:lvlJc w:val="left"/>
      <w:pPr>
        <w:ind w:left="2850" w:hanging="360"/>
      </w:pPr>
    </w:lvl>
    <w:lvl w:ilvl="2" w:tplc="080A001B" w:tentative="1">
      <w:start w:val="1"/>
      <w:numFmt w:val="lowerRoman"/>
      <w:lvlText w:val="%3."/>
      <w:lvlJc w:val="right"/>
      <w:pPr>
        <w:ind w:left="3570" w:hanging="180"/>
      </w:pPr>
    </w:lvl>
    <w:lvl w:ilvl="3" w:tplc="080A000F" w:tentative="1">
      <w:start w:val="1"/>
      <w:numFmt w:val="decimal"/>
      <w:lvlText w:val="%4."/>
      <w:lvlJc w:val="left"/>
      <w:pPr>
        <w:ind w:left="4290" w:hanging="360"/>
      </w:pPr>
    </w:lvl>
    <w:lvl w:ilvl="4" w:tplc="080A0019" w:tentative="1">
      <w:start w:val="1"/>
      <w:numFmt w:val="lowerLetter"/>
      <w:lvlText w:val="%5."/>
      <w:lvlJc w:val="left"/>
      <w:pPr>
        <w:ind w:left="5010" w:hanging="360"/>
      </w:pPr>
    </w:lvl>
    <w:lvl w:ilvl="5" w:tplc="080A001B" w:tentative="1">
      <w:start w:val="1"/>
      <w:numFmt w:val="lowerRoman"/>
      <w:lvlText w:val="%6."/>
      <w:lvlJc w:val="right"/>
      <w:pPr>
        <w:ind w:left="5730" w:hanging="180"/>
      </w:pPr>
    </w:lvl>
    <w:lvl w:ilvl="6" w:tplc="080A000F" w:tentative="1">
      <w:start w:val="1"/>
      <w:numFmt w:val="decimal"/>
      <w:lvlText w:val="%7."/>
      <w:lvlJc w:val="left"/>
      <w:pPr>
        <w:ind w:left="6450" w:hanging="360"/>
      </w:pPr>
    </w:lvl>
    <w:lvl w:ilvl="7" w:tplc="080A0019" w:tentative="1">
      <w:start w:val="1"/>
      <w:numFmt w:val="lowerLetter"/>
      <w:lvlText w:val="%8."/>
      <w:lvlJc w:val="left"/>
      <w:pPr>
        <w:ind w:left="7170" w:hanging="360"/>
      </w:pPr>
    </w:lvl>
    <w:lvl w:ilvl="8" w:tplc="080A001B" w:tentative="1">
      <w:start w:val="1"/>
      <w:numFmt w:val="lowerRoman"/>
      <w:lvlText w:val="%9."/>
      <w:lvlJc w:val="right"/>
      <w:pPr>
        <w:ind w:left="7890" w:hanging="180"/>
      </w:pPr>
    </w:lvl>
  </w:abstractNum>
  <w:abstractNum w:abstractNumId="182" w15:restartNumberingAfterBreak="0">
    <w:nsid w:val="55A265B4"/>
    <w:multiLevelType w:val="hybridMultilevel"/>
    <w:tmpl w:val="F084A81E"/>
    <w:lvl w:ilvl="0" w:tplc="1EA88004">
      <w:start w:val="1"/>
      <w:numFmt w:val="decimal"/>
      <w:lvlText w:val="%1)"/>
      <w:lvlJc w:val="lef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3" w15:restartNumberingAfterBreak="0">
    <w:nsid w:val="5607033C"/>
    <w:multiLevelType w:val="hybridMultilevel"/>
    <w:tmpl w:val="B4BCFF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15:restartNumberingAfterBreak="0">
    <w:nsid w:val="560E0DDA"/>
    <w:multiLevelType w:val="hybridMultilevel"/>
    <w:tmpl w:val="40102E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15:restartNumberingAfterBreak="0">
    <w:nsid w:val="56275D85"/>
    <w:multiLevelType w:val="hybridMultilevel"/>
    <w:tmpl w:val="38FC9D6A"/>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86" w15:restartNumberingAfterBreak="0">
    <w:nsid w:val="567870C3"/>
    <w:multiLevelType w:val="hybridMultilevel"/>
    <w:tmpl w:val="0FEE7812"/>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7" w15:restartNumberingAfterBreak="0">
    <w:nsid w:val="57343C87"/>
    <w:multiLevelType w:val="hybridMultilevel"/>
    <w:tmpl w:val="0F24146A"/>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8" w15:restartNumberingAfterBreak="0">
    <w:nsid w:val="57A93300"/>
    <w:multiLevelType w:val="hybridMultilevel"/>
    <w:tmpl w:val="8A8C8D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15:restartNumberingAfterBreak="0">
    <w:nsid w:val="591963AE"/>
    <w:multiLevelType w:val="hybridMultilevel"/>
    <w:tmpl w:val="237C9184"/>
    <w:lvl w:ilvl="0" w:tplc="080A0019">
      <w:start w:val="1"/>
      <w:numFmt w:val="lowerLetter"/>
      <w:lvlText w:val="%1."/>
      <w:lvlJc w:val="left"/>
      <w:pPr>
        <w:ind w:left="2136" w:hanging="360"/>
      </w:pPr>
    </w:lvl>
    <w:lvl w:ilvl="1" w:tplc="080A0019">
      <w:start w:val="1"/>
      <w:numFmt w:val="lowerLetter"/>
      <w:lvlText w:val="%2."/>
      <w:lvlJc w:val="left"/>
      <w:pPr>
        <w:ind w:left="2856" w:hanging="360"/>
      </w:pPr>
    </w:lvl>
    <w:lvl w:ilvl="2" w:tplc="0BD665C0">
      <w:start w:val="1"/>
      <w:numFmt w:val="lowerLetter"/>
      <w:lvlText w:val="%3)"/>
      <w:lvlJc w:val="left"/>
      <w:pPr>
        <w:ind w:left="3756" w:hanging="360"/>
      </w:pPr>
      <w:rPr>
        <w:rFonts w:hint="default"/>
      </w:r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190" w15:restartNumberingAfterBreak="0">
    <w:nsid w:val="59EB55B2"/>
    <w:multiLevelType w:val="hybridMultilevel"/>
    <w:tmpl w:val="46A452C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1" w15:restartNumberingAfterBreak="0">
    <w:nsid w:val="5A831ABD"/>
    <w:multiLevelType w:val="hybridMultilevel"/>
    <w:tmpl w:val="01C40448"/>
    <w:lvl w:ilvl="0" w:tplc="080A001B">
      <w:start w:val="1"/>
      <w:numFmt w:val="lowerRoman"/>
      <w:lvlText w:val="%1."/>
      <w:lvlJc w:val="right"/>
      <w:pPr>
        <w:ind w:left="1800" w:hanging="360"/>
      </w:p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192" w15:restartNumberingAfterBreak="0">
    <w:nsid w:val="5AAB278A"/>
    <w:multiLevelType w:val="hybridMultilevel"/>
    <w:tmpl w:val="B8D07BB8"/>
    <w:lvl w:ilvl="0" w:tplc="A7505762">
      <w:start w:val="3"/>
      <w:numFmt w:val="bullet"/>
      <w:lvlText w:val="-"/>
      <w:lvlJc w:val="left"/>
      <w:pPr>
        <w:ind w:left="1776" w:hanging="360"/>
      </w:pPr>
      <w:rPr>
        <w:rFonts w:ascii="Calibri" w:eastAsia="Times New Roman" w:hAnsi="Calibri" w:cs="Times New Roman" w:hint="default"/>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193" w15:restartNumberingAfterBreak="0">
    <w:nsid w:val="5AE372A9"/>
    <w:multiLevelType w:val="hybridMultilevel"/>
    <w:tmpl w:val="2954D98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94" w15:restartNumberingAfterBreak="0">
    <w:nsid w:val="5B395416"/>
    <w:multiLevelType w:val="hybridMultilevel"/>
    <w:tmpl w:val="0A0A9346"/>
    <w:lvl w:ilvl="0" w:tplc="5F18A634">
      <w:start w:val="1"/>
      <w:numFmt w:val="decimal"/>
      <w:lvlText w:val="%1."/>
      <w:lvlJc w:val="left"/>
      <w:pPr>
        <w:ind w:left="2850" w:hanging="360"/>
      </w:pPr>
      <w:rPr>
        <w:rFonts w:hint="default"/>
      </w:rPr>
    </w:lvl>
    <w:lvl w:ilvl="1" w:tplc="080A0019" w:tentative="1">
      <w:start w:val="1"/>
      <w:numFmt w:val="lowerLetter"/>
      <w:lvlText w:val="%2."/>
      <w:lvlJc w:val="left"/>
      <w:pPr>
        <w:ind w:left="3570" w:hanging="360"/>
      </w:pPr>
    </w:lvl>
    <w:lvl w:ilvl="2" w:tplc="080A001B" w:tentative="1">
      <w:start w:val="1"/>
      <w:numFmt w:val="lowerRoman"/>
      <w:lvlText w:val="%3."/>
      <w:lvlJc w:val="right"/>
      <w:pPr>
        <w:ind w:left="4290" w:hanging="180"/>
      </w:pPr>
    </w:lvl>
    <w:lvl w:ilvl="3" w:tplc="080A000F" w:tentative="1">
      <w:start w:val="1"/>
      <w:numFmt w:val="decimal"/>
      <w:lvlText w:val="%4."/>
      <w:lvlJc w:val="left"/>
      <w:pPr>
        <w:ind w:left="5010" w:hanging="360"/>
      </w:pPr>
    </w:lvl>
    <w:lvl w:ilvl="4" w:tplc="080A0019" w:tentative="1">
      <w:start w:val="1"/>
      <w:numFmt w:val="lowerLetter"/>
      <w:lvlText w:val="%5."/>
      <w:lvlJc w:val="left"/>
      <w:pPr>
        <w:ind w:left="5730" w:hanging="360"/>
      </w:pPr>
    </w:lvl>
    <w:lvl w:ilvl="5" w:tplc="080A001B" w:tentative="1">
      <w:start w:val="1"/>
      <w:numFmt w:val="lowerRoman"/>
      <w:lvlText w:val="%6."/>
      <w:lvlJc w:val="right"/>
      <w:pPr>
        <w:ind w:left="6450" w:hanging="180"/>
      </w:pPr>
    </w:lvl>
    <w:lvl w:ilvl="6" w:tplc="080A000F" w:tentative="1">
      <w:start w:val="1"/>
      <w:numFmt w:val="decimal"/>
      <w:lvlText w:val="%7."/>
      <w:lvlJc w:val="left"/>
      <w:pPr>
        <w:ind w:left="7170" w:hanging="360"/>
      </w:pPr>
    </w:lvl>
    <w:lvl w:ilvl="7" w:tplc="080A0019" w:tentative="1">
      <w:start w:val="1"/>
      <w:numFmt w:val="lowerLetter"/>
      <w:lvlText w:val="%8."/>
      <w:lvlJc w:val="left"/>
      <w:pPr>
        <w:ind w:left="7890" w:hanging="360"/>
      </w:pPr>
    </w:lvl>
    <w:lvl w:ilvl="8" w:tplc="080A001B" w:tentative="1">
      <w:start w:val="1"/>
      <w:numFmt w:val="lowerRoman"/>
      <w:lvlText w:val="%9."/>
      <w:lvlJc w:val="right"/>
      <w:pPr>
        <w:ind w:left="8610" w:hanging="180"/>
      </w:pPr>
    </w:lvl>
  </w:abstractNum>
  <w:abstractNum w:abstractNumId="195" w15:restartNumberingAfterBreak="0">
    <w:nsid w:val="5BBD33B4"/>
    <w:multiLevelType w:val="hybridMultilevel"/>
    <w:tmpl w:val="CFD46D5A"/>
    <w:lvl w:ilvl="0" w:tplc="639AA6CE">
      <w:start w:val="1"/>
      <w:numFmt w:val="lowerRoman"/>
      <w:lvlText w:val="%1)"/>
      <w:lvlJc w:val="left"/>
      <w:pPr>
        <w:ind w:left="2154" w:hanging="720"/>
      </w:pPr>
      <w:rPr>
        <w:rFonts w:hint="default"/>
      </w:rPr>
    </w:lvl>
    <w:lvl w:ilvl="1" w:tplc="080A0019" w:tentative="1">
      <w:start w:val="1"/>
      <w:numFmt w:val="lowerLetter"/>
      <w:lvlText w:val="%2."/>
      <w:lvlJc w:val="left"/>
      <w:pPr>
        <w:ind w:left="2514" w:hanging="360"/>
      </w:pPr>
    </w:lvl>
    <w:lvl w:ilvl="2" w:tplc="080A001B" w:tentative="1">
      <w:start w:val="1"/>
      <w:numFmt w:val="lowerRoman"/>
      <w:lvlText w:val="%3."/>
      <w:lvlJc w:val="right"/>
      <w:pPr>
        <w:ind w:left="3234" w:hanging="180"/>
      </w:pPr>
    </w:lvl>
    <w:lvl w:ilvl="3" w:tplc="080A000F" w:tentative="1">
      <w:start w:val="1"/>
      <w:numFmt w:val="decimal"/>
      <w:lvlText w:val="%4."/>
      <w:lvlJc w:val="left"/>
      <w:pPr>
        <w:ind w:left="3954" w:hanging="360"/>
      </w:pPr>
    </w:lvl>
    <w:lvl w:ilvl="4" w:tplc="080A0019" w:tentative="1">
      <w:start w:val="1"/>
      <w:numFmt w:val="lowerLetter"/>
      <w:lvlText w:val="%5."/>
      <w:lvlJc w:val="left"/>
      <w:pPr>
        <w:ind w:left="4674" w:hanging="360"/>
      </w:pPr>
    </w:lvl>
    <w:lvl w:ilvl="5" w:tplc="080A001B" w:tentative="1">
      <w:start w:val="1"/>
      <w:numFmt w:val="lowerRoman"/>
      <w:lvlText w:val="%6."/>
      <w:lvlJc w:val="right"/>
      <w:pPr>
        <w:ind w:left="5394" w:hanging="180"/>
      </w:pPr>
    </w:lvl>
    <w:lvl w:ilvl="6" w:tplc="080A000F" w:tentative="1">
      <w:start w:val="1"/>
      <w:numFmt w:val="decimal"/>
      <w:lvlText w:val="%7."/>
      <w:lvlJc w:val="left"/>
      <w:pPr>
        <w:ind w:left="6114" w:hanging="360"/>
      </w:pPr>
    </w:lvl>
    <w:lvl w:ilvl="7" w:tplc="080A0019" w:tentative="1">
      <w:start w:val="1"/>
      <w:numFmt w:val="lowerLetter"/>
      <w:lvlText w:val="%8."/>
      <w:lvlJc w:val="left"/>
      <w:pPr>
        <w:ind w:left="6834" w:hanging="360"/>
      </w:pPr>
    </w:lvl>
    <w:lvl w:ilvl="8" w:tplc="080A001B" w:tentative="1">
      <w:start w:val="1"/>
      <w:numFmt w:val="lowerRoman"/>
      <w:lvlText w:val="%9."/>
      <w:lvlJc w:val="right"/>
      <w:pPr>
        <w:ind w:left="7554" w:hanging="180"/>
      </w:pPr>
    </w:lvl>
  </w:abstractNum>
  <w:abstractNum w:abstractNumId="196" w15:restartNumberingAfterBreak="0">
    <w:nsid w:val="5C090EBA"/>
    <w:multiLevelType w:val="hybridMultilevel"/>
    <w:tmpl w:val="6388AF6A"/>
    <w:lvl w:ilvl="0" w:tplc="FFFFFFFF">
      <w:numFmt w:val="bullet"/>
      <w:lvlText w:val="-"/>
      <w:lvlJc w:val="left"/>
      <w:pPr>
        <w:ind w:left="720" w:hanging="360"/>
      </w:pPr>
      <w:rPr>
        <w:rFonts w:ascii="Arial" w:eastAsia="Times New Roman" w:hAnsi="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7" w15:restartNumberingAfterBreak="0">
    <w:nsid w:val="5C450801"/>
    <w:multiLevelType w:val="hybridMultilevel"/>
    <w:tmpl w:val="71C034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8" w15:restartNumberingAfterBreak="0">
    <w:nsid w:val="5C573AC2"/>
    <w:multiLevelType w:val="hybridMultilevel"/>
    <w:tmpl w:val="AFD8A3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9" w15:restartNumberingAfterBreak="0">
    <w:nsid w:val="5C6269A6"/>
    <w:multiLevelType w:val="hybridMultilevel"/>
    <w:tmpl w:val="027A413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0" w15:restartNumberingAfterBreak="0">
    <w:nsid w:val="5C9D351C"/>
    <w:multiLevelType w:val="hybridMultilevel"/>
    <w:tmpl w:val="D872258C"/>
    <w:lvl w:ilvl="0" w:tplc="080A0019">
      <w:start w:val="1"/>
      <w:numFmt w:val="lowerLetter"/>
      <w:lvlText w:val="%1."/>
      <w:lvlJc w:val="left"/>
      <w:pPr>
        <w:ind w:left="1440" w:hanging="360"/>
      </w:pPr>
    </w:lvl>
    <w:lvl w:ilvl="1" w:tplc="080A001B">
      <w:start w:val="1"/>
      <w:numFmt w:val="lowerRoman"/>
      <w:lvlText w:val="%2."/>
      <w:lvlJc w:val="right"/>
      <w:pPr>
        <w:ind w:left="2160" w:hanging="360"/>
      </w:pPr>
    </w:lvl>
    <w:lvl w:ilvl="2" w:tplc="080A001B">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1" w15:restartNumberingAfterBreak="0">
    <w:nsid w:val="5D4B4AD1"/>
    <w:multiLevelType w:val="hybridMultilevel"/>
    <w:tmpl w:val="153ADA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2" w15:restartNumberingAfterBreak="0">
    <w:nsid w:val="5D5E3852"/>
    <w:multiLevelType w:val="hybridMultilevel"/>
    <w:tmpl w:val="D12C09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3" w15:restartNumberingAfterBreak="0">
    <w:nsid w:val="5D792E43"/>
    <w:multiLevelType w:val="hybridMultilevel"/>
    <w:tmpl w:val="1D7A1E2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4" w15:restartNumberingAfterBreak="0">
    <w:nsid w:val="5DF715EF"/>
    <w:multiLevelType w:val="hybridMultilevel"/>
    <w:tmpl w:val="332ECA8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5" w15:restartNumberingAfterBreak="0">
    <w:nsid w:val="5E7907AC"/>
    <w:multiLevelType w:val="hybridMultilevel"/>
    <w:tmpl w:val="08F88CC8"/>
    <w:lvl w:ilvl="0" w:tplc="7AEE5F96">
      <w:start w:val="1"/>
      <w:numFmt w:val="decimal"/>
      <w:lvlText w:val="%1)"/>
      <w:lvlJc w:val="left"/>
      <w:pPr>
        <w:ind w:left="720" w:hanging="360"/>
      </w:pPr>
      <w:rPr>
        <w:rFonts w:ascii="Calibri" w:eastAsia="Times New Roman" w:hAnsi="Calibri" w:cs="Arial"/>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6" w15:restartNumberingAfterBreak="0">
    <w:nsid w:val="5F674743"/>
    <w:multiLevelType w:val="hybridMultilevel"/>
    <w:tmpl w:val="34945B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7" w15:restartNumberingAfterBreak="0">
    <w:nsid w:val="5F72517E"/>
    <w:multiLevelType w:val="hybridMultilevel"/>
    <w:tmpl w:val="1B305F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8" w15:restartNumberingAfterBreak="0">
    <w:nsid w:val="5FD06EBF"/>
    <w:multiLevelType w:val="hybridMultilevel"/>
    <w:tmpl w:val="E30A8492"/>
    <w:lvl w:ilvl="0" w:tplc="5FD83B72">
      <w:start w:val="1"/>
      <w:numFmt w:val="decimal"/>
      <w:lvlText w:val="%1)"/>
      <w:lvlJc w:val="left"/>
      <w:pPr>
        <w:ind w:left="720" w:hanging="360"/>
      </w:pPr>
      <w:rPr>
        <w:rFonts w:ascii="ITC Avant Garde" w:eastAsia="Times New Roman" w:hAnsi="ITC Avant Garde" w:cs="Arial" w:hint="default"/>
      </w:rPr>
    </w:lvl>
    <w:lvl w:ilvl="1" w:tplc="080A0003">
      <w:start w:val="1"/>
      <w:numFmt w:val="bullet"/>
      <w:lvlText w:val="o"/>
      <w:lvlJc w:val="left"/>
      <w:pPr>
        <w:ind w:left="1211"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DCB21CBA">
      <w:start w:val="1"/>
      <w:numFmt w:val="decimal"/>
      <w:lvlText w:val="%4)"/>
      <w:lvlJc w:val="left"/>
      <w:pPr>
        <w:ind w:left="2880" w:hanging="360"/>
      </w:pPr>
      <w:rPr>
        <w:rFonts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9" w15:restartNumberingAfterBreak="0">
    <w:nsid w:val="60252B52"/>
    <w:multiLevelType w:val="hybridMultilevel"/>
    <w:tmpl w:val="75360428"/>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10" w15:restartNumberingAfterBreak="0">
    <w:nsid w:val="611411CB"/>
    <w:multiLevelType w:val="hybridMultilevel"/>
    <w:tmpl w:val="8D5EE43C"/>
    <w:lvl w:ilvl="0" w:tplc="080A0015">
      <w:numFmt w:val="bullet"/>
      <w:lvlText w:val="-"/>
      <w:lvlJc w:val="left"/>
      <w:pPr>
        <w:ind w:left="1440" w:hanging="360"/>
      </w:pPr>
      <w:rPr>
        <w:rFonts w:ascii="Comic Sans MS" w:eastAsia="Times New Roman" w:hAnsi="Comic Sans M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1" w15:restartNumberingAfterBreak="0">
    <w:nsid w:val="61793817"/>
    <w:multiLevelType w:val="hybridMultilevel"/>
    <w:tmpl w:val="1E8425A8"/>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2" w15:restartNumberingAfterBreak="0">
    <w:nsid w:val="6292566B"/>
    <w:multiLevelType w:val="hybridMultilevel"/>
    <w:tmpl w:val="984E91F0"/>
    <w:lvl w:ilvl="0" w:tplc="3F68E1C4">
      <w:start w:val="6"/>
      <w:numFmt w:val="bullet"/>
      <w:lvlText w:val=""/>
      <w:lvlJc w:val="left"/>
      <w:pPr>
        <w:ind w:left="720" w:hanging="360"/>
      </w:pPr>
      <w:rPr>
        <w:rFonts w:ascii="Wingdings" w:eastAsia="Times New Roman" w:hAnsi="Wingdings"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3" w15:restartNumberingAfterBreak="0">
    <w:nsid w:val="62A80288"/>
    <w:multiLevelType w:val="hybridMultilevel"/>
    <w:tmpl w:val="92F66026"/>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14" w15:restartNumberingAfterBreak="0">
    <w:nsid w:val="62BC1C72"/>
    <w:multiLevelType w:val="hybridMultilevel"/>
    <w:tmpl w:val="17EE81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5" w15:restartNumberingAfterBreak="0">
    <w:nsid w:val="63656FCD"/>
    <w:multiLevelType w:val="hybridMultilevel"/>
    <w:tmpl w:val="6AC8ED92"/>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16" w15:restartNumberingAfterBreak="0">
    <w:nsid w:val="63BC73B6"/>
    <w:multiLevelType w:val="hybridMultilevel"/>
    <w:tmpl w:val="C09255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7" w15:restartNumberingAfterBreak="0">
    <w:nsid w:val="63FC152C"/>
    <w:multiLevelType w:val="hybridMultilevel"/>
    <w:tmpl w:val="056A3444"/>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1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8" w15:restartNumberingAfterBreak="0">
    <w:nsid w:val="645844FD"/>
    <w:multiLevelType w:val="hybridMultilevel"/>
    <w:tmpl w:val="1918EFB4"/>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9" w15:restartNumberingAfterBreak="0">
    <w:nsid w:val="64B00A50"/>
    <w:multiLevelType w:val="hybridMultilevel"/>
    <w:tmpl w:val="D872258C"/>
    <w:lvl w:ilvl="0" w:tplc="080A0019">
      <w:start w:val="1"/>
      <w:numFmt w:val="lowerLetter"/>
      <w:lvlText w:val="%1."/>
      <w:lvlJc w:val="left"/>
      <w:pPr>
        <w:ind w:left="1440" w:hanging="360"/>
      </w:pPr>
    </w:lvl>
    <w:lvl w:ilvl="1" w:tplc="080A001B">
      <w:start w:val="1"/>
      <w:numFmt w:val="lowerRoman"/>
      <w:lvlText w:val="%2."/>
      <w:lvlJc w:val="right"/>
      <w:pPr>
        <w:ind w:left="2160" w:hanging="360"/>
      </w:pPr>
    </w:lvl>
    <w:lvl w:ilvl="2" w:tplc="080A001B">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20" w15:restartNumberingAfterBreak="0">
    <w:nsid w:val="64E43EA3"/>
    <w:multiLevelType w:val="hybridMultilevel"/>
    <w:tmpl w:val="240E9C5A"/>
    <w:lvl w:ilvl="0" w:tplc="FFFFFFFF">
      <w:start w:val="1"/>
      <w:numFmt w:val="decimal"/>
      <w:pStyle w:val="EstiloRequeridoIzquierda063cmPrimeralnea0cm"/>
      <w:lvlText w:val="R(%1) "/>
      <w:lvlJc w:val="left"/>
      <w:pPr>
        <w:tabs>
          <w:tab w:val="num" w:pos="633"/>
        </w:tabs>
        <w:ind w:left="502" w:hanging="360"/>
      </w:pPr>
      <w:rPr>
        <w:rFonts w:ascii="Arial" w:hAnsi="Arial" w:cs="Times New Roman" w:hint="default"/>
        <w:b/>
        <w:bCs w:val="0"/>
        <w:i w:val="0"/>
        <w:iCs w:val="0"/>
        <w:caps w:val="0"/>
        <w:smallCaps w:val="0"/>
        <w:strike w:val="0"/>
        <w:dstrike w:val="0"/>
        <w:snapToGrid w:val="0"/>
        <w:vanish w:val="0"/>
        <w:color w:val="000000"/>
        <w:spacing w:val="0"/>
        <w:w w:val="0"/>
        <w:kern w:val="0"/>
        <w:position w:val="0"/>
        <w:sz w:val="20"/>
        <w:szCs w:val="20"/>
        <w:u w:val="none"/>
        <w:vertAlign w:val="baseline"/>
      </w:rPr>
    </w:lvl>
    <w:lvl w:ilvl="1" w:tplc="FFFFFFFF">
      <w:start w:val="1"/>
      <w:numFmt w:val="bullet"/>
      <w:lvlText w:val=""/>
      <w:lvlJc w:val="left"/>
      <w:pPr>
        <w:tabs>
          <w:tab w:val="num" w:pos="1646"/>
        </w:tabs>
        <w:ind w:left="1646" w:hanging="360"/>
      </w:pPr>
      <w:rPr>
        <w:rFonts w:ascii="Symbol" w:hAnsi="Symbol" w:hint="default"/>
        <w:b/>
        <w:i w:val="0"/>
        <w:sz w:val="20"/>
      </w:rPr>
    </w:lvl>
    <w:lvl w:ilvl="2" w:tplc="FFFFFFFF">
      <w:numFmt w:val="bullet"/>
      <w:lvlText w:val="-"/>
      <w:lvlJc w:val="left"/>
      <w:pPr>
        <w:tabs>
          <w:tab w:val="num" w:pos="2891"/>
        </w:tabs>
        <w:ind w:left="2891" w:hanging="705"/>
      </w:pPr>
      <w:rPr>
        <w:rFonts w:ascii="Arial" w:eastAsia="Times New Roman" w:hAnsi="Arial" w:hint="default"/>
      </w:rPr>
    </w:lvl>
    <w:lvl w:ilvl="3" w:tplc="FFFFFFFF">
      <w:start w:val="16"/>
      <w:numFmt w:val="upperLetter"/>
      <w:lvlText w:val="%4-"/>
      <w:lvlJc w:val="left"/>
      <w:pPr>
        <w:tabs>
          <w:tab w:val="num" w:pos="3161"/>
        </w:tabs>
        <w:ind w:left="3161" w:hanging="435"/>
      </w:pPr>
      <w:rPr>
        <w:rFonts w:cs="Times New Roman" w:hint="default"/>
        <w:b w:val="0"/>
      </w:rPr>
    </w:lvl>
    <w:lvl w:ilvl="4" w:tplc="FFFFFFFF" w:tentative="1">
      <w:start w:val="1"/>
      <w:numFmt w:val="lowerLetter"/>
      <w:lvlText w:val="%5."/>
      <w:lvlJc w:val="left"/>
      <w:pPr>
        <w:tabs>
          <w:tab w:val="num" w:pos="3806"/>
        </w:tabs>
        <w:ind w:left="3806" w:hanging="360"/>
      </w:pPr>
      <w:rPr>
        <w:rFonts w:cs="Times New Roman"/>
      </w:rPr>
    </w:lvl>
    <w:lvl w:ilvl="5" w:tplc="FFFFFFFF" w:tentative="1">
      <w:start w:val="1"/>
      <w:numFmt w:val="lowerRoman"/>
      <w:lvlText w:val="%6."/>
      <w:lvlJc w:val="right"/>
      <w:pPr>
        <w:tabs>
          <w:tab w:val="num" w:pos="4526"/>
        </w:tabs>
        <w:ind w:left="4526" w:hanging="180"/>
      </w:pPr>
      <w:rPr>
        <w:rFonts w:cs="Times New Roman"/>
      </w:rPr>
    </w:lvl>
    <w:lvl w:ilvl="6" w:tplc="FFFFFFFF" w:tentative="1">
      <w:start w:val="1"/>
      <w:numFmt w:val="decimal"/>
      <w:lvlText w:val="%7."/>
      <w:lvlJc w:val="left"/>
      <w:pPr>
        <w:tabs>
          <w:tab w:val="num" w:pos="5246"/>
        </w:tabs>
        <w:ind w:left="5246" w:hanging="360"/>
      </w:pPr>
      <w:rPr>
        <w:rFonts w:cs="Times New Roman"/>
      </w:rPr>
    </w:lvl>
    <w:lvl w:ilvl="7" w:tplc="FFFFFFFF" w:tentative="1">
      <w:start w:val="1"/>
      <w:numFmt w:val="lowerLetter"/>
      <w:lvlText w:val="%8."/>
      <w:lvlJc w:val="left"/>
      <w:pPr>
        <w:tabs>
          <w:tab w:val="num" w:pos="5966"/>
        </w:tabs>
        <w:ind w:left="5966" w:hanging="360"/>
      </w:pPr>
      <w:rPr>
        <w:rFonts w:cs="Times New Roman"/>
      </w:rPr>
    </w:lvl>
    <w:lvl w:ilvl="8" w:tplc="FFFFFFFF" w:tentative="1">
      <w:start w:val="1"/>
      <w:numFmt w:val="lowerRoman"/>
      <w:lvlText w:val="%9."/>
      <w:lvlJc w:val="right"/>
      <w:pPr>
        <w:tabs>
          <w:tab w:val="num" w:pos="6686"/>
        </w:tabs>
        <w:ind w:left="6686" w:hanging="180"/>
      </w:pPr>
      <w:rPr>
        <w:rFonts w:cs="Times New Roman"/>
      </w:rPr>
    </w:lvl>
  </w:abstractNum>
  <w:abstractNum w:abstractNumId="221" w15:restartNumberingAfterBreak="0">
    <w:nsid w:val="651A5833"/>
    <w:multiLevelType w:val="hybridMultilevel"/>
    <w:tmpl w:val="B13A7E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2" w15:restartNumberingAfterBreak="0">
    <w:nsid w:val="669A76E5"/>
    <w:multiLevelType w:val="hybridMultilevel"/>
    <w:tmpl w:val="DC2AD0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3" w15:restartNumberingAfterBreak="0">
    <w:nsid w:val="66FE6B1B"/>
    <w:multiLevelType w:val="hybridMultilevel"/>
    <w:tmpl w:val="71A418B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4" w15:restartNumberingAfterBreak="0">
    <w:nsid w:val="67B726DE"/>
    <w:multiLevelType w:val="hybridMultilevel"/>
    <w:tmpl w:val="6AC8ED92"/>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25" w15:restartNumberingAfterBreak="0">
    <w:nsid w:val="67F440E0"/>
    <w:multiLevelType w:val="hybridMultilevel"/>
    <w:tmpl w:val="C5AE5974"/>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54D602B2">
      <w:start w:val="7"/>
      <w:numFmt w:val="decimal"/>
      <w:lvlText w:val="%4."/>
      <w:lvlJc w:val="left"/>
      <w:pPr>
        <w:ind w:left="2880" w:hanging="360"/>
      </w:pPr>
      <w:rPr>
        <w:rFonts w:hint="default"/>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6" w15:restartNumberingAfterBreak="0">
    <w:nsid w:val="68A41D18"/>
    <w:multiLevelType w:val="hybridMultilevel"/>
    <w:tmpl w:val="D91C9AA6"/>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7" w15:restartNumberingAfterBreak="0">
    <w:nsid w:val="69246A85"/>
    <w:multiLevelType w:val="singleLevel"/>
    <w:tmpl w:val="5EF8A412"/>
    <w:lvl w:ilvl="0">
      <w:start w:val="1"/>
      <w:numFmt w:val="bullet"/>
      <w:pStyle w:val="Figure"/>
      <w:lvlText w:val=""/>
      <w:lvlJc w:val="left"/>
      <w:pPr>
        <w:tabs>
          <w:tab w:val="num" w:pos="936"/>
        </w:tabs>
        <w:ind w:left="936" w:hanging="360"/>
      </w:pPr>
      <w:rPr>
        <w:rFonts w:ascii="Wingdings" w:hAnsi="Wingdings" w:hint="default"/>
        <w:color w:val="800000"/>
        <w:sz w:val="16"/>
      </w:rPr>
    </w:lvl>
  </w:abstractNum>
  <w:abstractNum w:abstractNumId="228" w15:restartNumberingAfterBreak="0">
    <w:nsid w:val="6B46260C"/>
    <w:multiLevelType w:val="hybridMultilevel"/>
    <w:tmpl w:val="F6409A54"/>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29" w15:restartNumberingAfterBreak="0">
    <w:nsid w:val="6C722346"/>
    <w:multiLevelType w:val="hybridMultilevel"/>
    <w:tmpl w:val="DAB04A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0" w15:restartNumberingAfterBreak="0">
    <w:nsid w:val="6C7515C6"/>
    <w:multiLevelType w:val="hybridMultilevel"/>
    <w:tmpl w:val="EC040B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1" w15:restartNumberingAfterBreak="0">
    <w:nsid w:val="6CD455FD"/>
    <w:multiLevelType w:val="hybridMultilevel"/>
    <w:tmpl w:val="F7C86A3C"/>
    <w:lvl w:ilvl="0" w:tplc="080A0017">
      <w:start w:val="2"/>
      <w:numFmt w:val="lowerLetter"/>
      <w:lvlText w:val="%1)"/>
      <w:lvlJc w:val="left"/>
      <w:pPr>
        <w:ind w:left="1776" w:hanging="360"/>
      </w:pPr>
      <w:rPr>
        <w:rFonts w:hint="default"/>
      </w:rPr>
    </w:lvl>
    <w:lvl w:ilvl="1" w:tplc="080A0019" w:tentative="1">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232" w15:restartNumberingAfterBreak="0">
    <w:nsid w:val="6D407189"/>
    <w:multiLevelType w:val="hybridMultilevel"/>
    <w:tmpl w:val="210AF078"/>
    <w:lvl w:ilvl="0" w:tplc="D52CB182">
      <w:start w:val="1"/>
      <w:numFmt w:val="decimal"/>
      <w:lvlText w:val="%1)"/>
      <w:lvlJc w:val="left"/>
      <w:pPr>
        <w:ind w:left="720" w:hanging="360"/>
      </w:pPr>
      <w:rPr>
        <w:rFonts w:ascii="ITC Avant Garde" w:eastAsia="Times New Roman" w:hAnsi="ITC Avant Garde" w:cs="Times New Roman"/>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3" w15:restartNumberingAfterBreak="0">
    <w:nsid w:val="6EAE56CD"/>
    <w:multiLevelType w:val="hybridMultilevel"/>
    <w:tmpl w:val="9D7635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4" w15:restartNumberingAfterBreak="0">
    <w:nsid w:val="6FF13601"/>
    <w:multiLevelType w:val="hybridMultilevel"/>
    <w:tmpl w:val="1F3491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5" w15:restartNumberingAfterBreak="0">
    <w:nsid w:val="70D3204B"/>
    <w:multiLevelType w:val="hybridMultilevel"/>
    <w:tmpl w:val="34FC37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6" w15:restartNumberingAfterBreak="0">
    <w:nsid w:val="717600A1"/>
    <w:multiLevelType w:val="hybridMultilevel"/>
    <w:tmpl w:val="031CA604"/>
    <w:lvl w:ilvl="0" w:tplc="EA8EE024">
      <w:start w:val="1"/>
      <w:numFmt w:val="decimal"/>
      <w:pStyle w:val="Titulo3--"/>
      <w:lvlText w:val="7.%1."/>
      <w:lvlJc w:val="left"/>
      <w:pPr>
        <w:tabs>
          <w:tab w:val="num" w:pos="853"/>
        </w:tabs>
        <w:ind w:left="700" w:hanging="340"/>
      </w:pPr>
      <w:rPr>
        <w:rFonts w:cs="Times New Roman" w:hint="default"/>
      </w:rPr>
    </w:lvl>
    <w:lvl w:ilvl="1" w:tplc="EA4C0350"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37" w15:restartNumberingAfterBreak="0">
    <w:nsid w:val="71B56E0B"/>
    <w:multiLevelType w:val="hybridMultilevel"/>
    <w:tmpl w:val="D91C9AA6"/>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8" w15:restartNumberingAfterBreak="0">
    <w:nsid w:val="720875A9"/>
    <w:multiLevelType w:val="hybridMultilevel"/>
    <w:tmpl w:val="611A7C14"/>
    <w:lvl w:ilvl="0" w:tplc="940E4A7E">
      <w:start w:val="1"/>
      <w:numFmt w:val="bullet"/>
      <w:lvlText w:val=""/>
      <w:lvlJc w:val="left"/>
      <w:pPr>
        <w:ind w:left="720" w:hanging="360"/>
      </w:pPr>
      <w:rPr>
        <w:rFonts w:ascii="Symbol" w:hAnsi="Symbol" w:hint="default"/>
        <w:color w:val="auto"/>
      </w:rPr>
    </w:lvl>
    <w:lvl w:ilvl="1" w:tplc="080A0019">
      <w:start w:val="1"/>
      <w:numFmt w:val="decimal"/>
      <w:lvlText w:val="%2."/>
      <w:lvlJc w:val="left"/>
      <w:pPr>
        <w:tabs>
          <w:tab w:val="num" w:pos="1440"/>
        </w:tabs>
        <w:ind w:left="1440" w:hanging="360"/>
      </w:pPr>
    </w:lvl>
    <w:lvl w:ilvl="2" w:tplc="080A001B">
      <w:start w:val="1"/>
      <w:numFmt w:val="decimal"/>
      <w:lvlText w:val="%3."/>
      <w:lvlJc w:val="left"/>
      <w:pPr>
        <w:tabs>
          <w:tab w:val="num" w:pos="2160"/>
        </w:tabs>
        <w:ind w:left="2160" w:hanging="360"/>
      </w:pPr>
    </w:lvl>
    <w:lvl w:ilvl="3" w:tplc="080A000F">
      <w:start w:val="1"/>
      <w:numFmt w:val="decimal"/>
      <w:lvlText w:val="%4."/>
      <w:lvlJc w:val="left"/>
      <w:pPr>
        <w:tabs>
          <w:tab w:val="num" w:pos="2880"/>
        </w:tabs>
        <w:ind w:left="2880" w:hanging="360"/>
      </w:pPr>
    </w:lvl>
    <w:lvl w:ilvl="4" w:tplc="080A0019">
      <w:start w:val="1"/>
      <w:numFmt w:val="decimal"/>
      <w:lvlText w:val="%5."/>
      <w:lvlJc w:val="left"/>
      <w:pPr>
        <w:tabs>
          <w:tab w:val="num" w:pos="3600"/>
        </w:tabs>
        <w:ind w:left="3600" w:hanging="360"/>
      </w:pPr>
    </w:lvl>
    <w:lvl w:ilvl="5" w:tplc="080A001B">
      <w:start w:val="1"/>
      <w:numFmt w:val="decimal"/>
      <w:lvlText w:val="%6."/>
      <w:lvlJc w:val="left"/>
      <w:pPr>
        <w:tabs>
          <w:tab w:val="num" w:pos="4320"/>
        </w:tabs>
        <w:ind w:left="4320" w:hanging="360"/>
      </w:pPr>
    </w:lvl>
    <w:lvl w:ilvl="6" w:tplc="080A000F">
      <w:start w:val="1"/>
      <w:numFmt w:val="decimal"/>
      <w:lvlText w:val="%7."/>
      <w:lvlJc w:val="left"/>
      <w:pPr>
        <w:tabs>
          <w:tab w:val="num" w:pos="5040"/>
        </w:tabs>
        <w:ind w:left="5040" w:hanging="360"/>
      </w:pPr>
    </w:lvl>
    <w:lvl w:ilvl="7" w:tplc="080A0019">
      <w:start w:val="1"/>
      <w:numFmt w:val="decimal"/>
      <w:lvlText w:val="%8."/>
      <w:lvlJc w:val="left"/>
      <w:pPr>
        <w:tabs>
          <w:tab w:val="num" w:pos="5760"/>
        </w:tabs>
        <w:ind w:left="5760" w:hanging="360"/>
      </w:pPr>
    </w:lvl>
    <w:lvl w:ilvl="8" w:tplc="080A001B">
      <w:start w:val="1"/>
      <w:numFmt w:val="decimal"/>
      <w:lvlText w:val="%9."/>
      <w:lvlJc w:val="left"/>
      <w:pPr>
        <w:tabs>
          <w:tab w:val="num" w:pos="6480"/>
        </w:tabs>
        <w:ind w:left="6480" w:hanging="360"/>
      </w:pPr>
    </w:lvl>
  </w:abstractNum>
  <w:abstractNum w:abstractNumId="239" w15:restartNumberingAfterBreak="0">
    <w:nsid w:val="72627B3B"/>
    <w:multiLevelType w:val="hybridMultilevel"/>
    <w:tmpl w:val="D95E7D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0" w15:restartNumberingAfterBreak="0">
    <w:nsid w:val="74262FBF"/>
    <w:multiLevelType w:val="hybridMultilevel"/>
    <w:tmpl w:val="D012BD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1" w15:restartNumberingAfterBreak="0">
    <w:nsid w:val="746C21E1"/>
    <w:multiLevelType w:val="hybridMultilevel"/>
    <w:tmpl w:val="B62A150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2" w15:restartNumberingAfterBreak="0">
    <w:nsid w:val="74E65DEA"/>
    <w:multiLevelType w:val="hybridMultilevel"/>
    <w:tmpl w:val="D872258C"/>
    <w:lvl w:ilvl="0" w:tplc="080A0019">
      <w:start w:val="1"/>
      <w:numFmt w:val="lowerLetter"/>
      <w:lvlText w:val="%1."/>
      <w:lvlJc w:val="left"/>
      <w:pPr>
        <w:ind w:left="1440" w:hanging="360"/>
      </w:pPr>
    </w:lvl>
    <w:lvl w:ilvl="1" w:tplc="080A001B">
      <w:start w:val="1"/>
      <w:numFmt w:val="lowerRoman"/>
      <w:lvlText w:val="%2."/>
      <w:lvlJc w:val="right"/>
      <w:pPr>
        <w:ind w:left="2160" w:hanging="360"/>
      </w:pPr>
    </w:lvl>
    <w:lvl w:ilvl="2" w:tplc="080A001B">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43" w15:restartNumberingAfterBreak="0">
    <w:nsid w:val="763B7A99"/>
    <w:multiLevelType w:val="hybridMultilevel"/>
    <w:tmpl w:val="1D2EB2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4" w15:restartNumberingAfterBreak="0">
    <w:nsid w:val="76DD3B50"/>
    <w:multiLevelType w:val="multilevel"/>
    <w:tmpl w:val="B9BE2D34"/>
    <w:lvl w:ilvl="0">
      <w:start w:val="1"/>
      <w:numFmt w:val="decimal"/>
      <w:lvlText w:val="%1."/>
      <w:lvlJc w:val="left"/>
      <w:pPr>
        <w:tabs>
          <w:tab w:val="num" w:pos="360"/>
        </w:tabs>
        <w:ind w:left="360" w:hanging="360"/>
      </w:pPr>
      <w:rPr>
        <w:rFonts w:cs="Times New Roman" w:hint="default"/>
        <w:sz w:val="32"/>
      </w:rPr>
    </w:lvl>
    <w:lvl w:ilvl="1">
      <w:start w:val="1"/>
      <w:numFmt w:val="decimal"/>
      <w:lvlText w:val="%1.%2."/>
      <w:lvlJc w:val="left"/>
      <w:pPr>
        <w:tabs>
          <w:tab w:val="num" w:pos="1142"/>
        </w:tabs>
        <w:ind w:left="1142" w:hanging="432"/>
      </w:pPr>
      <w:rPr>
        <w:rFonts w:cs="Times New Roman" w:hint="default"/>
        <w:sz w:val="28"/>
        <w:szCs w:val="28"/>
      </w:rPr>
    </w:lvl>
    <w:lvl w:ilvl="2">
      <w:start w:val="1"/>
      <w:numFmt w:val="decimal"/>
      <w:pStyle w:val="SUBSUBCAP"/>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b/>
        <w:bCs/>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45" w15:restartNumberingAfterBreak="0">
    <w:nsid w:val="77925EBB"/>
    <w:multiLevelType w:val="hybridMultilevel"/>
    <w:tmpl w:val="96C6B18C"/>
    <w:lvl w:ilvl="0" w:tplc="4302FBAE">
      <w:start w:val="1"/>
      <w:numFmt w:val="decimal"/>
      <w:pStyle w:val="ARequeridoR"/>
      <w:lvlText w:val="(R%1):"/>
      <w:lvlJc w:val="left"/>
      <w:pPr>
        <w:tabs>
          <w:tab w:val="num" w:pos="567"/>
        </w:tabs>
        <w:ind w:left="567" w:hanging="567"/>
      </w:pPr>
      <w:rPr>
        <w:rFonts w:ascii="Times New Roman" w:hAnsi="Times New Roman" w:cs="Times New Roman" w:hint="default"/>
        <w:b/>
        <w:i/>
        <w:sz w:val="22"/>
      </w:rPr>
    </w:lvl>
    <w:lvl w:ilvl="1" w:tplc="DB42F7A6">
      <w:start w:val="1"/>
      <w:numFmt w:val="decimal"/>
      <w:lvlText w:val="%2)"/>
      <w:lvlJc w:val="left"/>
      <w:pPr>
        <w:tabs>
          <w:tab w:val="num" w:pos="1440"/>
        </w:tabs>
        <w:ind w:left="1440" w:hanging="360"/>
      </w:pPr>
      <w:rPr>
        <w:rFonts w:cs="Times New Roman" w:hint="default"/>
      </w:rPr>
    </w:lvl>
    <w:lvl w:ilvl="2" w:tplc="4D4CB864">
      <w:start w:val="1"/>
      <w:numFmt w:val="lowerLetter"/>
      <w:lvlText w:val="%3)"/>
      <w:lvlJc w:val="left"/>
      <w:pPr>
        <w:tabs>
          <w:tab w:val="num" w:pos="2340"/>
        </w:tabs>
        <w:ind w:left="2340" w:hanging="360"/>
      </w:pPr>
      <w:rPr>
        <w:rFonts w:cs="Times New Roman" w:hint="default"/>
      </w:rPr>
    </w:lvl>
    <w:lvl w:ilvl="3" w:tplc="784431F2" w:tentative="1">
      <w:start w:val="1"/>
      <w:numFmt w:val="decimal"/>
      <w:lvlText w:val="%4."/>
      <w:lvlJc w:val="left"/>
      <w:pPr>
        <w:tabs>
          <w:tab w:val="num" w:pos="2880"/>
        </w:tabs>
        <w:ind w:left="2880" w:hanging="360"/>
      </w:pPr>
      <w:rPr>
        <w:rFonts w:cs="Times New Roman"/>
      </w:rPr>
    </w:lvl>
    <w:lvl w:ilvl="4" w:tplc="5F825694" w:tentative="1">
      <w:start w:val="1"/>
      <w:numFmt w:val="lowerLetter"/>
      <w:lvlText w:val="%5."/>
      <w:lvlJc w:val="left"/>
      <w:pPr>
        <w:tabs>
          <w:tab w:val="num" w:pos="3600"/>
        </w:tabs>
        <w:ind w:left="3600" w:hanging="360"/>
      </w:pPr>
      <w:rPr>
        <w:rFonts w:cs="Times New Roman"/>
      </w:rPr>
    </w:lvl>
    <w:lvl w:ilvl="5" w:tplc="FF9C98F0" w:tentative="1">
      <w:start w:val="1"/>
      <w:numFmt w:val="lowerRoman"/>
      <w:lvlText w:val="%6."/>
      <w:lvlJc w:val="right"/>
      <w:pPr>
        <w:tabs>
          <w:tab w:val="num" w:pos="4320"/>
        </w:tabs>
        <w:ind w:left="4320" w:hanging="180"/>
      </w:pPr>
      <w:rPr>
        <w:rFonts w:cs="Times New Roman"/>
      </w:rPr>
    </w:lvl>
    <w:lvl w:ilvl="6" w:tplc="CF1858D0" w:tentative="1">
      <w:start w:val="1"/>
      <w:numFmt w:val="decimal"/>
      <w:lvlText w:val="%7."/>
      <w:lvlJc w:val="left"/>
      <w:pPr>
        <w:tabs>
          <w:tab w:val="num" w:pos="5040"/>
        </w:tabs>
        <w:ind w:left="5040" w:hanging="360"/>
      </w:pPr>
      <w:rPr>
        <w:rFonts w:cs="Times New Roman"/>
      </w:rPr>
    </w:lvl>
    <w:lvl w:ilvl="7" w:tplc="B9A8DAEA" w:tentative="1">
      <w:start w:val="1"/>
      <w:numFmt w:val="lowerLetter"/>
      <w:lvlText w:val="%8."/>
      <w:lvlJc w:val="left"/>
      <w:pPr>
        <w:tabs>
          <w:tab w:val="num" w:pos="5760"/>
        </w:tabs>
        <w:ind w:left="5760" w:hanging="360"/>
      </w:pPr>
      <w:rPr>
        <w:rFonts w:cs="Times New Roman"/>
      </w:rPr>
    </w:lvl>
    <w:lvl w:ilvl="8" w:tplc="DD4C634A" w:tentative="1">
      <w:start w:val="1"/>
      <w:numFmt w:val="lowerRoman"/>
      <w:lvlText w:val="%9."/>
      <w:lvlJc w:val="right"/>
      <w:pPr>
        <w:tabs>
          <w:tab w:val="num" w:pos="6480"/>
        </w:tabs>
        <w:ind w:left="6480" w:hanging="180"/>
      </w:pPr>
      <w:rPr>
        <w:rFonts w:cs="Times New Roman"/>
      </w:rPr>
    </w:lvl>
  </w:abstractNum>
  <w:abstractNum w:abstractNumId="246" w15:restartNumberingAfterBreak="0">
    <w:nsid w:val="77CA622A"/>
    <w:multiLevelType w:val="hybridMultilevel"/>
    <w:tmpl w:val="7B40D32E"/>
    <w:lvl w:ilvl="0" w:tplc="0C0A0019">
      <w:start w:val="1"/>
      <w:numFmt w:val="lowerLetter"/>
      <w:lvlText w:val="%1."/>
      <w:lvlJc w:val="left"/>
      <w:pPr>
        <w:ind w:left="144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7" w15:restartNumberingAfterBreak="0">
    <w:nsid w:val="780B0C8D"/>
    <w:multiLevelType w:val="hybridMultilevel"/>
    <w:tmpl w:val="96D2731C"/>
    <w:lvl w:ilvl="0" w:tplc="0C0A0011">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59BE3012">
      <w:start w:val="1"/>
      <w:numFmt w:val="lowerLetter"/>
      <w:lvlText w:val="%5)"/>
      <w:lvlJc w:val="left"/>
      <w:pPr>
        <w:ind w:left="3621" w:hanging="360"/>
      </w:pPr>
      <w:rPr>
        <w:rFonts w:hint="default"/>
      </w:rPr>
    </w:lvl>
    <w:lvl w:ilvl="5" w:tplc="0C0A001B">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48" w15:restartNumberingAfterBreak="0">
    <w:nsid w:val="78BE6631"/>
    <w:multiLevelType w:val="hybridMultilevel"/>
    <w:tmpl w:val="D91C9AA6"/>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9" w15:restartNumberingAfterBreak="0">
    <w:nsid w:val="79021743"/>
    <w:multiLevelType w:val="hybridMultilevel"/>
    <w:tmpl w:val="147AF7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0" w15:restartNumberingAfterBreak="0">
    <w:nsid w:val="791E3FD8"/>
    <w:multiLevelType w:val="hybridMultilevel"/>
    <w:tmpl w:val="0742D6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1" w15:restartNumberingAfterBreak="0">
    <w:nsid w:val="79E21D65"/>
    <w:multiLevelType w:val="hybridMultilevel"/>
    <w:tmpl w:val="AE94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2" w15:restartNumberingAfterBreak="0">
    <w:nsid w:val="7A490DEA"/>
    <w:multiLevelType w:val="hybridMultilevel"/>
    <w:tmpl w:val="FF4ED60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3" w15:restartNumberingAfterBreak="0">
    <w:nsid w:val="7BDF7003"/>
    <w:multiLevelType w:val="hybridMultilevel"/>
    <w:tmpl w:val="C84232F8"/>
    <w:lvl w:ilvl="0" w:tplc="080A0019">
      <w:start w:val="1"/>
      <w:numFmt w:val="lowerLetter"/>
      <w:lvlText w:val="%1."/>
      <w:lvlJc w:val="left"/>
      <w:pPr>
        <w:ind w:left="720" w:hanging="360"/>
      </w:pPr>
      <w:rPr>
        <w:rFonts w:cs="Times New Roman"/>
      </w:rPr>
    </w:lvl>
    <w:lvl w:ilvl="1" w:tplc="080A0019">
      <w:start w:val="1"/>
      <w:numFmt w:val="decimal"/>
      <w:lvlText w:val="%2."/>
      <w:lvlJc w:val="left"/>
      <w:pPr>
        <w:tabs>
          <w:tab w:val="num" w:pos="1440"/>
        </w:tabs>
        <w:ind w:left="1440" w:hanging="360"/>
      </w:pPr>
    </w:lvl>
    <w:lvl w:ilvl="2" w:tplc="080A001B">
      <w:start w:val="1"/>
      <w:numFmt w:val="decimal"/>
      <w:lvlText w:val="%3."/>
      <w:lvlJc w:val="left"/>
      <w:pPr>
        <w:tabs>
          <w:tab w:val="num" w:pos="2160"/>
        </w:tabs>
        <w:ind w:left="2160" w:hanging="360"/>
      </w:pPr>
    </w:lvl>
    <w:lvl w:ilvl="3" w:tplc="080A000F">
      <w:start w:val="1"/>
      <w:numFmt w:val="decimal"/>
      <w:lvlText w:val="%4."/>
      <w:lvlJc w:val="left"/>
      <w:pPr>
        <w:tabs>
          <w:tab w:val="num" w:pos="2880"/>
        </w:tabs>
        <w:ind w:left="2880" w:hanging="360"/>
      </w:pPr>
    </w:lvl>
    <w:lvl w:ilvl="4" w:tplc="080A0019">
      <w:start w:val="1"/>
      <w:numFmt w:val="decimal"/>
      <w:lvlText w:val="%5."/>
      <w:lvlJc w:val="left"/>
      <w:pPr>
        <w:tabs>
          <w:tab w:val="num" w:pos="3600"/>
        </w:tabs>
        <w:ind w:left="3600" w:hanging="360"/>
      </w:pPr>
    </w:lvl>
    <w:lvl w:ilvl="5" w:tplc="080A001B">
      <w:start w:val="1"/>
      <w:numFmt w:val="decimal"/>
      <w:lvlText w:val="%6."/>
      <w:lvlJc w:val="left"/>
      <w:pPr>
        <w:tabs>
          <w:tab w:val="num" w:pos="4320"/>
        </w:tabs>
        <w:ind w:left="4320" w:hanging="360"/>
      </w:pPr>
    </w:lvl>
    <w:lvl w:ilvl="6" w:tplc="080A000F">
      <w:start w:val="1"/>
      <w:numFmt w:val="decimal"/>
      <w:lvlText w:val="%7."/>
      <w:lvlJc w:val="left"/>
      <w:pPr>
        <w:tabs>
          <w:tab w:val="num" w:pos="5040"/>
        </w:tabs>
        <w:ind w:left="5040" w:hanging="360"/>
      </w:pPr>
    </w:lvl>
    <w:lvl w:ilvl="7" w:tplc="080A0019">
      <w:start w:val="1"/>
      <w:numFmt w:val="decimal"/>
      <w:lvlText w:val="%8."/>
      <w:lvlJc w:val="left"/>
      <w:pPr>
        <w:tabs>
          <w:tab w:val="num" w:pos="5760"/>
        </w:tabs>
        <w:ind w:left="5760" w:hanging="360"/>
      </w:pPr>
    </w:lvl>
    <w:lvl w:ilvl="8" w:tplc="080A001B">
      <w:start w:val="1"/>
      <w:numFmt w:val="decimal"/>
      <w:lvlText w:val="%9."/>
      <w:lvlJc w:val="left"/>
      <w:pPr>
        <w:tabs>
          <w:tab w:val="num" w:pos="6480"/>
        </w:tabs>
        <w:ind w:left="6480" w:hanging="360"/>
      </w:pPr>
    </w:lvl>
  </w:abstractNum>
  <w:abstractNum w:abstractNumId="254" w15:restartNumberingAfterBreak="0">
    <w:nsid w:val="7C023162"/>
    <w:multiLevelType w:val="hybridMultilevel"/>
    <w:tmpl w:val="500E953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5" w15:restartNumberingAfterBreak="0">
    <w:nsid w:val="7C8E3691"/>
    <w:multiLevelType w:val="hybridMultilevel"/>
    <w:tmpl w:val="0AE2E3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6" w15:restartNumberingAfterBreak="0">
    <w:nsid w:val="7C9C47F5"/>
    <w:multiLevelType w:val="hybridMultilevel"/>
    <w:tmpl w:val="E4FAEC7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7" w15:restartNumberingAfterBreak="0">
    <w:nsid w:val="7E054BF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8" w15:restartNumberingAfterBreak="0">
    <w:nsid w:val="7E8B7576"/>
    <w:multiLevelType w:val="hybridMultilevel"/>
    <w:tmpl w:val="C6648CB4"/>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259" w15:restartNumberingAfterBreak="0">
    <w:nsid w:val="7EC17C90"/>
    <w:multiLevelType w:val="hybridMultilevel"/>
    <w:tmpl w:val="EB5CBF5A"/>
    <w:lvl w:ilvl="0" w:tplc="080A0015">
      <w:numFmt w:val="bullet"/>
      <w:lvlText w:val="-"/>
      <w:lvlJc w:val="left"/>
      <w:pPr>
        <w:ind w:left="1440" w:hanging="360"/>
      </w:pPr>
      <w:rPr>
        <w:rFonts w:ascii="Comic Sans MS" w:eastAsia="Times New Roman" w:hAnsi="Comic Sans M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60" w15:restartNumberingAfterBreak="0">
    <w:nsid w:val="7ED92387"/>
    <w:multiLevelType w:val="multilevel"/>
    <w:tmpl w:val="E4148DBE"/>
    <w:lvl w:ilvl="0">
      <w:start w:val="1"/>
      <w:numFmt w:val="decimal"/>
      <w:lvlText w:val="%1."/>
      <w:lvlJc w:val="left"/>
      <w:pPr>
        <w:ind w:left="720" w:hanging="360"/>
      </w:pPr>
      <w:rPr>
        <w:rFonts w:hint="default"/>
      </w:rPr>
    </w:lvl>
    <w:lvl w:ilvl="1">
      <w:start w:val="2"/>
      <w:numFmt w:val="decimal"/>
      <w:isLgl/>
      <w:lvlText w:val="%1.%2"/>
      <w:lvlJc w:val="left"/>
      <w:pPr>
        <w:ind w:left="1410" w:hanging="6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1" w15:restartNumberingAfterBreak="0">
    <w:nsid w:val="7EE1554A"/>
    <w:multiLevelType w:val="hybridMultilevel"/>
    <w:tmpl w:val="8470377E"/>
    <w:lvl w:ilvl="0" w:tplc="080A000F">
      <w:start w:val="1"/>
      <w:numFmt w:val="decimal"/>
      <w:lvlText w:val="%1."/>
      <w:lvlJc w:val="left"/>
      <w:pPr>
        <w:ind w:left="720" w:hanging="360"/>
      </w:pPr>
      <w:rPr>
        <w:rFonts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62" w15:restartNumberingAfterBreak="0">
    <w:nsid w:val="7F275919"/>
    <w:multiLevelType w:val="hybridMultilevel"/>
    <w:tmpl w:val="C4E8AE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16"/>
  </w:num>
  <w:num w:numId="2">
    <w:abstractNumId w:val="134"/>
  </w:num>
  <w:num w:numId="3">
    <w:abstractNumId w:val="220"/>
  </w:num>
  <w:num w:numId="4">
    <w:abstractNumId w:val="21"/>
  </w:num>
  <w:num w:numId="5">
    <w:abstractNumId w:val="245"/>
  </w:num>
  <w:num w:numId="6">
    <w:abstractNumId w:val="109"/>
  </w:num>
  <w:num w:numId="7">
    <w:abstractNumId w:val="236"/>
  </w:num>
  <w:num w:numId="8">
    <w:abstractNumId w:val="173"/>
  </w:num>
  <w:num w:numId="9">
    <w:abstractNumId w:val="177"/>
  </w:num>
  <w:num w:numId="10">
    <w:abstractNumId w:val="152"/>
  </w:num>
  <w:num w:numId="11">
    <w:abstractNumId w:val="158"/>
  </w:num>
  <w:num w:numId="12">
    <w:abstractNumId w:val="24"/>
  </w:num>
  <w:num w:numId="13">
    <w:abstractNumId w:val="120"/>
  </w:num>
  <w:num w:numId="14">
    <w:abstractNumId w:val="22"/>
  </w:num>
  <w:num w:numId="15">
    <w:abstractNumId w:val="159"/>
  </w:num>
  <w:num w:numId="16">
    <w:abstractNumId w:val="38"/>
  </w:num>
  <w:num w:numId="17">
    <w:abstractNumId w:val="227"/>
  </w:num>
  <w:num w:numId="18">
    <w:abstractNumId w:val="150"/>
  </w:num>
  <w:num w:numId="19">
    <w:abstractNumId w:val="65"/>
  </w:num>
  <w:num w:numId="20">
    <w:abstractNumId w:val="244"/>
  </w:num>
  <w:num w:numId="21">
    <w:abstractNumId w:val="29"/>
  </w:num>
  <w:num w:numId="22">
    <w:abstractNumId w:val="86"/>
  </w:num>
  <w:num w:numId="23">
    <w:abstractNumId w:val="106"/>
  </w:num>
  <w:num w:numId="24">
    <w:abstractNumId w:val="147"/>
  </w:num>
  <w:num w:numId="25">
    <w:abstractNumId w:val="54"/>
  </w:num>
  <w:num w:numId="26">
    <w:abstractNumId w:val="69"/>
  </w:num>
  <w:num w:numId="27">
    <w:abstractNumId w:val="97"/>
  </w:num>
  <w:num w:numId="28">
    <w:abstractNumId w:val="203"/>
  </w:num>
  <w:num w:numId="29">
    <w:abstractNumId w:val="217"/>
  </w:num>
  <w:num w:numId="30">
    <w:abstractNumId w:val="63"/>
  </w:num>
  <w:num w:numId="31">
    <w:abstractNumId w:val="258"/>
  </w:num>
  <w:num w:numId="32">
    <w:abstractNumId w:val="32"/>
  </w:num>
  <w:num w:numId="33">
    <w:abstractNumId w:val="242"/>
  </w:num>
  <w:num w:numId="34">
    <w:abstractNumId w:val="10"/>
  </w:num>
  <w:num w:numId="35">
    <w:abstractNumId w:val="1"/>
  </w:num>
  <w:num w:numId="36">
    <w:abstractNumId w:val="237"/>
  </w:num>
  <w:num w:numId="37">
    <w:abstractNumId w:val="248"/>
  </w:num>
  <w:num w:numId="38">
    <w:abstractNumId w:val="87"/>
  </w:num>
  <w:num w:numId="39">
    <w:abstractNumId w:val="166"/>
  </w:num>
  <w:num w:numId="40">
    <w:abstractNumId w:val="104"/>
  </w:num>
  <w:num w:numId="41">
    <w:abstractNumId w:val="117"/>
  </w:num>
  <w:num w:numId="42">
    <w:abstractNumId w:val="215"/>
  </w:num>
  <w:num w:numId="43">
    <w:abstractNumId w:val="142"/>
  </w:num>
  <w:num w:numId="44">
    <w:abstractNumId w:val="102"/>
  </w:num>
  <w:num w:numId="45">
    <w:abstractNumId w:val="241"/>
  </w:num>
  <w:num w:numId="46">
    <w:abstractNumId w:val="35"/>
  </w:num>
  <w:num w:numId="47">
    <w:abstractNumId w:val="93"/>
  </w:num>
  <w:num w:numId="48">
    <w:abstractNumId w:val="13"/>
  </w:num>
  <w:num w:numId="49">
    <w:abstractNumId w:val="58"/>
  </w:num>
  <w:num w:numId="50">
    <w:abstractNumId w:val="167"/>
  </w:num>
  <w:num w:numId="51">
    <w:abstractNumId w:val="71"/>
  </w:num>
  <w:num w:numId="52">
    <w:abstractNumId w:val="4"/>
  </w:num>
  <w:num w:numId="53">
    <w:abstractNumId w:val="141"/>
  </w:num>
  <w:num w:numId="54">
    <w:abstractNumId w:val="160"/>
  </w:num>
  <w:num w:numId="55">
    <w:abstractNumId w:val="228"/>
  </w:num>
  <w:num w:numId="56">
    <w:abstractNumId w:val="186"/>
  </w:num>
  <w:num w:numId="57">
    <w:abstractNumId w:val="95"/>
  </w:num>
  <w:num w:numId="58">
    <w:abstractNumId w:val="209"/>
  </w:num>
  <w:num w:numId="59">
    <w:abstractNumId w:val="221"/>
  </w:num>
  <w:num w:numId="60">
    <w:abstractNumId w:val="96"/>
  </w:num>
  <w:num w:numId="61">
    <w:abstractNumId w:val="200"/>
  </w:num>
  <w:num w:numId="62">
    <w:abstractNumId w:val="12"/>
  </w:num>
  <w:num w:numId="63">
    <w:abstractNumId w:val="168"/>
  </w:num>
  <w:num w:numId="64">
    <w:abstractNumId w:val="261"/>
  </w:num>
  <w:num w:numId="65">
    <w:abstractNumId w:val="184"/>
  </w:num>
  <w:num w:numId="66">
    <w:abstractNumId w:val="206"/>
  </w:num>
  <w:num w:numId="67">
    <w:abstractNumId w:val="176"/>
  </w:num>
  <w:num w:numId="68">
    <w:abstractNumId w:val="129"/>
  </w:num>
  <w:num w:numId="69">
    <w:abstractNumId w:val="115"/>
  </w:num>
  <w:num w:numId="70">
    <w:abstractNumId w:val="137"/>
  </w:num>
  <w:num w:numId="71">
    <w:abstractNumId w:val="229"/>
  </w:num>
  <w:num w:numId="72">
    <w:abstractNumId w:val="41"/>
  </w:num>
  <w:num w:numId="73">
    <w:abstractNumId w:val="121"/>
  </w:num>
  <w:num w:numId="74">
    <w:abstractNumId w:val="33"/>
  </w:num>
  <w:num w:numId="75">
    <w:abstractNumId w:val="91"/>
  </w:num>
  <w:num w:numId="76">
    <w:abstractNumId w:val="205"/>
  </w:num>
  <w:num w:numId="77">
    <w:abstractNumId w:val="5"/>
  </w:num>
  <w:num w:numId="78">
    <w:abstractNumId w:val="219"/>
  </w:num>
  <w:num w:numId="79">
    <w:abstractNumId w:val="246"/>
  </w:num>
  <w:num w:numId="80">
    <w:abstractNumId w:val="57"/>
  </w:num>
  <w:num w:numId="81">
    <w:abstractNumId w:val="224"/>
  </w:num>
  <w:num w:numId="82">
    <w:abstractNumId w:val="225"/>
  </w:num>
  <w:num w:numId="83">
    <w:abstractNumId w:val="260"/>
  </w:num>
  <w:num w:numId="84">
    <w:abstractNumId w:val="85"/>
  </w:num>
  <w:num w:numId="85">
    <w:abstractNumId w:val="92"/>
  </w:num>
  <w:num w:numId="86">
    <w:abstractNumId w:val="174"/>
  </w:num>
  <w:num w:numId="87">
    <w:abstractNumId w:val="185"/>
  </w:num>
  <w:num w:numId="88">
    <w:abstractNumId w:val="3"/>
  </w:num>
  <w:num w:numId="89">
    <w:abstractNumId w:val="64"/>
  </w:num>
  <w:num w:numId="90">
    <w:abstractNumId w:val="30"/>
  </w:num>
  <w:num w:numId="91">
    <w:abstractNumId w:val="211"/>
  </w:num>
  <w:num w:numId="92">
    <w:abstractNumId w:val="201"/>
  </w:num>
  <w:num w:numId="93">
    <w:abstractNumId w:val="207"/>
  </w:num>
  <w:num w:numId="94">
    <w:abstractNumId w:val="62"/>
  </w:num>
  <w:num w:numId="95">
    <w:abstractNumId w:val="251"/>
  </w:num>
  <w:num w:numId="96">
    <w:abstractNumId w:val="127"/>
  </w:num>
  <w:num w:numId="97">
    <w:abstractNumId w:val="53"/>
  </w:num>
  <w:num w:numId="98">
    <w:abstractNumId w:val="105"/>
  </w:num>
  <w:num w:numId="99">
    <w:abstractNumId w:val="111"/>
  </w:num>
  <w:num w:numId="100">
    <w:abstractNumId w:val="239"/>
  </w:num>
  <w:num w:numId="101">
    <w:abstractNumId w:val="73"/>
  </w:num>
  <w:num w:numId="102">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08"/>
  </w:num>
  <w:num w:numId="106">
    <w:abstractNumId w:val="133"/>
  </w:num>
  <w:num w:numId="107">
    <w:abstractNumId w:val="61"/>
  </w:num>
  <w:num w:numId="108">
    <w:abstractNumId w:val="213"/>
  </w:num>
  <w:num w:numId="109">
    <w:abstractNumId w:val="252"/>
  </w:num>
  <w:num w:numId="110">
    <w:abstractNumId w:val="175"/>
  </w:num>
  <w:num w:numId="111">
    <w:abstractNumId w:val="112"/>
  </w:num>
  <w:num w:numId="112">
    <w:abstractNumId w:val="254"/>
  </w:num>
  <w:num w:numId="113">
    <w:abstractNumId w:val="81"/>
  </w:num>
  <w:num w:numId="114">
    <w:abstractNumId w:val="78"/>
  </w:num>
  <w:num w:numId="115">
    <w:abstractNumId w:val="52"/>
  </w:num>
  <w:num w:numId="116">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80"/>
  </w:num>
  <w:num w:numId="118">
    <w:abstractNumId w:val="179"/>
  </w:num>
  <w:num w:numId="119">
    <w:abstractNumId w:val="256"/>
  </w:num>
  <w:num w:numId="120">
    <w:abstractNumId w:val="43"/>
  </w:num>
  <w:num w:numId="121">
    <w:abstractNumId w:val="153"/>
  </w:num>
  <w:num w:numId="122">
    <w:abstractNumId w:val="1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7"/>
  </w:num>
  <w:num w:numId="124">
    <w:abstractNumId w:val="247"/>
  </w:num>
  <w:num w:numId="125">
    <w:abstractNumId w:val="101"/>
  </w:num>
  <w:num w:numId="126">
    <w:abstractNumId w:val="77"/>
  </w:num>
  <w:num w:numId="127">
    <w:abstractNumId w:val="36"/>
  </w:num>
  <w:num w:numId="128">
    <w:abstractNumId w:val="144"/>
  </w:num>
  <w:num w:numId="129">
    <w:abstractNumId w:val="135"/>
  </w:num>
  <w:num w:numId="130">
    <w:abstractNumId w:val="19"/>
  </w:num>
  <w:num w:numId="131">
    <w:abstractNumId w:val="240"/>
  </w:num>
  <w:num w:numId="13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55"/>
  </w:num>
  <w:num w:numId="134">
    <w:abstractNumId w:val="123"/>
  </w:num>
  <w:num w:numId="135">
    <w:abstractNumId w:val="181"/>
  </w:num>
  <w:num w:numId="136">
    <w:abstractNumId w:val="194"/>
  </w:num>
  <w:num w:numId="137">
    <w:abstractNumId w:val="9"/>
  </w:num>
  <w:num w:numId="138">
    <w:abstractNumId w:val="99"/>
  </w:num>
  <w:num w:numId="139">
    <w:abstractNumId w:val="257"/>
  </w:num>
  <w:num w:numId="140">
    <w:abstractNumId w:val="51"/>
  </w:num>
  <w:num w:numId="141">
    <w:abstractNumId w:val="118"/>
  </w:num>
  <w:num w:numId="142">
    <w:abstractNumId w:val="122"/>
  </w:num>
  <w:num w:numId="143">
    <w:abstractNumId w:val="11"/>
  </w:num>
  <w:num w:numId="144">
    <w:abstractNumId w:val="103"/>
  </w:num>
  <w:num w:numId="145">
    <w:abstractNumId w:val="193"/>
  </w:num>
  <w:num w:numId="146">
    <w:abstractNumId w:val="40"/>
  </w:num>
  <w:num w:numId="147">
    <w:abstractNumId w:val="110"/>
  </w:num>
  <w:num w:numId="148">
    <w:abstractNumId w:val="138"/>
  </w:num>
  <w:num w:numId="149">
    <w:abstractNumId w:val="139"/>
  </w:num>
  <w:num w:numId="150">
    <w:abstractNumId w:val="187"/>
  </w:num>
  <w:num w:numId="151">
    <w:abstractNumId w:val="119"/>
  </w:num>
  <w:num w:numId="152">
    <w:abstractNumId w:val="218"/>
  </w:num>
  <w:num w:numId="153">
    <w:abstractNumId w:val="28"/>
  </w:num>
  <w:num w:numId="154">
    <w:abstractNumId w:val="14"/>
  </w:num>
  <w:num w:numId="155">
    <w:abstractNumId w:val="235"/>
  </w:num>
  <w:num w:numId="156">
    <w:abstractNumId w:val="132"/>
  </w:num>
  <w:num w:numId="157">
    <w:abstractNumId w:val="212"/>
  </w:num>
  <w:num w:numId="158">
    <w:abstractNumId w:val="25"/>
  </w:num>
  <w:num w:numId="159">
    <w:abstractNumId w:val="196"/>
  </w:num>
  <w:num w:numId="160">
    <w:abstractNumId w:val="48"/>
  </w:num>
  <w:num w:numId="161">
    <w:abstractNumId w:val="145"/>
  </w:num>
  <w:num w:numId="162">
    <w:abstractNumId w:val="18"/>
  </w:num>
  <w:num w:numId="163">
    <w:abstractNumId w:val="80"/>
  </w:num>
  <w:num w:numId="164">
    <w:abstractNumId w:val="230"/>
  </w:num>
  <w:num w:numId="165">
    <w:abstractNumId w:val="100"/>
  </w:num>
  <w:num w:numId="166">
    <w:abstractNumId w:val="6"/>
  </w:num>
  <w:num w:numId="167">
    <w:abstractNumId w:val="146"/>
  </w:num>
  <w:num w:numId="168">
    <w:abstractNumId w:val="130"/>
  </w:num>
  <w:num w:numId="169">
    <w:abstractNumId w:val="178"/>
  </w:num>
  <w:num w:numId="170">
    <w:abstractNumId w:val="42"/>
  </w:num>
  <w:num w:numId="171">
    <w:abstractNumId w:val="243"/>
  </w:num>
  <w:num w:numId="172">
    <w:abstractNumId w:val="74"/>
  </w:num>
  <w:num w:numId="173">
    <w:abstractNumId w:val="39"/>
  </w:num>
  <w:num w:numId="174">
    <w:abstractNumId w:val="68"/>
  </w:num>
  <w:num w:numId="175">
    <w:abstractNumId w:val="27"/>
  </w:num>
  <w:num w:numId="176">
    <w:abstractNumId w:val="249"/>
  </w:num>
  <w:num w:numId="177">
    <w:abstractNumId w:val="198"/>
  </w:num>
  <w:num w:numId="178">
    <w:abstractNumId w:val="149"/>
  </w:num>
  <w:num w:numId="179">
    <w:abstractNumId w:val="183"/>
  </w:num>
  <w:num w:numId="180">
    <w:abstractNumId w:val="170"/>
  </w:num>
  <w:num w:numId="181">
    <w:abstractNumId w:val="226"/>
  </w:num>
  <w:num w:numId="182">
    <w:abstractNumId w:val="49"/>
  </w:num>
  <w:num w:numId="183">
    <w:abstractNumId w:val="234"/>
  </w:num>
  <w:num w:numId="184">
    <w:abstractNumId w:val="75"/>
  </w:num>
  <w:num w:numId="185">
    <w:abstractNumId w:val="17"/>
  </w:num>
  <w:num w:numId="186">
    <w:abstractNumId w:val="70"/>
  </w:num>
  <w:num w:numId="187">
    <w:abstractNumId w:val="143"/>
  </w:num>
  <w:num w:numId="188">
    <w:abstractNumId w:val="214"/>
  </w:num>
  <w:num w:numId="189">
    <w:abstractNumId w:val="76"/>
  </w:num>
  <w:num w:numId="190">
    <w:abstractNumId w:val="46"/>
  </w:num>
  <w:num w:numId="191">
    <w:abstractNumId w:val="72"/>
  </w:num>
  <w:num w:numId="192">
    <w:abstractNumId w:val="188"/>
  </w:num>
  <w:num w:numId="193">
    <w:abstractNumId w:val="79"/>
  </w:num>
  <w:num w:numId="194">
    <w:abstractNumId w:val="157"/>
  </w:num>
  <w:num w:numId="195">
    <w:abstractNumId w:val="55"/>
  </w:num>
  <w:num w:numId="196">
    <w:abstractNumId w:val="131"/>
  </w:num>
  <w:num w:numId="197">
    <w:abstractNumId w:val="161"/>
  </w:num>
  <w:num w:numId="198">
    <w:abstractNumId w:val="233"/>
  </w:num>
  <w:num w:numId="199">
    <w:abstractNumId w:val="108"/>
  </w:num>
  <w:num w:numId="200">
    <w:abstractNumId w:val="60"/>
  </w:num>
  <w:num w:numId="201">
    <w:abstractNumId w:val="128"/>
  </w:num>
  <w:num w:numId="202">
    <w:abstractNumId w:val="259"/>
  </w:num>
  <w:num w:numId="203">
    <w:abstractNumId w:val="210"/>
  </w:num>
  <w:num w:numId="204">
    <w:abstractNumId w:val="197"/>
  </w:num>
  <w:num w:numId="205">
    <w:abstractNumId w:val="83"/>
  </w:num>
  <w:num w:numId="206">
    <w:abstractNumId w:val="31"/>
  </w:num>
  <w:num w:numId="207">
    <w:abstractNumId w:val="195"/>
  </w:num>
  <w:num w:numId="208">
    <w:abstractNumId w:val="154"/>
  </w:num>
  <w:num w:numId="209">
    <w:abstractNumId w:val="47"/>
  </w:num>
  <w:num w:numId="210">
    <w:abstractNumId w:val="164"/>
  </w:num>
  <w:num w:numId="211">
    <w:abstractNumId w:val="136"/>
  </w:num>
  <w:num w:numId="212">
    <w:abstractNumId w:val="113"/>
  </w:num>
  <w:num w:numId="213">
    <w:abstractNumId w:val="140"/>
  </w:num>
  <w:num w:numId="214">
    <w:abstractNumId w:val="8"/>
  </w:num>
  <w:num w:numId="215">
    <w:abstractNumId w:val="189"/>
  </w:num>
  <w:num w:numId="216">
    <w:abstractNumId w:val="232"/>
  </w:num>
  <w:num w:numId="217">
    <w:abstractNumId w:val="84"/>
  </w:num>
  <w:num w:numId="218">
    <w:abstractNumId w:val="156"/>
  </w:num>
  <w:num w:numId="219">
    <w:abstractNumId w:val="50"/>
  </w:num>
  <w:num w:numId="220">
    <w:abstractNumId w:val="216"/>
  </w:num>
  <w:num w:numId="221">
    <w:abstractNumId w:val="172"/>
  </w:num>
  <w:num w:numId="222">
    <w:abstractNumId w:val="222"/>
  </w:num>
  <w:num w:numId="223">
    <w:abstractNumId w:val="45"/>
  </w:num>
  <w:num w:numId="224">
    <w:abstractNumId w:val="126"/>
  </w:num>
  <w:num w:numId="225">
    <w:abstractNumId w:val="169"/>
  </w:num>
  <w:num w:numId="226">
    <w:abstractNumId w:val="223"/>
  </w:num>
  <w:num w:numId="227">
    <w:abstractNumId w:val="20"/>
  </w:num>
  <w:num w:numId="228">
    <w:abstractNumId w:val="56"/>
  </w:num>
  <w:num w:numId="229">
    <w:abstractNumId w:val="16"/>
  </w:num>
  <w:num w:numId="230">
    <w:abstractNumId w:val="37"/>
  </w:num>
  <w:num w:numId="231">
    <w:abstractNumId w:val="255"/>
  </w:num>
  <w:num w:numId="232">
    <w:abstractNumId w:val="262"/>
  </w:num>
  <w:num w:numId="233">
    <w:abstractNumId w:val="165"/>
  </w:num>
  <w:num w:numId="234">
    <w:abstractNumId w:val="94"/>
  </w:num>
  <w:num w:numId="235">
    <w:abstractNumId w:val="182"/>
  </w:num>
  <w:num w:numId="236">
    <w:abstractNumId w:val="15"/>
  </w:num>
  <w:num w:numId="237">
    <w:abstractNumId w:val="191"/>
  </w:num>
  <w:num w:numId="238">
    <w:abstractNumId w:val="89"/>
  </w:num>
  <w:num w:numId="239">
    <w:abstractNumId w:val="66"/>
  </w:num>
  <w:num w:numId="240">
    <w:abstractNumId w:val="107"/>
  </w:num>
  <w:num w:numId="241">
    <w:abstractNumId w:val="199"/>
  </w:num>
  <w:num w:numId="242">
    <w:abstractNumId w:val="148"/>
  </w:num>
  <w:num w:numId="243">
    <w:abstractNumId w:val="190"/>
  </w:num>
  <w:num w:numId="244">
    <w:abstractNumId w:val="59"/>
  </w:num>
  <w:num w:numId="245">
    <w:abstractNumId w:val="162"/>
  </w:num>
  <w:num w:numId="246">
    <w:abstractNumId w:val="204"/>
  </w:num>
  <w:num w:numId="247">
    <w:abstractNumId w:val="250"/>
  </w:num>
  <w:num w:numId="248">
    <w:abstractNumId w:val="260"/>
  </w:num>
  <w:num w:numId="249">
    <w:abstractNumId w:val="260"/>
  </w:num>
  <w:num w:numId="250">
    <w:abstractNumId w:val="125"/>
  </w:num>
  <w:num w:numId="251">
    <w:abstractNumId w:val="98"/>
  </w:num>
  <w:num w:numId="252">
    <w:abstractNumId w:val="151"/>
  </w:num>
  <w:num w:numId="253">
    <w:abstractNumId w:val="114"/>
  </w:num>
  <w:num w:numId="254">
    <w:abstractNumId w:val="163"/>
  </w:num>
  <w:num w:numId="255">
    <w:abstractNumId w:val="231"/>
  </w:num>
  <w:num w:numId="256">
    <w:abstractNumId w:val="90"/>
  </w:num>
  <w:num w:numId="257">
    <w:abstractNumId w:val="34"/>
  </w:num>
  <w:num w:numId="258">
    <w:abstractNumId w:val="82"/>
  </w:num>
  <w:num w:numId="259">
    <w:abstractNumId w:val="192"/>
  </w:num>
  <w:num w:numId="260">
    <w:abstractNumId w:val="124"/>
  </w:num>
  <w:num w:numId="261">
    <w:abstractNumId w:val="26"/>
  </w:num>
  <w:num w:numId="262">
    <w:abstractNumId w:val="202"/>
  </w:num>
  <w:num w:numId="263">
    <w:abstractNumId w:val="2"/>
  </w:num>
  <w:num w:numId="264">
    <w:abstractNumId w:val="44"/>
  </w:num>
  <w:num w:numId="265">
    <w:abstractNumId w:val="67"/>
  </w:num>
  <w:numIdMacAtCleanup w:val="2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20"/>
  <w:drawingGridVerticalSpacing w:val="0"/>
  <w:displayHorizontalDrawingGridEvery w:val="0"/>
  <w:displayVerticalDrawingGridEvery w:val="0"/>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DFB"/>
    <w:rsid w:val="00000343"/>
    <w:rsid w:val="000003C9"/>
    <w:rsid w:val="000009AA"/>
    <w:rsid w:val="000012E4"/>
    <w:rsid w:val="00001347"/>
    <w:rsid w:val="0000190D"/>
    <w:rsid w:val="00001B5C"/>
    <w:rsid w:val="00001DD3"/>
    <w:rsid w:val="00001E61"/>
    <w:rsid w:val="00002544"/>
    <w:rsid w:val="00002C33"/>
    <w:rsid w:val="00002E3A"/>
    <w:rsid w:val="00002F7F"/>
    <w:rsid w:val="000034CE"/>
    <w:rsid w:val="000038C6"/>
    <w:rsid w:val="00003FD1"/>
    <w:rsid w:val="000044D8"/>
    <w:rsid w:val="0000454C"/>
    <w:rsid w:val="000046B8"/>
    <w:rsid w:val="000047A9"/>
    <w:rsid w:val="000053A9"/>
    <w:rsid w:val="000054D8"/>
    <w:rsid w:val="00005745"/>
    <w:rsid w:val="00005AEC"/>
    <w:rsid w:val="00005B00"/>
    <w:rsid w:val="00005DCF"/>
    <w:rsid w:val="00005EBD"/>
    <w:rsid w:val="00006066"/>
    <w:rsid w:val="00006209"/>
    <w:rsid w:val="0000630D"/>
    <w:rsid w:val="00006315"/>
    <w:rsid w:val="000068C4"/>
    <w:rsid w:val="00007288"/>
    <w:rsid w:val="000073C4"/>
    <w:rsid w:val="00007674"/>
    <w:rsid w:val="00007823"/>
    <w:rsid w:val="000078A6"/>
    <w:rsid w:val="000078F7"/>
    <w:rsid w:val="00007A53"/>
    <w:rsid w:val="00007C32"/>
    <w:rsid w:val="0001011D"/>
    <w:rsid w:val="00010211"/>
    <w:rsid w:val="00010556"/>
    <w:rsid w:val="000106B2"/>
    <w:rsid w:val="00010F72"/>
    <w:rsid w:val="00011150"/>
    <w:rsid w:val="0001151F"/>
    <w:rsid w:val="00011627"/>
    <w:rsid w:val="00011A1B"/>
    <w:rsid w:val="00012B9E"/>
    <w:rsid w:val="00012BCF"/>
    <w:rsid w:val="00012DF0"/>
    <w:rsid w:val="000133C1"/>
    <w:rsid w:val="00013849"/>
    <w:rsid w:val="00014EB1"/>
    <w:rsid w:val="0001549B"/>
    <w:rsid w:val="000164B1"/>
    <w:rsid w:val="000169CF"/>
    <w:rsid w:val="00016A54"/>
    <w:rsid w:val="00016CEB"/>
    <w:rsid w:val="00016E51"/>
    <w:rsid w:val="0001710A"/>
    <w:rsid w:val="0001712E"/>
    <w:rsid w:val="000173A4"/>
    <w:rsid w:val="00017712"/>
    <w:rsid w:val="000178E6"/>
    <w:rsid w:val="000179C6"/>
    <w:rsid w:val="00020019"/>
    <w:rsid w:val="0002031B"/>
    <w:rsid w:val="000204BA"/>
    <w:rsid w:val="0002058C"/>
    <w:rsid w:val="0002074F"/>
    <w:rsid w:val="00020816"/>
    <w:rsid w:val="0002121C"/>
    <w:rsid w:val="000215AA"/>
    <w:rsid w:val="000216C1"/>
    <w:rsid w:val="000217FD"/>
    <w:rsid w:val="000221DF"/>
    <w:rsid w:val="0002238C"/>
    <w:rsid w:val="000227BC"/>
    <w:rsid w:val="00022D43"/>
    <w:rsid w:val="00022DB2"/>
    <w:rsid w:val="000236E3"/>
    <w:rsid w:val="000237A4"/>
    <w:rsid w:val="0002411B"/>
    <w:rsid w:val="00024189"/>
    <w:rsid w:val="0002440C"/>
    <w:rsid w:val="000248E3"/>
    <w:rsid w:val="00024A96"/>
    <w:rsid w:val="00024B49"/>
    <w:rsid w:val="00024C44"/>
    <w:rsid w:val="00024F23"/>
    <w:rsid w:val="0002509A"/>
    <w:rsid w:val="0002524B"/>
    <w:rsid w:val="000252AB"/>
    <w:rsid w:val="000253D3"/>
    <w:rsid w:val="00025647"/>
    <w:rsid w:val="00025C92"/>
    <w:rsid w:val="00025DB6"/>
    <w:rsid w:val="00025E4E"/>
    <w:rsid w:val="000260E8"/>
    <w:rsid w:val="00026572"/>
    <w:rsid w:val="00026848"/>
    <w:rsid w:val="00026A43"/>
    <w:rsid w:val="00026AC1"/>
    <w:rsid w:val="00026C38"/>
    <w:rsid w:val="00027076"/>
    <w:rsid w:val="00027111"/>
    <w:rsid w:val="0002718B"/>
    <w:rsid w:val="000271CD"/>
    <w:rsid w:val="000271EA"/>
    <w:rsid w:val="0002741C"/>
    <w:rsid w:val="00027D7C"/>
    <w:rsid w:val="00027F32"/>
    <w:rsid w:val="0003038A"/>
    <w:rsid w:val="000304D0"/>
    <w:rsid w:val="000305D8"/>
    <w:rsid w:val="00030DA4"/>
    <w:rsid w:val="000312C2"/>
    <w:rsid w:val="00031E97"/>
    <w:rsid w:val="00031F98"/>
    <w:rsid w:val="00032267"/>
    <w:rsid w:val="000322EC"/>
    <w:rsid w:val="0003234A"/>
    <w:rsid w:val="00032583"/>
    <w:rsid w:val="000327B1"/>
    <w:rsid w:val="00032A7F"/>
    <w:rsid w:val="000330AF"/>
    <w:rsid w:val="00033219"/>
    <w:rsid w:val="0003322B"/>
    <w:rsid w:val="00033AC0"/>
    <w:rsid w:val="000343C0"/>
    <w:rsid w:val="00034753"/>
    <w:rsid w:val="0003475D"/>
    <w:rsid w:val="00034881"/>
    <w:rsid w:val="00034A29"/>
    <w:rsid w:val="0003526E"/>
    <w:rsid w:val="00035CD0"/>
    <w:rsid w:val="00035EA1"/>
    <w:rsid w:val="00035F4F"/>
    <w:rsid w:val="00036030"/>
    <w:rsid w:val="000360CD"/>
    <w:rsid w:val="00036441"/>
    <w:rsid w:val="00036658"/>
    <w:rsid w:val="00036D59"/>
    <w:rsid w:val="00036DD0"/>
    <w:rsid w:val="00036EC3"/>
    <w:rsid w:val="00036FA4"/>
    <w:rsid w:val="0003730A"/>
    <w:rsid w:val="00037840"/>
    <w:rsid w:val="00037D46"/>
    <w:rsid w:val="00037E42"/>
    <w:rsid w:val="000406D1"/>
    <w:rsid w:val="000406FB"/>
    <w:rsid w:val="00040B8A"/>
    <w:rsid w:val="00041117"/>
    <w:rsid w:val="00041198"/>
    <w:rsid w:val="0004137E"/>
    <w:rsid w:val="0004176F"/>
    <w:rsid w:val="000418D8"/>
    <w:rsid w:val="00041B00"/>
    <w:rsid w:val="00041F74"/>
    <w:rsid w:val="00042665"/>
    <w:rsid w:val="00042C68"/>
    <w:rsid w:val="00043166"/>
    <w:rsid w:val="000436C5"/>
    <w:rsid w:val="000436D8"/>
    <w:rsid w:val="0004377A"/>
    <w:rsid w:val="0004398E"/>
    <w:rsid w:val="00043C4C"/>
    <w:rsid w:val="00043E50"/>
    <w:rsid w:val="00043F5E"/>
    <w:rsid w:val="00044439"/>
    <w:rsid w:val="0004463E"/>
    <w:rsid w:val="000447C6"/>
    <w:rsid w:val="00045470"/>
    <w:rsid w:val="000458D8"/>
    <w:rsid w:val="00045EC7"/>
    <w:rsid w:val="00045F0D"/>
    <w:rsid w:val="000464C2"/>
    <w:rsid w:val="0004666C"/>
    <w:rsid w:val="00046B33"/>
    <w:rsid w:val="00046C05"/>
    <w:rsid w:val="0004734F"/>
    <w:rsid w:val="000476E1"/>
    <w:rsid w:val="000479E4"/>
    <w:rsid w:val="00047A3D"/>
    <w:rsid w:val="00047D42"/>
    <w:rsid w:val="00047FAD"/>
    <w:rsid w:val="000505CC"/>
    <w:rsid w:val="00050795"/>
    <w:rsid w:val="000507B4"/>
    <w:rsid w:val="000509FC"/>
    <w:rsid w:val="00050D0F"/>
    <w:rsid w:val="00050E6D"/>
    <w:rsid w:val="000518C3"/>
    <w:rsid w:val="00051A1A"/>
    <w:rsid w:val="00051AAC"/>
    <w:rsid w:val="00051BDA"/>
    <w:rsid w:val="00051D77"/>
    <w:rsid w:val="00051D82"/>
    <w:rsid w:val="0005200C"/>
    <w:rsid w:val="000520A4"/>
    <w:rsid w:val="000520A8"/>
    <w:rsid w:val="00052527"/>
    <w:rsid w:val="00052C5B"/>
    <w:rsid w:val="00052D68"/>
    <w:rsid w:val="00052DD7"/>
    <w:rsid w:val="00053588"/>
    <w:rsid w:val="000535DD"/>
    <w:rsid w:val="00053784"/>
    <w:rsid w:val="00053B2F"/>
    <w:rsid w:val="000540AE"/>
    <w:rsid w:val="0005418B"/>
    <w:rsid w:val="000541AC"/>
    <w:rsid w:val="00054297"/>
    <w:rsid w:val="0005494B"/>
    <w:rsid w:val="00054EA5"/>
    <w:rsid w:val="00054ED0"/>
    <w:rsid w:val="0005502E"/>
    <w:rsid w:val="0005548C"/>
    <w:rsid w:val="000557F5"/>
    <w:rsid w:val="00055A6C"/>
    <w:rsid w:val="00055DD1"/>
    <w:rsid w:val="00055F11"/>
    <w:rsid w:val="00055F8A"/>
    <w:rsid w:val="00055FB9"/>
    <w:rsid w:val="000561E1"/>
    <w:rsid w:val="00056621"/>
    <w:rsid w:val="000566D3"/>
    <w:rsid w:val="0005679D"/>
    <w:rsid w:val="00056FED"/>
    <w:rsid w:val="00057032"/>
    <w:rsid w:val="0005711D"/>
    <w:rsid w:val="00057189"/>
    <w:rsid w:val="000572B4"/>
    <w:rsid w:val="0005776E"/>
    <w:rsid w:val="00057983"/>
    <w:rsid w:val="00057B75"/>
    <w:rsid w:val="00057D73"/>
    <w:rsid w:val="000600ED"/>
    <w:rsid w:val="00060219"/>
    <w:rsid w:val="000608AF"/>
    <w:rsid w:val="000609E3"/>
    <w:rsid w:val="00060BEC"/>
    <w:rsid w:val="00060F27"/>
    <w:rsid w:val="00061304"/>
    <w:rsid w:val="0006133C"/>
    <w:rsid w:val="000618F6"/>
    <w:rsid w:val="0006214C"/>
    <w:rsid w:val="000626B4"/>
    <w:rsid w:val="00062B21"/>
    <w:rsid w:val="000635EB"/>
    <w:rsid w:val="00063791"/>
    <w:rsid w:val="00063CA6"/>
    <w:rsid w:val="000643D1"/>
    <w:rsid w:val="00064458"/>
    <w:rsid w:val="0006495F"/>
    <w:rsid w:val="000649F7"/>
    <w:rsid w:val="00064BA1"/>
    <w:rsid w:val="000651DB"/>
    <w:rsid w:val="000652C6"/>
    <w:rsid w:val="000652EF"/>
    <w:rsid w:val="00065762"/>
    <w:rsid w:val="0006580F"/>
    <w:rsid w:val="00065CD6"/>
    <w:rsid w:val="000661F6"/>
    <w:rsid w:val="00066664"/>
    <w:rsid w:val="00066A2A"/>
    <w:rsid w:val="00066C60"/>
    <w:rsid w:val="00067833"/>
    <w:rsid w:val="00067A08"/>
    <w:rsid w:val="00067B7D"/>
    <w:rsid w:val="00067C65"/>
    <w:rsid w:val="00067F5C"/>
    <w:rsid w:val="000705FE"/>
    <w:rsid w:val="000707C2"/>
    <w:rsid w:val="00070A67"/>
    <w:rsid w:val="00070EAB"/>
    <w:rsid w:val="00070FCB"/>
    <w:rsid w:val="000711B0"/>
    <w:rsid w:val="00071CEA"/>
    <w:rsid w:val="000723DD"/>
    <w:rsid w:val="0007245D"/>
    <w:rsid w:val="000724FD"/>
    <w:rsid w:val="00072748"/>
    <w:rsid w:val="00072A5F"/>
    <w:rsid w:val="000732C2"/>
    <w:rsid w:val="0007335C"/>
    <w:rsid w:val="00073D0C"/>
    <w:rsid w:val="000744F2"/>
    <w:rsid w:val="00075365"/>
    <w:rsid w:val="00075367"/>
    <w:rsid w:val="00075466"/>
    <w:rsid w:val="000755D7"/>
    <w:rsid w:val="000757E6"/>
    <w:rsid w:val="00075D3F"/>
    <w:rsid w:val="00075EB3"/>
    <w:rsid w:val="00076929"/>
    <w:rsid w:val="000769D6"/>
    <w:rsid w:val="00076ACF"/>
    <w:rsid w:val="00076CFC"/>
    <w:rsid w:val="00077144"/>
    <w:rsid w:val="00077386"/>
    <w:rsid w:val="0007748E"/>
    <w:rsid w:val="000774C9"/>
    <w:rsid w:val="0007795D"/>
    <w:rsid w:val="00077CF4"/>
    <w:rsid w:val="0008013F"/>
    <w:rsid w:val="000804CF"/>
    <w:rsid w:val="00080936"/>
    <w:rsid w:val="00080986"/>
    <w:rsid w:val="000809E0"/>
    <w:rsid w:val="00080B04"/>
    <w:rsid w:val="00080B2B"/>
    <w:rsid w:val="00080E2F"/>
    <w:rsid w:val="00080E73"/>
    <w:rsid w:val="00080F65"/>
    <w:rsid w:val="00081404"/>
    <w:rsid w:val="000817A7"/>
    <w:rsid w:val="00081DF3"/>
    <w:rsid w:val="00082420"/>
    <w:rsid w:val="000825F2"/>
    <w:rsid w:val="000828A7"/>
    <w:rsid w:val="00082926"/>
    <w:rsid w:val="00082C78"/>
    <w:rsid w:val="00082D52"/>
    <w:rsid w:val="00082DD5"/>
    <w:rsid w:val="00083987"/>
    <w:rsid w:val="00083A88"/>
    <w:rsid w:val="00083C32"/>
    <w:rsid w:val="00083C7A"/>
    <w:rsid w:val="00083FEB"/>
    <w:rsid w:val="00084083"/>
    <w:rsid w:val="00084C82"/>
    <w:rsid w:val="00085095"/>
    <w:rsid w:val="000857B5"/>
    <w:rsid w:val="000857CF"/>
    <w:rsid w:val="000857F0"/>
    <w:rsid w:val="00085C06"/>
    <w:rsid w:val="00085D54"/>
    <w:rsid w:val="00085E9C"/>
    <w:rsid w:val="00085ED8"/>
    <w:rsid w:val="0008624B"/>
    <w:rsid w:val="00086261"/>
    <w:rsid w:val="00086692"/>
    <w:rsid w:val="000866F5"/>
    <w:rsid w:val="0008671D"/>
    <w:rsid w:val="00086821"/>
    <w:rsid w:val="000869DA"/>
    <w:rsid w:val="00086B74"/>
    <w:rsid w:val="00086D52"/>
    <w:rsid w:val="000870D0"/>
    <w:rsid w:val="000871CA"/>
    <w:rsid w:val="00087300"/>
    <w:rsid w:val="0009052A"/>
    <w:rsid w:val="00090884"/>
    <w:rsid w:val="00090A0B"/>
    <w:rsid w:val="00090F0B"/>
    <w:rsid w:val="00090F50"/>
    <w:rsid w:val="000913C7"/>
    <w:rsid w:val="00091488"/>
    <w:rsid w:val="000915CF"/>
    <w:rsid w:val="0009196B"/>
    <w:rsid w:val="00091AA7"/>
    <w:rsid w:val="00091D29"/>
    <w:rsid w:val="00091D5B"/>
    <w:rsid w:val="00091EF4"/>
    <w:rsid w:val="00091FBC"/>
    <w:rsid w:val="00092142"/>
    <w:rsid w:val="00092156"/>
    <w:rsid w:val="00092330"/>
    <w:rsid w:val="0009238A"/>
    <w:rsid w:val="00092793"/>
    <w:rsid w:val="000928D7"/>
    <w:rsid w:val="000929CE"/>
    <w:rsid w:val="00092E4B"/>
    <w:rsid w:val="0009307F"/>
    <w:rsid w:val="00093121"/>
    <w:rsid w:val="0009325E"/>
    <w:rsid w:val="00093481"/>
    <w:rsid w:val="00093D39"/>
    <w:rsid w:val="00093D8E"/>
    <w:rsid w:val="00093E50"/>
    <w:rsid w:val="000940FA"/>
    <w:rsid w:val="00094533"/>
    <w:rsid w:val="0009465E"/>
    <w:rsid w:val="00094679"/>
    <w:rsid w:val="00094853"/>
    <w:rsid w:val="000948DE"/>
    <w:rsid w:val="00094E0C"/>
    <w:rsid w:val="000953C1"/>
    <w:rsid w:val="00095459"/>
    <w:rsid w:val="00095877"/>
    <w:rsid w:val="000958FB"/>
    <w:rsid w:val="00095BE4"/>
    <w:rsid w:val="00095DBA"/>
    <w:rsid w:val="0009604F"/>
    <w:rsid w:val="00096434"/>
    <w:rsid w:val="00096648"/>
    <w:rsid w:val="00096656"/>
    <w:rsid w:val="00096DD2"/>
    <w:rsid w:val="00097828"/>
    <w:rsid w:val="00097C74"/>
    <w:rsid w:val="000A0528"/>
    <w:rsid w:val="000A07CD"/>
    <w:rsid w:val="000A0A18"/>
    <w:rsid w:val="000A0AD0"/>
    <w:rsid w:val="000A0D35"/>
    <w:rsid w:val="000A0D3E"/>
    <w:rsid w:val="000A0EAE"/>
    <w:rsid w:val="000A12FB"/>
    <w:rsid w:val="000A1612"/>
    <w:rsid w:val="000A19AF"/>
    <w:rsid w:val="000A1E31"/>
    <w:rsid w:val="000A2319"/>
    <w:rsid w:val="000A23B1"/>
    <w:rsid w:val="000A24C6"/>
    <w:rsid w:val="000A25F0"/>
    <w:rsid w:val="000A2629"/>
    <w:rsid w:val="000A2738"/>
    <w:rsid w:val="000A2896"/>
    <w:rsid w:val="000A2CD9"/>
    <w:rsid w:val="000A2D32"/>
    <w:rsid w:val="000A2D4E"/>
    <w:rsid w:val="000A30CD"/>
    <w:rsid w:val="000A30F6"/>
    <w:rsid w:val="000A354A"/>
    <w:rsid w:val="000A3704"/>
    <w:rsid w:val="000A3717"/>
    <w:rsid w:val="000A3CA3"/>
    <w:rsid w:val="000A40E9"/>
    <w:rsid w:val="000A42DD"/>
    <w:rsid w:val="000A4916"/>
    <w:rsid w:val="000A491F"/>
    <w:rsid w:val="000A4941"/>
    <w:rsid w:val="000A53CC"/>
    <w:rsid w:val="000A55E3"/>
    <w:rsid w:val="000A57D9"/>
    <w:rsid w:val="000A5F52"/>
    <w:rsid w:val="000A60AE"/>
    <w:rsid w:val="000A6471"/>
    <w:rsid w:val="000A64D3"/>
    <w:rsid w:val="000A66C1"/>
    <w:rsid w:val="000A6ADA"/>
    <w:rsid w:val="000A70FA"/>
    <w:rsid w:val="000A72CE"/>
    <w:rsid w:val="000A741E"/>
    <w:rsid w:val="000A742F"/>
    <w:rsid w:val="000A7537"/>
    <w:rsid w:val="000A7708"/>
    <w:rsid w:val="000A77E9"/>
    <w:rsid w:val="000A7C4E"/>
    <w:rsid w:val="000A7FBB"/>
    <w:rsid w:val="000B002B"/>
    <w:rsid w:val="000B0550"/>
    <w:rsid w:val="000B0566"/>
    <w:rsid w:val="000B064D"/>
    <w:rsid w:val="000B08D0"/>
    <w:rsid w:val="000B0C22"/>
    <w:rsid w:val="000B0D3E"/>
    <w:rsid w:val="000B1307"/>
    <w:rsid w:val="000B146C"/>
    <w:rsid w:val="000B19F0"/>
    <w:rsid w:val="000B2269"/>
    <w:rsid w:val="000B23AA"/>
    <w:rsid w:val="000B23AB"/>
    <w:rsid w:val="000B24D8"/>
    <w:rsid w:val="000B2746"/>
    <w:rsid w:val="000B2988"/>
    <w:rsid w:val="000B29EB"/>
    <w:rsid w:val="000B2A45"/>
    <w:rsid w:val="000B2DA1"/>
    <w:rsid w:val="000B2E0E"/>
    <w:rsid w:val="000B2F26"/>
    <w:rsid w:val="000B34FE"/>
    <w:rsid w:val="000B381A"/>
    <w:rsid w:val="000B4243"/>
    <w:rsid w:val="000B425A"/>
    <w:rsid w:val="000B43BF"/>
    <w:rsid w:val="000B4727"/>
    <w:rsid w:val="000B4860"/>
    <w:rsid w:val="000B4927"/>
    <w:rsid w:val="000B4932"/>
    <w:rsid w:val="000B49D6"/>
    <w:rsid w:val="000B4E66"/>
    <w:rsid w:val="000B4F48"/>
    <w:rsid w:val="000B5024"/>
    <w:rsid w:val="000B548A"/>
    <w:rsid w:val="000B54C3"/>
    <w:rsid w:val="000B62BB"/>
    <w:rsid w:val="000B676A"/>
    <w:rsid w:val="000B6824"/>
    <w:rsid w:val="000B6F91"/>
    <w:rsid w:val="000B6FC1"/>
    <w:rsid w:val="000B7174"/>
    <w:rsid w:val="000B7191"/>
    <w:rsid w:val="000B7A3B"/>
    <w:rsid w:val="000B7AD7"/>
    <w:rsid w:val="000B7B1A"/>
    <w:rsid w:val="000B7CF2"/>
    <w:rsid w:val="000B7D41"/>
    <w:rsid w:val="000C02A7"/>
    <w:rsid w:val="000C0457"/>
    <w:rsid w:val="000C04D5"/>
    <w:rsid w:val="000C0985"/>
    <w:rsid w:val="000C09D9"/>
    <w:rsid w:val="000C0A45"/>
    <w:rsid w:val="000C0A62"/>
    <w:rsid w:val="000C0C1A"/>
    <w:rsid w:val="000C12D4"/>
    <w:rsid w:val="000C1655"/>
    <w:rsid w:val="000C1777"/>
    <w:rsid w:val="000C1791"/>
    <w:rsid w:val="000C18AC"/>
    <w:rsid w:val="000C19A0"/>
    <w:rsid w:val="000C1A46"/>
    <w:rsid w:val="000C1FDA"/>
    <w:rsid w:val="000C20CC"/>
    <w:rsid w:val="000C2167"/>
    <w:rsid w:val="000C23F8"/>
    <w:rsid w:val="000C242D"/>
    <w:rsid w:val="000C2517"/>
    <w:rsid w:val="000C25A1"/>
    <w:rsid w:val="000C2B01"/>
    <w:rsid w:val="000C3054"/>
    <w:rsid w:val="000C31E5"/>
    <w:rsid w:val="000C3504"/>
    <w:rsid w:val="000C3589"/>
    <w:rsid w:val="000C365C"/>
    <w:rsid w:val="000C3B1B"/>
    <w:rsid w:val="000C3D15"/>
    <w:rsid w:val="000C3E3C"/>
    <w:rsid w:val="000C435F"/>
    <w:rsid w:val="000C444F"/>
    <w:rsid w:val="000C4921"/>
    <w:rsid w:val="000C4BD8"/>
    <w:rsid w:val="000C4D2F"/>
    <w:rsid w:val="000C5377"/>
    <w:rsid w:val="000C5520"/>
    <w:rsid w:val="000C56F3"/>
    <w:rsid w:val="000C6258"/>
    <w:rsid w:val="000C6362"/>
    <w:rsid w:val="000C67F8"/>
    <w:rsid w:val="000C6841"/>
    <w:rsid w:val="000C6CBD"/>
    <w:rsid w:val="000C6E4E"/>
    <w:rsid w:val="000C6E9C"/>
    <w:rsid w:val="000C71DF"/>
    <w:rsid w:val="000C71F9"/>
    <w:rsid w:val="000C7825"/>
    <w:rsid w:val="000C7863"/>
    <w:rsid w:val="000C7A83"/>
    <w:rsid w:val="000C7C67"/>
    <w:rsid w:val="000C7E8E"/>
    <w:rsid w:val="000D007E"/>
    <w:rsid w:val="000D00D5"/>
    <w:rsid w:val="000D038F"/>
    <w:rsid w:val="000D052C"/>
    <w:rsid w:val="000D0795"/>
    <w:rsid w:val="000D07C7"/>
    <w:rsid w:val="000D0C78"/>
    <w:rsid w:val="000D0D37"/>
    <w:rsid w:val="000D0F75"/>
    <w:rsid w:val="000D101B"/>
    <w:rsid w:val="000D1270"/>
    <w:rsid w:val="000D16BD"/>
    <w:rsid w:val="000D1BCD"/>
    <w:rsid w:val="000D1FEA"/>
    <w:rsid w:val="000D228A"/>
    <w:rsid w:val="000D252C"/>
    <w:rsid w:val="000D2838"/>
    <w:rsid w:val="000D28AE"/>
    <w:rsid w:val="000D2E28"/>
    <w:rsid w:val="000D2E2C"/>
    <w:rsid w:val="000D36C8"/>
    <w:rsid w:val="000D3906"/>
    <w:rsid w:val="000D3983"/>
    <w:rsid w:val="000D3B3C"/>
    <w:rsid w:val="000D3BA8"/>
    <w:rsid w:val="000D3BD4"/>
    <w:rsid w:val="000D3D20"/>
    <w:rsid w:val="000D3D58"/>
    <w:rsid w:val="000D41E3"/>
    <w:rsid w:val="000D4212"/>
    <w:rsid w:val="000D4308"/>
    <w:rsid w:val="000D4338"/>
    <w:rsid w:val="000D44A5"/>
    <w:rsid w:val="000D466E"/>
    <w:rsid w:val="000D4826"/>
    <w:rsid w:val="000D50F5"/>
    <w:rsid w:val="000D585A"/>
    <w:rsid w:val="000D5B14"/>
    <w:rsid w:val="000D5DFB"/>
    <w:rsid w:val="000D6104"/>
    <w:rsid w:val="000D6328"/>
    <w:rsid w:val="000D63E4"/>
    <w:rsid w:val="000D6470"/>
    <w:rsid w:val="000D6517"/>
    <w:rsid w:val="000D65D6"/>
    <w:rsid w:val="000D6709"/>
    <w:rsid w:val="000D6CC2"/>
    <w:rsid w:val="000D6CC7"/>
    <w:rsid w:val="000D7084"/>
    <w:rsid w:val="000D7372"/>
    <w:rsid w:val="000D741C"/>
    <w:rsid w:val="000D771D"/>
    <w:rsid w:val="000D7EA5"/>
    <w:rsid w:val="000E05DA"/>
    <w:rsid w:val="000E060F"/>
    <w:rsid w:val="000E08CC"/>
    <w:rsid w:val="000E1293"/>
    <w:rsid w:val="000E1DC3"/>
    <w:rsid w:val="000E21C9"/>
    <w:rsid w:val="000E28DA"/>
    <w:rsid w:val="000E2921"/>
    <w:rsid w:val="000E2C66"/>
    <w:rsid w:val="000E3053"/>
    <w:rsid w:val="000E3055"/>
    <w:rsid w:val="000E3276"/>
    <w:rsid w:val="000E392C"/>
    <w:rsid w:val="000E3F02"/>
    <w:rsid w:val="000E4470"/>
    <w:rsid w:val="000E4A54"/>
    <w:rsid w:val="000E4F38"/>
    <w:rsid w:val="000E51C6"/>
    <w:rsid w:val="000E53B1"/>
    <w:rsid w:val="000E55BF"/>
    <w:rsid w:val="000E55D0"/>
    <w:rsid w:val="000E5930"/>
    <w:rsid w:val="000E5B1E"/>
    <w:rsid w:val="000E61DE"/>
    <w:rsid w:val="000E6521"/>
    <w:rsid w:val="000E66C8"/>
    <w:rsid w:val="000E6860"/>
    <w:rsid w:val="000E6A8D"/>
    <w:rsid w:val="000E6E34"/>
    <w:rsid w:val="000E702A"/>
    <w:rsid w:val="000E73B2"/>
    <w:rsid w:val="000E7600"/>
    <w:rsid w:val="000E7831"/>
    <w:rsid w:val="000E7D6E"/>
    <w:rsid w:val="000E7F96"/>
    <w:rsid w:val="000F0230"/>
    <w:rsid w:val="000F0309"/>
    <w:rsid w:val="000F0480"/>
    <w:rsid w:val="000F060F"/>
    <w:rsid w:val="000F07D7"/>
    <w:rsid w:val="000F0B9B"/>
    <w:rsid w:val="000F0BAD"/>
    <w:rsid w:val="000F0D24"/>
    <w:rsid w:val="000F0F21"/>
    <w:rsid w:val="000F0FEA"/>
    <w:rsid w:val="000F10C1"/>
    <w:rsid w:val="000F18A7"/>
    <w:rsid w:val="000F1BBE"/>
    <w:rsid w:val="000F23F1"/>
    <w:rsid w:val="000F2515"/>
    <w:rsid w:val="000F2789"/>
    <w:rsid w:val="000F2992"/>
    <w:rsid w:val="000F2A43"/>
    <w:rsid w:val="000F301D"/>
    <w:rsid w:val="000F36EB"/>
    <w:rsid w:val="000F3B5A"/>
    <w:rsid w:val="000F48DD"/>
    <w:rsid w:val="000F4E1E"/>
    <w:rsid w:val="000F5299"/>
    <w:rsid w:val="000F5496"/>
    <w:rsid w:val="000F56D4"/>
    <w:rsid w:val="000F5EB9"/>
    <w:rsid w:val="000F6035"/>
    <w:rsid w:val="000F6254"/>
    <w:rsid w:val="000F6503"/>
    <w:rsid w:val="000F663E"/>
    <w:rsid w:val="000F6891"/>
    <w:rsid w:val="000F6FB4"/>
    <w:rsid w:val="000F6FBD"/>
    <w:rsid w:val="000F717C"/>
    <w:rsid w:val="000F7602"/>
    <w:rsid w:val="000F7B1F"/>
    <w:rsid w:val="000F7C56"/>
    <w:rsid w:val="000F7DDE"/>
    <w:rsid w:val="000F7F8E"/>
    <w:rsid w:val="00100119"/>
    <w:rsid w:val="00100145"/>
    <w:rsid w:val="001003D2"/>
    <w:rsid w:val="00100445"/>
    <w:rsid w:val="001007A0"/>
    <w:rsid w:val="00100889"/>
    <w:rsid w:val="001009AB"/>
    <w:rsid w:val="00100A79"/>
    <w:rsid w:val="00101026"/>
    <w:rsid w:val="00101124"/>
    <w:rsid w:val="00101531"/>
    <w:rsid w:val="00101FA8"/>
    <w:rsid w:val="0010231D"/>
    <w:rsid w:val="00102EDF"/>
    <w:rsid w:val="001031C1"/>
    <w:rsid w:val="001033A4"/>
    <w:rsid w:val="001036A8"/>
    <w:rsid w:val="00103AC7"/>
    <w:rsid w:val="00103B0F"/>
    <w:rsid w:val="00103D43"/>
    <w:rsid w:val="00103EF8"/>
    <w:rsid w:val="0010416B"/>
    <w:rsid w:val="001042CC"/>
    <w:rsid w:val="00104B1B"/>
    <w:rsid w:val="00104C20"/>
    <w:rsid w:val="00104D42"/>
    <w:rsid w:val="00104E5D"/>
    <w:rsid w:val="00104FE0"/>
    <w:rsid w:val="00105402"/>
    <w:rsid w:val="0010544B"/>
    <w:rsid w:val="00105497"/>
    <w:rsid w:val="0010569F"/>
    <w:rsid w:val="00105B39"/>
    <w:rsid w:val="00105C5E"/>
    <w:rsid w:val="00105E50"/>
    <w:rsid w:val="00105F74"/>
    <w:rsid w:val="00105F87"/>
    <w:rsid w:val="00105FD9"/>
    <w:rsid w:val="001060B5"/>
    <w:rsid w:val="001060F0"/>
    <w:rsid w:val="001064BD"/>
    <w:rsid w:val="001064F1"/>
    <w:rsid w:val="001066C1"/>
    <w:rsid w:val="00106A3F"/>
    <w:rsid w:val="00106B9C"/>
    <w:rsid w:val="00107688"/>
    <w:rsid w:val="00107B5A"/>
    <w:rsid w:val="00107D5C"/>
    <w:rsid w:val="00107F51"/>
    <w:rsid w:val="001102B3"/>
    <w:rsid w:val="001102CA"/>
    <w:rsid w:val="00110462"/>
    <w:rsid w:val="001106CF"/>
    <w:rsid w:val="00110BCE"/>
    <w:rsid w:val="00110C5E"/>
    <w:rsid w:val="00110C71"/>
    <w:rsid w:val="00111383"/>
    <w:rsid w:val="001113B5"/>
    <w:rsid w:val="001117C4"/>
    <w:rsid w:val="00111B4B"/>
    <w:rsid w:val="0011214C"/>
    <w:rsid w:val="0011224F"/>
    <w:rsid w:val="00112267"/>
    <w:rsid w:val="00112492"/>
    <w:rsid w:val="001124F5"/>
    <w:rsid w:val="00112639"/>
    <w:rsid w:val="0011288B"/>
    <w:rsid w:val="00113EF4"/>
    <w:rsid w:val="00113F84"/>
    <w:rsid w:val="00114091"/>
    <w:rsid w:val="00114148"/>
    <w:rsid w:val="001142CC"/>
    <w:rsid w:val="00114605"/>
    <w:rsid w:val="00114815"/>
    <w:rsid w:val="00114CB8"/>
    <w:rsid w:val="0011527F"/>
    <w:rsid w:val="0011575D"/>
    <w:rsid w:val="00115C04"/>
    <w:rsid w:val="00115E6A"/>
    <w:rsid w:val="00115E7D"/>
    <w:rsid w:val="00116081"/>
    <w:rsid w:val="0011680B"/>
    <w:rsid w:val="00116811"/>
    <w:rsid w:val="00116D82"/>
    <w:rsid w:val="0011700E"/>
    <w:rsid w:val="001177BA"/>
    <w:rsid w:val="001178C9"/>
    <w:rsid w:val="00117CBD"/>
    <w:rsid w:val="001200AC"/>
    <w:rsid w:val="0012059F"/>
    <w:rsid w:val="00120AA4"/>
    <w:rsid w:val="00120E5B"/>
    <w:rsid w:val="00121490"/>
    <w:rsid w:val="001214C6"/>
    <w:rsid w:val="001215E0"/>
    <w:rsid w:val="001216E6"/>
    <w:rsid w:val="00121857"/>
    <w:rsid w:val="00121B49"/>
    <w:rsid w:val="00121DBB"/>
    <w:rsid w:val="00121F16"/>
    <w:rsid w:val="00122173"/>
    <w:rsid w:val="0012220D"/>
    <w:rsid w:val="001228EB"/>
    <w:rsid w:val="00122B70"/>
    <w:rsid w:val="00122DC7"/>
    <w:rsid w:val="00123620"/>
    <w:rsid w:val="0012379B"/>
    <w:rsid w:val="00123CF9"/>
    <w:rsid w:val="00123F0D"/>
    <w:rsid w:val="001240E7"/>
    <w:rsid w:val="00124489"/>
    <w:rsid w:val="00124600"/>
    <w:rsid w:val="00124633"/>
    <w:rsid w:val="00124708"/>
    <w:rsid w:val="00124B51"/>
    <w:rsid w:val="00124C09"/>
    <w:rsid w:val="00125237"/>
    <w:rsid w:val="00125444"/>
    <w:rsid w:val="00125534"/>
    <w:rsid w:val="001255D9"/>
    <w:rsid w:val="00125DC1"/>
    <w:rsid w:val="00125E91"/>
    <w:rsid w:val="00125FF8"/>
    <w:rsid w:val="001260B0"/>
    <w:rsid w:val="0012635B"/>
    <w:rsid w:val="00126376"/>
    <w:rsid w:val="00126733"/>
    <w:rsid w:val="001267EA"/>
    <w:rsid w:val="001270D9"/>
    <w:rsid w:val="001270FD"/>
    <w:rsid w:val="00127522"/>
    <w:rsid w:val="001301F5"/>
    <w:rsid w:val="001302A7"/>
    <w:rsid w:val="001303F4"/>
    <w:rsid w:val="00130CAC"/>
    <w:rsid w:val="00130D56"/>
    <w:rsid w:val="00130F87"/>
    <w:rsid w:val="0013112E"/>
    <w:rsid w:val="001313F2"/>
    <w:rsid w:val="001315B5"/>
    <w:rsid w:val="001318ED"/>
    <w:rsid w:val="001320ED"/>
    <w:rsid w:val="00132113"/>
    <w:rsid w:val="00132314"/>
    <w:rsid w:val="001324BB"/>
    <w:rsid w:val="001326F5"/>
    <w:rsid w:val="00132C1E"/>
    <w:rsid w:val="00132E55"/>
    <w:rsid w:val="00132FD5"/>
    <w:rsid w:val="001331F1"/>
    <w:rsid w:val="00133564"/>
    <w:rsid w:val="001339B7"/>
    <w:rsid w:val="00133D46"/>
    <w:rsid w:val="00133EA0"/>
    <w:rsid w:val="00133FEF"/>
    <w:rsid w:val="00134666"/>
    <w:rsid w:val="001346F6"/>
    <w:rsid w:val="0013475F"/>
    <w:rsid w:val="00134B4D"/>
    <w:rsid w:val="00135134"/>
    <w:rsid w:val="00135509"/>
    <w:rsid w:val="00135540"/>
    <w:rsid w:val="001356B1"/>
    <w:rsid w:val="001357E1"/>
    <w:rsid w:val="0013590D"/>
    <w:rsid w:val="00135BB6"/>
    <w:rsid w:val="00136187"/>
    <w:rsid w:val="0013654F"/>
    <w:rsid w:val="00136919"/>
    <w:rsid w:val="00136957"/>
    <w:rsid w:val="00136988"/>
    <w:rsid w:val="0013748B"/>
    <w:rsid w:val="00137B88"/>
    <w:rsid w:val="00137BCA"/>
    <w:rsid w:val="00137C49"/>
    <w:rsid w:val="001401CF"/>
    <w:rsid w:val="0014040B"/>
    <w:rsid w:val="00140543"/>
    <w:rsid w:val="00140DD3"/>
    <w:rsid w:val="001410BD"/>
    <w:rsid w:val="001417AE"/>
    <w:rsid w:val="00141A19"/>
    <w:rsid w:val="00141DAE"/>
    <w:rsid w:val="001424AB"/>
    <w:rsid w:val="00142AE2"/>
    <w:rsid w:val="00142BFB"/>
    <w:rsid w:val="00142C18"/>
    <w:rsid w:val="001431E9"/>
    <w:rsid w:val="0014367D"/>
    <w:rsid w:val="001438E6"/>
    <w:rsid w:val="00143AB3"/>
    <w:rsid w:val="00143CD3"/>
    <w:rsid w:val="00143D77"/>
    <w:rsid w:val="00143E93"/>
    <w:rsid w:val="001441C1"/>
    <w:rsid w:val="00144672"/>
    <w:rsid w:val="001446EA"/>
    <w:rsid w:val="001448DE"/>
    <w:rsid w:val="00144BA9"/>
    <w:rsid w:val="00144D7B"/>
    <w:rsid w:val="001453D1"/>
    <w:rsid w:val="001455FD"/>
    <w:rsid w:val="001457DE"/>
    <w:rsid w:val="00145925"/>
    <w:rsid w:val="001459EC"/>
    <w:rsid w:val="00145AE9"/>
    <w:rsid w:val="00145CAB"/>
    <w:rsid w:val="00145E1E"/>
    <w:rsid w:val="00145EDB"/>
    <w:rsid w:val="00145EFE"/>
    <w:rsid w:val="00146086"/>
    <w:rsid w:val="001460A6"/>
    <w:rsid w:val="00146222"/>
    <w:rsid w:val="00146227"/>
    <w:rsid w:val="001464B2"/>
    <w:rsid w:val="00146E08"/>
    <w:rsid w:val="00147078"/>
    <w:rsid w:val="001470EE"/>
    <w:rsid w:val="001471EA"/>
    <w:rsid w:val="001473D5"/>
    <w:rsid w:val="00147639"/>
    <w:rsid w:val="0014780A"/>
    <w:rsid w:val="00147ACD"/>
    <w:rsid w:val="00150354"/>
    <w:rsid w:val="001508D8"/>
    <w:rsid w:val="00150E3F"/>
    <w:rsid w:val="00150E42"/>
    <w:rsid w:val="00151015"/>
    <w:rsid w:val="00151056"/>
    <w:rsid w:val="00151305"/>
    <w:rsid w:val="00151341"/>
    <w:rsid w:val="00151364"/>
    <w:rsid w:val="00151585"/>
    <w:rsid w:val="001516AD"/>
    <w:rsid w:val="0015192E"/>
    <w:rsid w:val="00151A2D"/>
    <w:rsid w:val="00151B9B"/>
    <w:rsid w:val="00151C64"/>
    <w:rsid w:val="00152495"/>
    <w:rsid w:val="00152905"/>
    <w:rsid w:val="00152ED9"/>
    <w:rsid w:val="00153420"/>
    <w:rsid w:val="00153600"/>
    <w:rsid w:val="001537D7"/>
    <w:rsid w:val="00153DDF"/>
    <w:rsid w:val="001542A9"/>
    <w:rsid w:val="0015439B"/>
    <w:rsid w:val="00154573"/>
    <w:rsid w:val="001546FB"/>
    <w:rsid w:val="00154BCC"/>
    <w:rsid w:val="0015595F"/>
    <w:rsid w:val="00155CAF"/>
    <w:rsid w:val="00155E60"/>
    <w:rsid w:val="00155FAA"/>
    <w:rsid w:val="001560D6"/>
    <w:rsid w:val="00156A89"/>
    <w:rsid w:val="00156D9F"/>
    <w:rsid w:val="00157392"/>
    <w:rsid w:val="00157C07"/>
    <w:rsid w:val="00157C2D"/>
    <w:rsid w:val="00157DC9"/>
    <w:rsid w:val="00157E26"/>
    <w:rsid w:val="00157E94"/>
    <w:rsid w:val="00157F87"/>
    <w:rsid w:val="00157FB7"/>
    <w:rsid w:val="00160120"/>
    <w:rsid w:val="001603BA"/>
    <w:rsid w:val="00160508"/>
    <w:rsid w:val="001606B7"/>
    <w:rsid w:val="0016077D"/>
    <w:rsid w:val="00161385"/>
    <w:rsid w:val="001613C6"/>
    <w:rsid w:val="001617DA"/>
    <w:rsid w:val="00161A23"/>
    <w:rsid w:val="00161AB2"/>
    <w:rsid w:val="00162017"/>
    <w:rsid w:val="00162807"/>
    <w:rsid w:val="00162DF5"/>
    <w:rsid w:val="00163356"/>
    <w:rsid w:val="00163388"/>
    <w:rsid w:val="001634BE"/>
    <w:rsid w:val="00163674"/>
    <w:rsid w:val="00163BB0"/>
    <w:rsid w:val="00163DFB"/>
    <w:rsid w:val="001642A1"/>
    <w:rsid w:val="001643EB"/>
    <w:rsid w:val="001645B0"/>
    <w:rsid w:val="0016469E"/>
    <w:rsid w:val="001647B8"/>
    <w:rsid w:val="00164A1C"/>
    <w:rsid w:val="00164B89"/>
    <w:rsid w:val="00164C7B"/>
    <w:rsid w:val="001652F7"/>
    <w:rsid w:val="001660E7"/>
    <w:rsid w:val="00166166"/>
    <w:rsid w:val="001661A9"/>
    <w:rsid w:val="001664FD"/>
    <w:rsid w:val="0016662A"/>
    <w:rsid w:val="00166E18"/>
    <w:rsid w:val="001670EB"/>
    <w:rsid w:val="001674DC"/>
    <w:rsid w:val="00167B62"/>
    <w:rsid w:val="00167F8A"/>
    <w:rsid w:val="001701F2"/>
    <w:rsid w:val="0017034B"/>
    <w:rsid w:val="00170613"/>
    <w:rsid w:val="001707DF"/>
    <w:rsid w:val="00170B33"/>
    <w:rsid w:val="00170BD8"/>
    <w:rsid w:val="001710DD"/>
    <w:rsid w:val="0017111E"/>
    <w:rsid w:val="001712D6"/>
    <w:rsid w:val="0017185A"/>
    <w:rsid w:val="0017189A"/>
    <w:rsid w:val="00171961"/>
    <w:rsid w:val="00171B37"/>
    <w:rsid w:val="00171B8B"/>
    <w:rsid w:val="00171C37"/>
    <w:rsid w:val="00171D6B"/>
    <w:rsid w:val="00171DF7"/>
    <w:rsid w:val="001725B4"/>
    <w:rsid w:val="00172DFB"/>
    <w:rsid w:val="0017302F"/>
    <w:rsid w:val="00173512"/>
    <w:rsid w:val="001735A6"/>
    <w:rsid w:val="001735C0"/>
    <w:rsid w:val="00173B81"/>
    <w:rsid w:val="0017400A"/>
    <w:rsid w:val="0017408C"/>
    <w:rsid w:val="001746A3"/>
    <w:rsid w:val="00174727"/>
    <w:rsid w:val="00174841"/>
    <w:rsid w:val="00174D56"/>
    <w:rsid w:val="00174F09"/>
    <w:rsid w:val="00175577"/>
    <w:rsid w:val="0017562A"/>
    <w:rsid w:val="00175710"/>
    <w:rsid w:val="0017576E"/>
    <w:rsid w:val="00175B26"/>
    <w:rsid w:val="00175DF6"/>
    <w:rsid w:val="00175ED0"/>
    <w:rsid w:val="00175FB1"/>
    <w:rsid w:val="00176198"/>
    <w:rsid w:val="001763B9"/>
    <w:rsid w:val="00176572"/>
    <w:rsid w:val="00176720"/>
    <w:rsid w:val="00176B7D"/>
    <w:rsid w:val="00176C2F"/>
    <w:rsid w:val="00176D34"/>
    <w:rsid w:val="00176D9F"/>
    <w:rsid w:val="00176F31"/>
    <w:rsid w:val="00177999"/>
    <w:rsid w:val="001779C7"/>
    <w:rsid w:val="00177B17"/>
    <w:rsid w:val="00177BCA"/>
    <w:rsid w:val="00177D2B"/>
    <w:rsid w:val="00177F26"/>
    <w:rsid w:val="00180306"/>
    <w:rsid w:val="0018052B"/>
    <w:rsid w:val="001806FA"/>
    <w:rsid w:val="00180BD0"/>
    <w:rsid w:val="001811FC"/>
    <w:rsid w:val="00181643"/>
    <w:rsid w:val="00181884"/>
    <w:rsid w:val="00181CCE"/>
    <w:rsid w:val="00181DCC"/>
    <w:rsid w:val="00181F69"/>
    <w:rsid w:val="00181FB8"/>
    <w:rsid w:val="0018215B"/>
    <w:rsid w:val="00182348"/>
    <w:rsid w:val="00182574"/>
    <w:rsid w:val="001827F4"/>
    <w:rsid w:val="00182A31"/>
    <w:rsid w:val="00182CEC"/>
    <w:rsid w:val="00182E77"/>
    <w:rsid w:val="001830C4"/>
    <w:rsid w:val="00183E3F"/>
    <w:rsid w:val="00183EB5"/>
    <w:rsid w:val="0018408B"/>
    <w:rsid w:val="00184149"/>
    <w:rsid w:val="00184475"/>
    <w:rsid w:val="0018456F"/>
    <w:rsid w:val="0018474C"/>
    <w:rsid w:val="001847E4"/>
    <w:rsid w:val="001848D3"/>
    <w:rsid w:val="00184AA6"/>
    <w:rsid w:val="00184C1C"/>
    <w:rsid w:val="00184C90"/>
    <w:rsid w:val="00184E96"/>
    <w:rsid w:val="0018541D"/>
    <w:rsid w:val="0018542C"/>
    <w:rsid w:val="001854B5"/>
    <w:rsid w:val="00185BC6"/>
    <w:rsid w:val="0018620A"/>
    <w:rsid w:val="001864C8"/>
    <w:rsid w:val="001867D1"/>
    <w:rsid w:val="001868B9"/>
    <w:rsid w:val="00186ACC"/>
    <w:rsid w:val="001870B6"/>
    <w:rsid w:val="001870C1"/>
    <w:rsid w:val="00187383"/>
    <w:rsid w:val="00187676"/>
    <w:rsid w:val="001877DE"/>
    <w:rsid w:val="0018786E"/>
    <w:rsid w:val="00187E47"/>
    <w:rsid w:val="0019067D"/>
    <w:rsid w:val="0019085D"/>
    <w:rsid w:val="001908A0"/>
    <w:rsid w:val="00190B68"/>
    <w:rsid w:val="00190F54"/>
    <w:rsid w:val="00191126"/>
    <w:rsid w:val="001911CF"/>
    <w:rsid w:val="001912DC"/>
    <w:rsid w:val="00191349"/>
    <w:rsid w:val="00191571"/>
    <w:rsid w:val="001916C4"/>
    <w:rsid w:val="0019176F"/>
    <w:rsid w:val="00192432"/>
    <w:rsid w:val="001926E3"/>
    <w:rsid w:val="00192A46"/>
    <w:rsid w:val="00192CB2"/>
    <w:rsid w:val="00192FF4"/>
    <w:rsid w:val="0019331C"/>
    <w:rsid w:val="0019346E"/>
    <w:rsid w:val="00193975"/>
    <w:rsid w:val="00193DD3"/>
    <w:rsid w:val="00194136"/>
    <w:rsid w:val="001942E9"/>
    <w:rsid w:val="00194566"/>
    <w:rsid w:val="0019493B"/>
    <w:rsid w:val="00194949"/>
    <w:rsid w:val="00194D61"/>
    <w:rsid w:val="00194E59"/>
    <w:rsid w:val="00194F48"/>
    <w:rsid w:val="00195518"/>
    <w:rsid w:val="0019571D"/>
    <w:rsid w:val="00196309"/>
    <w:rsid w:val="00196625"/>
    <w:rsid w:val="00196A2E"/>
    <w:rsid w:val="00196B29"/>
    <w:rsid w:val="00196FE8"/>
    <w:rsid w:val="00197211"/>
    <w:rsid w:val="0019739B"/>
    <w:rsid w:val="001A03B7"/>
    <w:rsid w:val="001A0532"/>
    <w:rsid w:val="001A0A4D"/>
    <w:rsid w:val="001A0BAE"/>
    <w:rsid w:val="001A0D02"/>
    <w:rsid w:val="001A155A"/>
    <w:rsid w:val="001A16E9"/>
    <w:rsid w:val="001A17B1"/>
    <w:rsid w:val="001A198C"/>
    <w:rsid w:val="001A1C19"/>
    <w:rsid w:val="001A21B5"/>
    <w:rsid w:val="001A273D"/>
    <w:rsid w:val="001A286B"/>
    <w:rsid w:val="001A2971"/>
    <w:rsid w:val="001A2A57"/>
    <w:rsid w:val="001A30E7"/>
    <w:rsid w:val="001A3444"/>
    <w:rsid w:val="001A36EE"/>
    <w:rsid w:val="001A38C6"/>
    <w:rsid w:val="001A39F0"/>
    <w:rsid w:val="001A3BD7"/>
    <w:rsid w:val="001A3F5B"/>
    <w:rsid w:val="001A435B"/>
    <w:rsid w:val="001A46A5"/>
    <w:rsid w:val="001A46D4"/>
    <w:rsid w:val="001A488A"/>
    <w:rsid w:val="001A489A"/>
    <w:rsid w:val="001A5170"/>
    <w:rsid w:val="001A5171"/>
    <w:rsid w:val="001A53AC"/>
    <w:rsid w:val="001A5614"/>
    <w:rsid w:val="001A57DF"/>
    <w:rsid w:val="001A5D44"/>
    <w:rsid w:val="001A5EA2"/>
    <w:rsid w:val="001A5F65"/>
    <w:rsid w:val="001A62E4"/>
    <w:rsid w:val="001A6A31"/>
    <w:rsid w:val="001A73FC"/>
    <w:rsid w:val="001A76C8"/>
    <w:rsid w:val="001B0693"/>
    <w:rsid w:val="001B0BD5"/>
    <w:rsid w:val="001B0FB1"/>
    <w:rsid w:val="001B10B5"/>
    <w:rsid w:val="001B1162"/>
    <w:rsid w:val="001B120E"/>
    <w:rsid w:val="001B166E"/>
    <w:rsid w:val="001B18BE"/>
    <w:rsid w:val="001B2499"/>
    <w:rsid w:val="001B2519"/>
    <w:rsid w:val="001B2E46"/>
    <w:rsid w:val="001B310C"/>
    <w:rsid w:val="001B32D0"/>
    <w:rsid w:val="001B387C"/>
    <w:rsid w:val="001B391C"/>
    <w:rsid w:val="001B39B6"/>
    <w:rsid w:val="001B3A88"/>
    <w:rsid w:val="001B3FB9"/>
    <w:rsid w:val="001B49F8"/>
    <w:rsid w:val="001B4BBF"/>
    <w:rsid w:val="001B4EEF"/>
    <w:rsid w:val="001B50A1"/>
    <w:rsid w:val="001B51E7"/>
    <w:rsid w:val="001B5361"/>
    <w:rsid w:val="001B54BA"/>
    <w:rsid w:val="001B663D"/>
    <w:rsid w:val="001B6740"/>
    <w:rsid w:val="001B6B84"/>
    <w:rsid w:val="001B6D86"/>
    <w:rsid w:val="001B6D99"/>
    <w:rsid w:val="001B711E"/>
    <w:rsid w:val="001B728B"/>
    <w:rsid w:val="001B7440"/>
    <w:rsid w:val="001B75F5"/>
    <w:rsid w:val="001B7E51"/>
    <w:rsid w:val="001B7F31"/>
    <w:rsid w:val="001C00B9"/>
    <w:rsid w:val="001C0CBC"/>
    <w:rsid w:val="001C1191"/>
    <w:rsid w:val="001C173C"/>
    <w:rsid w:val="001C2039"/>
    <w:rsid w:val="001C2400"/>
    <w:rsid w:val="001C24C0"/>
    <w:rsid w:val="001C2A8F"/>
    <w:rsid w:val="001C2B33"/>
    <w:rsid w:val="001C2EA0"/>
    <w:rsid w:val="001C3202"/>
    <w:rsid w:val="001C3250"/>
    <w:rsid w:val="001C358D"/>
    <w:rsid w:val="001C3602"/>
    <w:rsid w:val="001C3AF6"/>
    <w:rsid w:val="001C45BD"/>
    <w:rsid w:val="001C46E6"/>
    <w:rsid w:val="001C47F7"/>
    <w:rsid w:val="001C48BC"/>
    <w:rsid w:val="001C4906"/>
    <w:rsid w:val="001C4940"/>
    <w:rsid w:val="001C4F77"/>
    <w:rsid w:val="001C53E6"/>
    <w:rsid w:val="001C543E"/>
    <w:rsid w:val="001C549B"/>
    <w:rsid w:val="001C5A6D"/>
    <w:rsid w:val="001C5BC7"/>
    <w:rsid w:val="001C5FA5"/>
    <w:rsid w:val="001C6002"/>
    <w:rsid w:val="001C6238"/>
    <w:rsid w:val="001C67D2"/>
    <w:rsid w:val="001C67FA"/>
    <w:rsid w:val="001C6877"/>
    <w:rsid w:val="001C689A"/>
    <w:rsid w:val="001C6A32"/>
    <w:rsid w:val="001C6A53"/>
    <w:rsid w:val="001C73E5"/>
    <w:rsid w:val="001C75D8"/>
    <w:rsid w:val="001C77BE"/>
    <w:rsid w:val="001C79D3"/>
    <w:rsid w:val="001C7C7B"/>
    <w:rsid w:val="001D0227"/>
    <w:rsid w:val="001D0230"/>
    <w:rsid w:val="001D027B"/>
    <w:rsid w:val="001D0370"/>
    <w:rsid w:val="001D0711"/>
    <w:rsid w:val="001D0719"/>
    <w:rsid w:val="001D08D9"/>
    <w:rsid w:val="001D0B42"/>
    <w:rsid w:val="001D0B6C"/>
    <w:rsid w:val="001D0CD2"/>
    <w:rsid w:val="001D0D50"/>
    <w:rsid w:val="001D1038"/>
    <w:rsid w:val="001D10FC"/>
    <w:rsid w:val="001D1189"/>
    <w:rsid w:val="001D11E7"/>
    <w:rsid w:val="001D12C0"/>
    <w:rsid w:val="001D12FD"/>
    <w:rsid w:val="001D130E"/>
    <w:rsid w:val="001D1321"/>
    <w:rsid w:val="001D15D5"/>
    <w:rsid w:val="001D1AD5"/>
    <w:rsid w:val="001D1BC0"/>
    <w:rsid w:val="001D1F61"/>
    <w:rsid w:val="001D2078"/>
    <w:rsid w:val="001D217D"/>
    <w:rsid w:val="001D25F7"/>
    <w:rsid w:val="001D28B4"/>
    <w:rsid w:val="001D333C"/>
    <w:rsid w:val="001D3349"/>
    <w:rsid w:val="001D34C0"/>
    <w:rsid w:val="001D351F"/>
    <w:rsid w:val="001D3635"/>
    <w:rsid w:val="001D38E9"/>
    <w:rsid w:val="001D3CFC"/>
    <w:rsid w:val="001D3F46"/>
    <w:rsid w:val="001D417D"/>
    <w:rsid w:val="001D444E"/>
    <w:rsid w:val="001D4515"/>
    <w:rsid w:val="001D45CC"/>
    <w:rsid w:val="001D4600"/>
    <w:rsid w:val="001D4B5F"/>
    <w:rsid w:val="001D4DF4"/>
    <w:rsid w:val="001D50C4"/>
    <w:rsid w:val="001D5496"/>
    <w:rsid w:val="001D55B0"/>
    <w:rsid w:val="001D5795"/>
    <w:rsid w:val="001D5929"/>
    <w:rsid w:val="001D5A9A"/>
    <w:rsid w:val="001D5DE3"/>
    <w:rsid w:val="001D64BC"/>
    <w:rsid w:val="001D6563"/>
    <w:rsid w:val="001D6B52"/>
    <w:rsid w:val="001D6C4A"/>
    <w:rsid w:val="001D7139"/>
    <w:rsid w:val="001D756B"/>
    <w:rsid w:val="001D75E5"/>
    <w:rsid w:val="001D769A"/>
    <w:rsid w:val="001D7AC4"/>
    <w:rsid w:val="001D7D3B"/>
    <w:rsid w:val="001D7DD5"/>
    <w:rsid w:val="001D7E9C"/>
    <w:rsid w:val="001E00FB"/>
    <w:rsid w:val="001E0280"/>
    <w:rsid w:val="001E0328"/>
    <w:rsid w:val="001E0687"/>
    <w:rsid w:val="001E0793"/>
    <w:rsid w:val="001E112D"/>
    <w:rsid w:val="001E13CB"/>
    <w:rsid w:val="001E1602"/>
    <w:rsid w:val="001E1623"/>
    <w:rsid w:val="001E1A20"/>
    <w:rsid w:val="001E1A53"/>
    <w:rsid w:val="001E1C0F"/>
    <w:rsid w:val="001E2320"/>
    <w:rsid w:val="001E2546"/>
    <w:rsid w:val="001E27C2"/>
    <w:rsid w:val="001E2F5B"/>
    <w:rsid w:val="001E309F"/>
    <w:rsid w:val="001E3194"/>
    <w:rsid w:val="001E330D"/>
    <w:rsid w:val="001E34D6"/>
    <w:rsid w:val="001E3518"/>
    <w:rsid w:val="001E35CD"/>
    <w:rsid w:val="001E3A38"/>
    <w:rsid w:val="001E3BD5"/>
    <w:rsid w:val="001E3CC2"/>
    <w:rsid w:val="001E3FD3"/>
    <w:rsid w:val="001E42A2"/>
    <w:rsid w:val="001E44AD"/>
    <w:rsid w:val="001E4BB6"/>
    <w:rsid w:val="001E4DD9"/>
    <w:rsid w:val="001E4F64"/>
    <w:rsid w:val="001E5116"/>
    <w:rsid w:val="001E530C"/>
    <w:rsid w:val="001E56BF"/>
    <w:rsid w:val="001E5BB6"/>
    <w:rsid w:val="001E5CB3"/>
    <w:rsid w:val="001E62D9"/>
    <w:rsid w:val="001E6336"/>
    <w:rsid w:val="001E766D"/>
    <w:rsid w:val="001E7874"/>
    <w:rsid w:val="001E7A33"/>
    <w:rsid w:val="001E7B0C"/>
    <w:rsid w:val="001E7C5E"/>
    <w:rsid w:val="001E7D80"/>
    <w:rsid w:val="001E7EED"/>
    <w:rsid w:val="001E7F32"/>
    <w:rsid w:val="001F02F3"/>
    <w:rsid w:val="001F06A1"/>
    <w:rsid w:val="001F0960"/>
    <w:rsid w:val="001F0BA4"/>
    <w:rsid w:val="001F0BDB"/>
    <w:rsid w:val="001F0BEB"/>
    <w:rsid w:val="001F0D9D"/>
    <w:rsid w:val="001F0DA0"/>
    <w:rsid w:val="001F1039"/>
    <w:rsid w:val="001F1171"/>
    <w:rsid w:val="001F12B0"/>
    <w:rsid w:val="001F1C99"/>
    <w:rsid w:val="001F2357"/>
    <w:rsid w:val="001F3609"/>
    <w:rsid w:val="001F3761"/>
    <w:rsid w:val="001F38CD"/>
    <w:rsid w:val="001F397A"/>
    <w:rsid w:val="001F3B83"/>
    <w:rsid w:val="001F3BE8"/>
    <w:rsid w:val="001F3C0F"/>
    <w:rsid w:val="001F3E4A"/>
    <w:rsid w:val="001F407D"/>
    <w:rsid w:val="001F43F5"/>
    <w:rsid w:val="001F4A69"/>
    <w:rsid w:val="001F5500"/>
    <w:rsid w:val="001F55AB"/>
    <w:rsid w:val="001F57AE"/>
    <w:rsid w:val="001F58FC"/>
    <w:rsid w:val="001F5AD0"/>
    <w:rsid w:val="001F5C49"/>
    <w:rsid w:val="001F5C9B"/>
    <w:rsid w:val="001F5E3F"/>
    <w:rsid w:val="001F62A0"/>
    <w:rsid w:val="001F69B2"/>
    <w:rsid w:val="001F69BD"/>
    <w:rsid w:val="001F6C85"/>
    <w:rsid w:val="001F6D20"/>
    <w:rsid w:val="001F6DB6"/>
    <w:rsid w:val="001F6EA4"/>
    <w:rsid w:val="001F7709"/>
    <w:rsid w:val="001F78CB"/>
    <w:rsid w:val="001F793F"/>
    <w:rsid w:val="001F7A80"/>
    <w:rsid w:val="001F7F0D"/>
    <w:rsid w:val="002005A6"/>
    <w:rsid w:val="002008E2"/>
    <w:rsid w:val="0020096C"/>
    <w:rsid w:val="00200C70"/>
    <w:rsid w:val="00200F29"/>
    <w:rsid w:val="00200F7D"/>
    <w:rsid w:val="002011C2"/>
    <w:rsid w:val="00201234"/>
    <w:rsid w:val="00201A95"/>
    <w:rsid w:val="00201B33"/>
    <w:rsid w:val="00201BE7"/>
    <w:rsid w:val="00201BE8"/>
    <w:rsid w:val="00201E6D"/>
    <w:rsid w:val="002020D5"/>
    <w:rsid w:val="00202528"/>
    <w:rsid w:val="00202865"/>
    <w:rsid w:val="00202B9E"/>
    <w:rsid w:val="002036DA"/>
    <w:rsid w:val="0020400D"/>
    <w:rsid w:val="0020410D"/>
    <w:rsid w:val="00204304"/>
    <w:rsid w:val="00204413"/>
    <w:rsid w:val="00204B74"/>
    <w:rsid w:val="00205483"/>
    <w:rsid w:val="0020566E"/>
    <w:rsid w:val="00205BDF"/>
    <w:rsid w:val="00205DFA"/>
    <w:rsid w:val="002061E4"/>
    <w:rsid w:val="00206229"/>
    <w:rsid w:val="002062E4"/>
    <w:rsid w:val="00206701"/>
    <w:rsid w:val="00207131"/>
    <w:rsid w:val="00207550"/>
    <w:rsid w:val="002078C3"/>
    <w:rsid w:val="00207C5C"/>
    <w:rsid w:val="00207C81"/>
    <w:rsid w:val="00207CD0"/>
    <w:rsid w:val="00207EE6"/>
    <w:rsid w:val="00210001"/>
    <w:rsid w:val="002103DC"/>
    <w:rsid w:val="0021066D"/>
    <w:rsid w:val="00210768"/>
    <w:rsid w:val="00210FB6"/>
    <w:rsid w:val="002111D2"/>
    <w:rsid w:val="00211932"/>
    <w:rsid w:val="00211D3B"/>
    <w:rsid w:val="002122C2"/>
    <w:rsid w:val="002123CD"/>
    <w:rsid w:val="0021254A"/>
    <w:rsid w:val="0021257F"/>
    <w:rsid w:val="0021271D"/>
    <w:rsid w:val="0021293B"/>
    <w:rsid w:val="002129C5"/>
    <w:rsid w:val="002129E6"/>
    <w:rsid w:val="00212AE3"/>
    <w:rsid w:val="00212BA1"/>
    <w:rsid w:val="00212E53"/>
    <w:rsid w:val="00213152"/>
    <w:rsid w:val="002142BF"/>
    <w:rsid w:val="00214603"/>
    <w:rsid w:val="00214881"/>
    <w:rsid w:val="00214B3A"/>
    <w:rsid w:val="00215025"/>
    <w:rsid w:val="00215B26"/>
    <w:rsid w:val="002161EE"/>
    <w:rsid w:val="00216252"/>
    <w:rsid w:val="002162B0"/>
    <w:rsid w:val="00216418"/>
    <w:rsid w:val="002166B7"/>
    <w:rsid w:val="00216B07"/>
    <w:rsid w:val="00216B6A"/>
    <w:rsid w:val="002178E7"/>
    <w:rsid w:val="00217950"/>
    <w:rsid w:val="00217E38"/>
    <w:rsid w:val="0022027D"/>
    <w:rsid w:val="0022046C"/>
    <w:rsid w:val="002207A4"/>
    <w:rsid w:val="00220B7B"/>
    <w:rsid w:val="00220D97"/>
    <w:rsid w:val="0022100B"/>
    <w:rsid w:val="00221288"/>
    <w:rsid w:val="0022174E"/>
    <w:rsid w:val="00221A89"/>
    <w:rsid w:val="002223F1"/>
    <w:rsid w:val="0022252D"/>
    <w:rsid w:val="0022273E"/>
    <w:rsid w:val="00222805"/>
    <w:rsid w:val="00222821"/>
    <w:rsid w:val="00222910"/>
    <w:rsid w:val="00222A17"/>
    <w:rsid w:val="00222A86"/>
    <w:rsid w:val="00222BD7"/>
    <w:rsid w:val="00222D07"/>
    <w:rsid w:val="00222DE5"/>
    <w:rsid w:val="00223B87"/>
    <w:rsid w:val="00223E8F"/>
    <w:rsid w:val="00223FC3"/>
    <w:rsid w:val="002243B4"/>
    <w:rsid w:val="002243E4"/>
    <w:rsid w:val="00224472"/>
    <w:rsid w:val="0022454E"/>
    <w:rsid w:val="00224D84"/>
    <w:rsid w:val="00224FD4"/>
    <w:rsid w:val="0022548C"/>
    <w:rsid w:val="00225527"/>
    <w:rsid w:val="002258BF"/>
    <w:rsid w:val="00225C3A"/>
    <w:rsid w:val="00226934"/>
    <w:rsid w:val="00226E86"/>
    <w:rsid w:val="002271DF"/>
    <w:rsid w:val="002272C8"/>
    <w:rsid w:val="0022774C"/>
    <w:rsid w:val="00227AEB"/>
    <w:rsid w:val="00227DA3"/>
    <w:rsid w:val="0023002B"/>
    <w:rsid w:val="00230476"/>
    <w:rsid w:val="0023056C"/>
    <w:rsid w:val="0023082D"/>
    <w:rsid w:val="002310CA"/>
    <w:rsid w:val="0023125F"/>
    <w:rsid w:val="0023167B"/>
    <w:rsid w:val="002316BF"/>
    <w:rsid w:val="0023187C"/>
    <w:rsid w:val="00231B00"/>
    <w:rsid w:val="00231EDA"/>
    <w:rsid w:val="00231F9E"/>
    <w:rsid w:val="002330B3"/>
    <w:rsid w:val="002331D7"/>
    <w:rsid w:val="002335B3"/>
    <w:rsid w:val="00233741"/>
    <w:rsid w:val="00233926"/>
    <w:rsid w:val="00233FD7"/>
    <w:rsid w:val="00234278"/>
    <w:rsid w:val="002345B6"/>
    <w:rsid w:val="00234A5F"/>
    <w:rsid w:val="0023511D"/>
    <w:rsid w:val="0023520B"/>
    <w:rsid w:val="00235218"/>
    <w:rsid w:val="0023587D"/>
    <w:rsid w:val="00235899"/>
    <w:rsid w:val="0023636E"/>
    <w:rsid w:val="0023685E"/>
    <w:rsid w:val="00236C7D"/>
    <w:rsid w:val="00236D27"/>
    <w:rsid w:val="002375C5"/>
    <w:rsid w:val="002375EF"/>
    <w:rsid w:val="0023782C"/>
    <w:rsid w:val="00237A9E"/>
    <w:rsid w:val="00237AEA"/>
    <w:rsid w:val="00237CF5"/>
    <w:rsid w:val="00237D4A"/>
    <w:rsid w:val="00237F1A"/>
    <w:rsid w:val="0024009B"/>
    <w:rsid w:val="00240155"/>
    <w:rsid w:val="00240235"/>
    <w:rsid w:val="002402DF"/>
    <w:rsid w:val="00240866"/>
    <w:rsid w:val="00240933"/>
    <w:rsid w:val="00240A02"/>
    <w:rsid w:val="00241096"/>
    <w:rsid w:val="002414B3"/>
    <w:rsid w:val="002417E1"/>
    <w:rsid w:val="0024186E"/>
    <w:rsid w:val="00241DBF"/>
    <w:rsid w:val="0024209A"/>
    <w:rsid w:val="0024251D"/>
    <w:rsid w:val="00242B6B"/>
    <w:rsid w:val="00242F58"/>
    <w:rsid w:val="0024300D"/>
    <w:rsid w:val="00243102"/>
    <w:rsid w:val="0024321F"/>
    <w:rsid w:val="0024364C"/>
    <w:rsid w:val="002437BF"/>
    <w:rsid w:val="002438A8"/>
    <w:rsid w:val="00243A2E"/>
    <w:rsid w:val="00243BB7"/>
    <w:rsid w:val="00243EC5"/>
    <w:rsid w:val="00244605"/>
    <w:rsid w:val="002448A4"/>
    <w:rsid w:val="00244C80"/>
    <w:rsid w:val="00244E14"/>
    <w:rsid w:val="00244F90"/>
    <w:rsid w:val="002450D3"/>
    <w:rsid w:val="002451E9"/>
    <w:rsid w:val="002452D4"/>
    <w:rsid w:val="00246267"/>
    <w:rsid w:val="002467C1"/>
    <w:rsid w:val="0024682E"/>
    <w:rsid w:val="002468E5"/>
    <w:rsid w:val="00247041"/>
    <w:rsid w:val="00247284"/>
    <w:rsid w:val="00247B54"/>
    <w:rsid w:val="00247BAF"/>
    <w:rsid w:val="00247FCC"/>
    <w:rsid w:val="00250133"/>
    <w:rsid w:val="00250275"/>
    <w:rsid w:val="0025035F"/>
    <w:rsid w:val="0025042F"/>
    <w:rsid w:val="00250797"/>
    <w:rsid w:val="00250B10"/>
    <w:rsid w:val="00250BD0"/>
    <w:rsid w:val="00250CED"/>
    <w:rsid w:val="00250D42"/>
    <w:rsid w:val="00250E31"/>
    <w:rsid w:val="00250EDE"/>
    <w:rsid w:val="00251122"/>
    <w:rsid w:val="002518F3"/>
    <w:rsid w:val="00251A3F"/>
    <w:rsid w:val="00251BBF"/>
    <w:rsid w:val="00251D03"/>
    <w:rsid w:val="00252A1F"/>
    <w:rsid w:val="00252E5D"/>
    <w:rsid w:val="00253B0F"/>
    <w:rsid w:val="00253DE0"/>
    <w:rsid w:val="0025416D"/>
    <w:rsid w:val="002543A5"/>
    <w:rsid w:val="00254414"/>
    <w:rsid w:val="00254571"/>
    <w:rsid w:val="002545C4"/>
    <w:rsid w:val="0025497C"/>
    <w:rsid w:val="00254D53"/>
    <w:rsid w:val="00254E0F"/>
    <w:rsid w:val="00254E9C"/>
    <w:rsid w:val="00254EE5"/>
    <w:rsid w:val="0025511A"/>
    <w:rsid w:val="0025564A"/>
    <w:rsid w:val="00255767"/>
    <w:rsid w:val="002558C6"/>
    <w:rsid w:val="00255AA4"/>
    <w:rsid w:val="00255F15"/>
    <w:rsid w:val="00256148"/>
    <w:rsid w:val="0025667F"/>
    <w:rsid w:val="00256739"/>
    <w:rsid w:val="00256C8C"/>
    <w:rsid w:val="00257098"/>
    <w:rsid w:val="002573CD"/>
    <w:rsid w:val="00257B21"/>
    <w:rsid w:val="0026007D"/>
    <w:rsid w:val="00260194"/>
    <w:rsid w:val="00260257"/>
    <w:rsid w:val="00260A73"/>
    <w:rsid w:val="00260A9E"/>
    <w:rsid w:val="00260B21"/>
    <w:rsid w:val="00260ED6"/>
    <w:rsid w:val="00261A17"/>
    <w:rsid w:val="00262081"/>
    <w:rsid w:val="0026231C"/>
    <w:rsid w:val="002624C6"/>
    <w:rsid w:val="00262989"/>
    <w:rsid w:val="00262B2D"/>
    <w:rsid w:val="00262F20"/>
    <w:rsid w:val="00262FDD"/>
    <w:rsid w:val="002630E4"/>
    <w:rsid w:val="00263226"/>
    <w:rsid w:val="002637D2"/>
    <w:rsid w:val="00263954"/>
    <w:rsid w:val="00264123"/>
    <w:rsid w:val="002641F5"/>
    <w:rsid w:val="00264730"/>
    <w:rsid w:val="00264864"/>
    <w:rsid w:val="00264AB3"/>
    <w:rsid w:val="00264D6A"/>
    <w:rsid w:val="00264DCD"/>
    <w:rsid w:val="0026522C"/>
    <w:rsid w:val="00265575"/>
    <w:rsid w:val="00265B8B"/>
    <w:rsid w:val="00265CD8"/>
    <w:rsid w:val="00265E3B"/>
    <w:rsid w:val="00265E98"/>
    <w:rsid w:val="002663DC"/>
    <w:rsid w:val="00266674"/>
    <w:rsid w:val="00266785"/>
    <w:rsid w:val="00266B26"/>
    <w:rsid w:val="00266B63"/>
    <w:rsid w:val="00266BD5"/>
    <w:rsid w:val="00266C24"/>
    <w:rsid w:val="00266CA6"/>
    <w:rsid w:val="00266CAF"/>
    <w:rsid w:val="00266DE7"/>
    <w:rsid w:val="002670ED"/>
    <w:rsid w:val="002675AC"/>
    <w:rsid w:val="0026795E"/>
    <w:rsid w:val="00267C54"/>
    <w:rsid w:val="00267FBC"/>
    <w:rsid w:val="0027000F"/>
    <w:rsid w:val="00270177"/>
    <w:rsid w:val="00270367"/>
    <w:rsid w:val="002707D2"/>
    <w:rsid w:val="0027083A"/>
    <w:rsid w:val="00270AEA"/>
    <w:rsid w:val="00270B30"/>
    <w:rsid w:val="0027133B"/>
    <w:rsid w:val="002715B0"/>
    <w:rsid w:val="0027160B"/>
    <w:rsid w:val="002718DF"/>
    <w:rsid w:val="00271BFC"/>
    <w:rsid w:val="00271D19"/>
    <w:rsid w:val="00272380"/>
    <w:rsid w:val="00272565"/>
    <w:rsid w:val="002725CF"/>
    <w:rsid w:val="0027286E"/>
    <w:rsid w:val="00272B27"/>
    <w:rsid w:val="00272D25"/>
    <w:rsid w:val="00273268"/>
    <w:rsid w:val="002734F3"/>
    <w:rsid w:val="00273942"/>
    <w:rsid w:val="00273CAE"/>
    <w:rsid w:val="00273D0A"/>
    <w:rsid w:val="00273E24"/>
    <w:rsid w:val="00273F89"/>
    <w:rsid w:val="00273FBC"/>
    <w:rsid w:val="00274432"/>
    <w:rsid w:val="00274558"/>
    <w:rsid w:val="002745EF"/>
    <w:rsid w:val="002745FE"/>
    <w:rsid w:val="002747F5"/>
    <w:rsid w:val="00274A0A"/>
    <w:rsid w:val="00274E48"/>
    <w:rsid w:val="00274FCD"/>
    <w:rsid w:val="00275845"/>
    <w:rsid w:val="00275D42"/>
    <w:rsid w:val="00276287"/>
    <w:rsid w:val="0027638E"/>
    <w:rsid w:val="002764CF"/>
    <w:rsid w:val="00276DB7"/>
    <w:rsid w:val="0027733A"/>
    <w:rsid w:val="00277791"/>
    <w:rsid w:val="00277D3D"/>
    <w:rsid w:val="00277F42"/>
    <w:rsid w:val="00280919"/>
    <w:rsid w:val="00280953"/>
    <w:rsid w:val="00280985"/>
    <w:rsid w:val="00280C49"/>
    <w:rsid w:val="00280EBE"/>
    <w:rsid w:val="0028101F"/>
    <w:rsid w:val="0028110C"/>
    <w:rsid w:val="0028149E"/>
    <w:rsid w:val="00281819"/>
    <w:rsid w:val="002818A3"/>
    <w:rsid w:val="00281BDD"/>
    <w:rsid w:val="00282AF3"/>
    <w:rsid w:val="002831C3"/>
    <w:rsid w:val="002832DF"/>
    <w:rsid w:val="00283430"/>
    <w:rsid w:val="002836E3"/>
    <w:rsid w:val="002837A3"/>
    <w:rsid w:val="002839F8"/>
    <w:rsid w:val="00283BDF"/>
    <w:rsid w:val="00284124"/>
    <w:rsid w:val="002846E0"/>
    <w:rsid w:val="00284C2F"/>
    <w:rsid w:val="00284C34"/>
    <w:rsid w:val="00285635"/>
    <w:rsid w:val="002858CD"/>
    <w:rsid w:val="002859BC"/>
    <w:rsid w:val="00285AFB"/>
    <w:rsid w:val="00285D7C"/>
    <w:rsid w:val="00285D94"/>
    <w:rsid w:val="00286305"/>
    <w:rsid w:val="0028690F"/>
    <w:rsid w:val="002869A1"/>
    <w:rsid w:val="00286A9F"/>
    <w:rsid w:val="00286E3F"/>
    <w:rsid w:val="00286F1D"/>
    <w:rsid w:val="00287100"/>
    <w:rsid w:val="00287618"/>
    <w:rsid w:val="00287659"/>
    <w:rsid w:val="00287667"/>
    <w:rsid w:val="00287ABD"/>
    <w:rsid w:val="00287E26"/>
    <w:rsid w:val="00290254"/>
    <w:rsid w:val="0029039E"/>
    <w:rsid w:val="00290464"/>
    <w:rsid w:val="0029048D"/>
    <w:rsid w:val="00290604"/>
    <w:rsid w:val="00290932"/>
    <w:rsid w:val="00290A13"/>
    <w:rsid w:val="00290AFD"/>
    <w:rsid w:val="00290F4B"/>
    <w:rsid w:val="00291236"/>
    <w:rsid w:val="00291543"/>
    <w:rsid w:val="002915EB"/>
    <w:rsid w:val="002917CC"/>
    <w:rsid w:val="002917F4"/>
    <w:rsid w:val="00291A0C"/>
    <w:rsid w:val="00291A2E"/>
    <w:rsid w:val="00291BD6"/>
    <w:rsid w:val="00291F04"/>
    <w:rsid w:val="00292193"/>
    <w:rsid w:val="0029238F"/>
    <w:rsid w:val="002923A1"/>
    <w:rsid w:val="002927D0"/>
    <w:rsid w:val="00292A27"/>
    <w:rsid w:val="00292D15"/>
    <w:rsid w:val="00292E47"/>
    <w:rsid w:val="00292EBB"/>
    <w:rsid w:val="00292EC2"/>
    <w:rsid w:val="00293266"/>
    <w:rsid w:val="002933B4"/>
    <w:rsid w:val="002935C5"/>
    <w:rsid w:val="00293750"/>
    <w:rsid w:val="0029407D"/>
    <w:rsid w:val="00294865"/>
    <w:rsid w:val="00294A5F"/>
    <w:rsid w:val="00294D86"/>
    <w:rsid w:val="002951E6"/>
    <w:rsid w:val="002953FA"/>
    <w:rsid w:val="00295460"/>
    <w:rsid w:val="002956C5"/>
    <w:rsid w:val="00296065"/>
    <w:rsid w:val="00296740"/>
    <w:rsid w:val="002967E0"/>
    <w:rsid w:val="00296C0C"/>
    <w:rsid w:val="00296D73"/>
    <w:rsid w:val="00296E98"/>
    <w:rsid w:val="0029740D"/>
    <w:rsid w:val="00297501"/>
    <w:rsid w:val="002975B9"/>
    <w:rsid w:val="00297EE8"/>
    <w:rsid w:val="00297FB2"/>
    <w:rsid w:val="002A034F"/>
    <w:rsid w:val="002A06F2"/>
    <w:rsid w:val="002A0AA0"/>
    <w:rsid w:val="002A0DAB"/>
    <w:rsid w:val="002A0F2B"/>
    <w:rsid w:val="002A1033"/>
    <w:rsid w:val="002A106F"/>
    <w:rsid w:val="002A11B3"/>
    <w:rsid w:val="002A133C"/>
    <w:rsid w:val="002A1669"/>
    <w:rsid w:val="002A1830"/>
    <w:rsid w:val="002A187F"/>
    <w:rsid w:val="002A1887"/>
    <w:rsid w:val="002A27EA"/>
    <w:rsid w:val="002A2B00"/>
    <w:rsid w:val="002A373E"/>
    <w:rsid w:val="002A375F"/>
    <w:rsid w:val="002A3A3F"/>
    <w:rsid w:val="002A3FF4"/>
    <w:rsid w:val="002A409A"/>
    <w:rsid w:val="002A40B9"/>
    <w:rsid w:val="002A4100"/>
    <w:rsid w:val="002A43D7"/>
    <w:rsid w:val="002A5348"/>
    <w:rsid w:val="002A56FA"/>
    <w:rsid w:val="002A575A"/>
    <w:rsid w:val="002A578C"/>
    <w:rsid w:val="002A5867"/>
    <w:rsid w:val="002A5B00"/>
    <w:rsid w:val="002A5D72"/>
    <w:rsid w:val="002A5D95"/>
    <w:rsid w:val="002A65DC"/>
    <w:rsid w:val="002A6693"/>
    <w:rsid w:val="002A6960"/>
    <w:rsid w:val="002A6A96"/>
    <w:rsid w:val="002A6B54"/>
    <w:rsid w:val="002A6C7A"/>
    <w:rsid w:val="002A74CD"/>
    <w:rsid w:val="002A74DD"/>
    <w:rsid w:val="002A750D"/>
    <w:rsid w:val="002A7D59"/>
    <w:rsid w:val="002A7E55"/>
    <w:rsid w:val="002A7FA0"/>
    <w:rsid w:val="002A7FAF"/>
    <w:rsid w:val="002B095D"/>
    <w:rsid w:val="002B09B2"/>
    <w:rsid w:val="002B0E40"/>
    <w:rsid w:val="002B0E98"/>
    <w:rsid w:val="002B1002"/>
    <w:rsid w:val="002B1096"/>
    <w:rsid w:val="002B14CC"/>
    <w:rsid w:val="002B1529"/>
    <w:rsid w:val="002B1CAD"/>
    <w:rsid w:val="002B1D5F"/>
    <w:rsid w:val="002B25B0"/>
    <w:rsid w:val="002B2892"/>
    <w:rsid w:val="002B2978"/>
    <w:rsid w:val="002B2B9D"/>
    <w:rsid w:val="002B2D6D"/>
    <w:rsid w:val="002B2D6E"/>
    <w:rsid w:val="002B2E4C"/>
    <w:rsid w:val="002B31F5"/>
    <w:rsid w:val="002B3496"/>
    <w:rsid w:val="002B3643"/>
    <w:rsid w:val="002B3F8D"/>
    <w:rsid w:val="002B432E"/>
    <w:rsid w:val="002B494A"/>
    <w:rsid w:val="002B497D"/>
    <w:rsid w:val="002B5069"/>
    <w:rsid w:val="002B5450"/>
    <w:rsid w:val="002B5573"/>
    <w:rsid w:val="002B55EB"/>
    <w:rsid w:val="002B55F5"/>
    <w:rsid w:val="002B564F"/>
    <w:rsid w:val="002B5B54"/>
    <w:rsid w:val="002B5F58"/>
    <w:rsid w:val="002B5FE7"/>
    <w:rsid w:val="002B6138"/>
    <w:rsid w:val="002B6509"/>
    <w:rsid w:val="002B66BA"/>
    <w:rsid w:val="002B6B49"/>
    <w:rsid w:val="002B6FF7"/>
    <w:rsid w:val="002B7663"/>
    <w:rsid w:val="002B76F9"/>
    <w:rsid w:val="002B77A7"/>
    <w:rsid w:val="002B79BD"/>
    <w:rsid w:val="002C01C4"/>
    <w:rsid w:val="002C024D"/>
    <w:rsid w:val="002C070B"/>
    <w:rsid w:val="002C084E"/>
    <w:rsid w:val="002C0A6F"/>
    <w:rsid w:val="002C0A91"/>
    <w:rsid w:val="002C0B9A"/>
    <w:rsid w:val="002C0C8C"/>
    <w:rsid w:val="002C126D"/>
    <w:rsid w:val="002C13EC"/>
    <w:rsid w:val="002C1431"/>
    <w:rsid w:val="002C179F"/>
    <w:rsid w:val="002C1A96"/>
    <w:rsid w:val="002C1DFF"/>
    <w:rsid w:val="002C2932"/>
    <w:rsid w:val="002C29A1"/>
    <w:rsid w:val="002C2D1B"/>
    <w:rsid w:val="002C3304"/>
    <w:rsid w:val="002C341F"/>
    <w:rsid w:val="002C37BB"/>
    <w:rsid w:val="002C37CE"/>
    <w:rsid w:val="002C39E3"/>
    <w:rsid w:val="002C3AC2"/>
    <w:rsid w:val="002C3C44"/>
    <w:rsid w:val="002C3FA0"/>
    <w:rsid w:val="002C4224"/>
    <w:rsid w:val="002C43A9"/>
    <w:rsid w:val="002C469A"/>
    <w:rsid w:val="002C47A0"/>
    <w:rsid w:val="002C48F5"/>
    <w:rsid w:val="002C4C87"/>
    <w:rsid w:val="002C5022"/>
    <w:rsid w:val="002C543C"/>
    <w:rsid w:val="002C54AC"/>
    <w:rsid w:val="002C58F0"/>
    <w:rsid w:val="002C5923"/>
    <w:rsid w:val="002C6105"/>
    <w:rsid w:val="002C6291"/>
    <w:rsid w:val="002C62E8"/>
    <w:rsid w:val="002C62EE"/>
    <w:rsid w:val="002C649F"/>
    <w:rsid w:val="002C64CD"/>
    <w:rsid w:val="002C6ED7"/>
    <w:rsid w:val="002C6FCF"/>
    <w:rsid w:val="002C708D"/>
    <w:rsid w:val="002C70F2"/>
    <w:rsid w:val="002C77F9"/>
    <w:rsid w:val="002C78C6"/>
    <w:rsid w:val="002C792D"/>
    <w:rsid w:val="002C7B82"/>
    <w:rsid w:val="002C7BB1"/>
    <w:rsid w:val="002C7FCF"/>
    <w:rsid w:val="002D02C8"/>
    <w:rsid w:val="002D041B"/>
    <w:rsid w:val="002D0556"/>
    <w:rsid w:val="002D0751"/>
    <w:rsid w:val="002D07E8"/>
    <w:rsid w:val="002D0F22"/>
    <w:rsid w:val="002D11AE"/>
    <w:rsid w:val="002D18DE"/>
    <w:rsid w:val="002D194E"/>
    <w:rsid w:val="002D19D3"/>
    <w:rsid w:val="002D1F27"/>
    <w:rsid w:val="002D21F0"/>
    <w:rsid w:val="002D2222"/>
    <w:rsid w:val="002D2323"/>
    <w:rsid w:val="002D2889"/>
    <w:rsid w:val="002D2A14"/>
    <w:rsid w:val="002D2D45"/>
    <w:rsid w:val="002D2D90"/>
    <w:rsid w:val="002D30D5"/>
    <w:rsid w:val="002D31AD"/>
    <w:rsid w:val="002D335C"/>
    <w:rsid w:val="002D3909"/>
    <w:rsid w:val="002D3F20"/>
    <w:rsid w:val="002D444D"/>
    <w:rsid w:val="002D47D7"/>
    <w:rsid w:val="002D4A98"/>
    <w:rsid w:val="002D4BC6"/>
    <w:rsid w:val="002D4CB8"/>
    <w:rsid w:val="002D4FF0"/>
    <w:rsid w:val="002D5125"/>
    <w:rsid w:val="002D5ADA"/>
    <w:rsid w:val="002D5B8C"/>
    <w:rsid w:val="002D5D9B"/>
    <w:rsid w:val="002D5FC1"/>
    <w:rsid w:val="002D6548"/>
    <w:rsid w:val="002D7249"/>
    <w:rsid w:val="002D730A"/>
    <w:rsid w:val="002D7567"/>
    <w:rsid w:val="002D7C6D"/>
    <w:rsid w:val="002D7F02"/>
    <w:rsid w:val="002D7FF9"/>
    <w:rsid w:val="002E0235"/>
    <w:rsid w:val="002E09D9"/>
    <w:rsid w:val="002E0F72"/>
    <w:rsid w:val="002E1192"/>
    <w:rsid w:val="002E144D"/>
    <w:rsid w:val="002E1500"/>
    <w:rsid w:val="002E1686"/>
    <w:rsid w:val="002E1D35"/>
    <w:rsid w:val="002E1FBB"/>
    <w:rsid w:val="002E2013"/>
    <w:rsid w:val="002E2123"/>
    <w:rsid w:val="002E21B2"/>
    <w:rsid w:val="002E2273"/>
    <w:rsid w:val="002E22F1"/>
    <w:rsid w:val="002E26EB"/>
    <w:rsid w:val="002E28C9"/>
    <w:rsid w:val="002E2978"/>
    <w:rsid w:val="002E2AE4"/>
    <w:rsid w:val="002E2CC8"/>
    <w:rsid w:val="002E36CB"/>
    <w:rsid w:val="002E380F"/>
    <w:rsid w:val="002E3967"/>
    <w:rsid w:val="002E3C1D"/>
    <w:rsid w:val="002E4018"/>
    <w:rsid w:val="002E459F"/>
    <w:rsid w:val="002E474F"/>
    <w:rsid w:val="002E4F9E"/>
    <w:rsid w:val="002E5254"/>
    <w:rsid w:val="002E52B7"/>
    <w:rsid w:val="002E56EF"/>
    <w:rsid w:val="002E5C57"/>
    <w:rsid w:val="002E5CCA"/>
    <w:rsid w:val="002E5FB1"/>
    <w:rsid w:val="002E6172"/>
    <w:rsid w:val="002E6255"/>
    <w:rsid w:val="002E6299"/>
    <w:rsid w:val="002E703E"/>
    <w:rsid w:val="002E72AC"/>
    <w:rsid w:val="002E77E3"/>
    <w:rsid w:val="002E7855"/>
    <w:rsid w:val="002E7A84"/>
    <w:rsid w:val="002E7DE7"/>
    <w:rsid w:val="002F025C"/>
    <w:rsid w:val="002F0345"/>
    <w:rsid w:val="002F06E3"/>
    <w:rsid w:val="002F0F29"/>
    <w:rsid w:val="002F1169"/>
    <w:rsid w:val="002F11BF"/>
    <w:rsid w:val="002F11DB"/>
    <w:rsid w:val="002F162F"/>
    <w:rsid w:val="002F17E8"/>
    <w:rsid w:val="002F18D3"/>
    <w:rsid w:val="002F1A62"/>
    <w:rsid w:val="002F1A9B"/>
    <w:rsid w:val="002F1C21"/>
    <w:rsid w:val="002F2151"/>
    <w:rsid w:val="002F2779"/>
    <w:rsid w:val="002F28D2"/>
    <w:rsid w:val="002F28D8"/>
    <w:rsid w:val="002F2AAD"/>
    <w:rsid w:val="002F2B41"/>
    <w:rsid w:val="002F2E1A"/>
    <w:rsid w:val="002F2E63"/>
    <w:rsid w:val="002F2EB4"/>
    <w:rsid w:val="002F3137"/>
    <w:rsid w:val="002F31D1"/>
    <w:rsid w:val="002F3214"/>
    <w:rsid w:val="002F32CA"/>
    <w:rsid w:val="002F338E"/>
    <w:rsid w:val="002F33B4"/>
    <w:rsid w:val="002F3600"/>
    <w:rsid w:val="002F38F4"/>
    <w:rsid w:val="002F3EDE"/>
    <w:rsid w:val="002F3F6A"/>
    <w:rsid w:val="002F3FEB"/>
    <w:rsid w:val="002F4328"/>
    <w:rsid w:val="002F434A"/>
    <w:rsid w:val="002F458B"/>
    <w:rsid w:val="002F46D3"/>
    <w:rsid w:val="002F5268"/>
    <w:rsid w:val="002F5504"/>
    <w:rsid w:val="002F5AB7"/>
    <w:rsid w:val="002F619F"/>
    <w:rsid w:val="002F61C0"/>
    <w:rsid w:val="002F6355"/>
    <w:rsid w:val="002F65D3"/>
    <w:rsid w:val="002F664F"/>
    <w:rsid w:val="002F6671"/>
    <w:rsid w:val="002F66B8"/>
    <w:rsid w:val="002F696B"/>
    <w:rsid w:val="002F6B39"/>
    <w:rsid w:val="002F6C01"/>
    <w:rsid w:val="002F6C89"/>
    <w:rsid w:val="002F6C8F"/>
    <w:rsid w:val="002F73C1"/>
    <w:rsid w:val="002F7752"/>
    <w:rsid w:val="002F788D"/>
    <w:rsid w:val="002F78F9"/>
    <w:rsid w:val="002F7AD2"/>
    <w:rsid w:val="002F7EFD"/>
    <w:rsid w:val="0030054F"/>
    <w:rsid w:val="00300690"/>
    <w:rsid w:val="00300FC0"/>
    <w:rsid w:val="00301228"/>
    <w:rsid w:val="0030133E"/>
    <w:rsid w:val="003013D2"/>
    <w:rsid w:val="00302633"/>
    <w:rsid w:val="00302667"/>
    <w:rsid w:val="00302728"/>
    <w:rsid w:val="00302BFC"/>
    <w:rsid w:val="00302D82"/>
    <w:rsid w:val="003032C5"/>
    <w:rsid w:val="003033A6"/>
    <w:rsid w:val="00303694"/>
    <w:rsid w:val="00303757"/>
    <w:rsid w:val="00303E9C"/>
    <w:rsid w:val="00304072"/>
    <w:rsid w:val="0030429C"/>
    <w:rsid w:val="00304354"/>
    <w:rsid w:val="0030449F"/>
    <w:rsid w:val="00304BE3"/>
    <w:rsid w:val="00304F2C"/>
    <w:rsid w:val="00304FAB"/>
    <w:rsid w:val="0030517A"/>
    <w:rsid w:val="00305290"/>
    <w:rsid w:val="003052B4"/>
    <w:rsid w:val="003053F0"/>
    <w:rsid w:val="00305517"/>
    <w:rsid w:val="003057F4"/>
    <w:rsid w:val="00305B69"/>
    <w:rsid w:val="00305C44"/>
    <w:rsid w:val="00305CC0"/>
    <w:rsid w:val="00305EF1"/>
    <w:rsid w:val="0030619F"/>
    <w:rsid w:val="00306483"/>
    <w:rsid w:val="0030649F"/>
    <w:rsid w:val="00306967"/>
    <w:rsid w:val="003069A3"/>
    <w:rsid w:val="00306BCF"/>
    <w:rsid w:val="00306D6E"/>
    <w:rsid w:val="00307055"/>
    <w:rsid w:val="00307183"/>
    <w:rsid w:val="00307400"/>
    <w:rsid w:val="00307777"/>
    <w:rsid w:val="003079A7"/>
    <w:rsid w:val="00307CD5"/>
    <w:rsid w:val="00307CE5"/>
    <w:rsid w:val="0031045D"/>
    <w:rsid w:val="0031049D"/>
    <w:rsid w:val="0031068E"/>
    <w:rsid w:val="003106A7"/>
    <w:rsid w:val="00310817"/>
    <w:rsid w:val="00310928"/>
    <w:rsid w:val="00310B35"/>
    <w:rsid w:val="00310F07"/>
    <w:rsid w:val="0031101B"/>
    <w:rsid w:val="00311139"/>
    <w:rsid w:val="003111CA"/>
    <w:rsid w:val="0031124E"/>
    <w:rsid w:val="003112A5"/>
    <w:rsid w:val="0031178F"/>
    <w:rsid w:val="00311E34"/>
    <w:rsid w:val="00311E52"/>
    <w:rsid w:val="003121B1"/>
    <w:rsid w:val="003125E2"/>
    <w:rsid w:val="00312C39"/>
    <w:rsid w:val="00312CCC"/>
    <w:rsid w:val="00313031"/>
    <w:rsid w:val="0031305E"/>
    <w:rsid w:val="003133E8"/>
    <w:rsid w:val="003137B0"/>
    <w:rsid w:val="003138FF"/>
    <w:rsid w:val="00313D49"/>
    <w:rsid w:val="0031402D"/>
    <w:rsid w:val="0031417D"/>
    <w:rsid w:val="003149B2"/>
    <w:rsid w:val="00314B16"/>
    <w:rsid w:val="00314F11"/>
    <w:rsid w:val="003150A6"/>
    <w:rsid w:val="003155BA"/>
    <w:rsid w:val="00315B4D"/>
    <w:rsid w:val="00315C30"/>
    <w:rsid w:val="00315FB5"/>
    <w:rsid w:val="0031649D"/>
    <w:rsid w:val="00316A8A"/>
    <w:rsid w:val="00316AA4"/>
    <w:rsid w:val="00316D3D"/>
    <w:rsid w:val="00317C95"/>
    <w:rsid w:val="00317D86"/>
    <w:rsid w:val="00317EFF"/>
    <w:rsid w:val="003201B1"/>
    <w:rsid w:val="00320568"/>
    <w:rsid w:val="00320A15"/>
    <w:rsid w:val="00320D2D"/>
    <w:rsid w:val="00320DAD"/>
    <w:rsid w:val="00320E7B"/>
    <w:rsid w:val="003212A5"/>
    <w:rsid w:val="0032137C"/>
    <w:rsid w:val="00321973"/>
    <w:rsid w:val="00321ACA"/>
    <w:rsid w:val="00321BD1"/>
    <w:rsid w:val="00321E5B"/>
    <w:rsid w:val="00321F44"/>
    <w:rsid w:val="00321F6A"/>
    <w:rsid w:val="00322581"/>
    <w:rsid w:val="003227C2"/>
    <w:rsid w:val="003228DA"/>
    <w:rsid w:val="00322A0B"/>
    <w:rsid w:val="00322AA7"/>
    <w:rsid w:val="00322B86"/>
    <w:rsid w:val="00322D93"/>
    <w:rsid w:val="00322DA9"/>
    <w:rsid w:val="0032303E"/>
    <w:rsid w:val="00323170"/>
    <w:rsid w:val="0032348C"/>
    <w:rsid w:val="00323C11"/>
    <w:rsid w:val="00323EA9"/>
    <w:rsid w:val="003247DD"/>
    <w:rsid w:val="00324B2A"/>
    <w:rsid w:val="00324C73"/>
    <w:rsid w:val="00324EEE"/>
    <w:rsid w:val="0032500F"/>
    <w:rsid w:val="003251F2"/>
    <w:rsid w:val="003253CC"/>
    <w:rsid w:val="00325BAB"/>
    <w:rsid w:val="003261C9"/>
    <w:rsid w:val="00326841"/>
    <w:rsid w:val="003277D8"/>
    <w:rsid w:val="00327CDE"/>
    <w:rsid w:val="00327EE3"/>
    <w:rsid w:val="003303DE"/>
    <w:rsid w:val="00330493"/>
    <w:rsid w:val="00330512"/>
    <w:rsid w:val="0033063C"/>
    <w:rsid w:val="0033075A"/>
    <w:rsid w:val="00330C04"/>
    <w:rsid w:val="00330C3C"/>
    <w:rsid w:val="00330CAE"/>
    <w:rsid w:val="00330F34"/>
    <w:rsid w:val="00331332"/>
    <w:rsid w:val="003314F8"/>
    <w:rsid w:val="00331750"/>
    <w:rsid w:val="00331A1E"/>
    <w:rsid w:val="00331C21"/>
    <w:rsid w:val="00331C34"/>
    <w:rsid w:val="00332210"/>
    <w:rsid w:val="003322D5"/>
    <w:rsid w:val="0033237F"/>
    <w:rsid w:val="003323C2"/>
    <w:rsid w:val="003325F8"/>
    <w:rsid w:val="0033328F"/>
    <w:rsid w:val="003336FA"/>
    <w:rsid w:val="00334867"/>
    <w:rsid w:val="00334B48"/>
    <w:rsid w:val="00335255"/>
    <w:rsid w:val="0033532F"/>
    <w:rsid w:val="0033555C"/>
    <w:rsid w:val="0033579F"/>
    <w:rsid w:val="00335A31"/>
    <w:rsid w:val="0033611B"/>
    <w:rsid w:val="00336141"/>
    <w:rsid w:val="00336145"/>
    <w:rsid w:val="00336751"/>
    <w:rsid w:val="0033698E"/>
    <w:rsid w:val="003369D7"/>
    <w:rsid w:val="00336C14"/>
    <w:rsid w:val="00336D64"/>
    <w:rsid w:val="003379A4"/>
    <w:rsid w:val="00340125"/>
    <w:rsid w:val="0034024E"/>
    <w:rsid w:val="00340417"/>
    <w:rsid w:val="0034052B"/>
    <w:rsid w:val="003405F4"/>
    <w:rsid w:val="00340AE1"/>
    <w:rsid w:val="00340B66"/>
    <w:rsid w:val="00340E6D"/>
    <w:rsid w:val="00340F1D"/>
    <w:rsid w:val="00341268"/>
    <w:rsid w:val="00341288"/>
    <w:rsid w:val="0034154E"/>
    <w:rsid w:val="003416E2"/>
    <w:rsid w:val="00341985"/>
    <w:rsid w:val="00341B74"/>
    <w:rsid w:val="00341F6D"/>
    <w:rsid w:val="003422A7"/>
    <w:rsid w:val="003426F3"/>
    <w:rsid w:val="0034296C"/>
    <w:rsid w:val="003429D3"/>
    <w:rsid w:val="00342BF2"/>
    <w:rsid w:val="00342CDA"/>
    <w:rsid w:val="00343206"/>
    <w:rsid w:val="003434BD"/>
    <w:rsid w:val="003438C1"/>
    <w:rsid w:val="00343C9B"/>
    <w:rsid w:val="00344297"/>
    <w:rsid w:val="00344573"/>
    <w:rsid w:val="0034462C"/>
    <w:rsid w:val="003446DB"/>
    <w:rsid w:val="00344C61"/>
    <w:rsid w:val="003452A9"/>
    <w:rsid w:val="003457A6"/>
    <w:rsid w:val="00345A2B"/>
    <w:rsid w:val="00345B39"/>
    <w:rsid w:val="00345D06"/>
    <w:rsid w:val="00346661"/>
    <w:rsid w:val="003468EA"/>
    <w:rsid w:val="00346C32"/>
    <w:rsid w:val="00346CB4"/>
    <w:rsid w:val="00346FF7"/>
    <w:rsid w:val="0034720E"/>
    <w:rsid w:val="0034739A"/>
    <w:rsid w:val="00347429"/>
    <w:rsid w:val="00347648"/>
    <w:rsid w:val="003476FF"/>
    <w:rsid w:val="003477EF"/>
    <w:rsid w:val="00347809"/>
    <w:rsid w:val="00347880"/>
    <w:rsid w:val="00347ACB"/>
    <w:rsid w:val="00347F21"/>
    <w:rsid w:val="0035003F"/>
    <w:rsid w:val="003503BB"/>
    <w:rsid w:val="0035043B"/>
    <w:rsid w:val="003508CD"/>
    <w:rsid w:val="00350953"/>
    <w:rsid w:val="00350C02"/>
    <w:rsid w:val="00350E58"/>
    <w:rsid w:val="00350E9E"/>
    <w:rsid w:val="00351927"/>
    <w:rsid w:val="00351AA8"/>
    <w:rsid w:val="00351B75"/>
    <w:rsid w:val="003521B2"/>
    <w:rsid w:val="0035236C"/>
    <w:rsid w:val="003524CC"/>
    <w:rsid w:val="0035261C"/>
    <w:rsid w:val="003526B4"/>
    <w:rsid w:val="00352C08"/>
    <w:rsid w:val="00353390"/>
    <w:rsid w:val="003534F9"/>
    <w:rsid w:val="003537C6"/>
    <w:rsid w:val="00353A20"/>
    <w:rsid w:val="00353DB6"/>
    <w:rsid w:val="00354342"/>
    <w:rsid w:val="0035448B"/>
    <w:rsid w:val="003545A8"/>
    <w:rsid w:val="003547C7"/>
    <w:rsid w:val="00354C7C"/>
    <w:rsid w:val="00354D85"/>
    <w:rsid w:val="00354F90"/>
    <w:rsid w:val="003552D6"/>
    <w:rsid w:val="0035574E"/>
    <w:rsid w:val="003558A8"/>
    <w:rsid w:val="00355A9B"/>
    <w:rsid w:val="00355CAD"/>
    <w:rsid w:val="00355CF0"/>
    <w:rsid w:val="00355D46"/>
    <w:rsid w:val="00355D95"/>
    <w:rsid w:val="00356085"/>
    <w:rsid w:val="0035655D"/>
    <w:rsid w:val="0035674F"/>
    <w:rsid w:val="00357592"/>
    <w:rsid w:val="00357AF5"/>
    <w:rsid w:val="00357F1B"/>
    <w:rsid w:val="00357F38"/>
    <w:rsid w:val="0036019E"/>
    <w:rsid w:val="00360265"/>
    <w:rsid w:val="003603FB"/>
    <w:rsid w:val="00360A52"/>
    <w:rsid w:val="00360DE4"/>
    <w:rsid w:val="00361227"/>
    <w:rsid w:val="003615B8"/>
    <w:rsid w:val="003619A8"/>
    <w:rsid w:val="00361D7B"/>
    <w:rsid w:val="00362163"/>
    <w:rsid w:val="00362334"/>
    <w:rsid w:val="003627F1"/>
    <w:rsid w:val="00362DB6"/>
    <w:rsid w:val="00362E4C"/>
    <w:rsid w:val="00363175"/>
    <w:rsid w:val="00363882"/>
    <w:rsid w:val="0036392E"/>
    <w:rsid w:val="00363B22"/>
    <w:rsid w:val="00363D2A"/>
    <w:rsid w:val="00363EB5"/>
    <w:rsid w:val="003647B4"/>
    <w:rsid w:val="00364C23"/>
    <w:rsid w:val="00364D98"/>
    <w:rsid w:val="00364E37"/>
    <w:rsid w:val="00366393"/>
    <w:rsid w:val="0036639E"/>
    <w:rsid w:val="00366405"/>
    <w:rsid w:val="003664B1"/>
    <w:rsid w:val="00366562"/>
    <w:rsid w:val="00366616"/>
    <w:rsid w:val="00366B23"/>
    <w:rsid w:val="00366D50"/>
    <w:rsid w:val="003672B0"/>
    <w:rsid w:val="0036761E"/>
    <w:rsid w:val="003676F4"/>
    <w:rsid w:val="00367B95"/>
    <w:rsid w:val="00367C09"/>
    <w:rsid w:val="00367C3C"/>
    <w:rsid w:val="0037034A"/>
    <w:rsid w:val="0037035B"/>
    <w:rsid w:val="0037057D"/>
    <w:rsid w:val="00370683"/>
    <w:rsid w:val="00370AAB"/>
    <w:rsid w:val="00370C17"/>
    <w:rsid w:val="00370E33"/>
    <w:rsid w:val="00370E58"/>
    <w:rsid w:val="003712DA"/>
    <w:rsid w:val="0037150E"/>
    <w:rsid w:val="003715E2"/>
    <w:rsid w:val="003716AA"/>
    <w:rsid w:val="00371B1D"/>
    <w:rsid w:val="00371D6C"/>
    <w:rsid w:val="00372C02"/>
    <w:rsid w:val="00373458"/>
    <w:rsid w:val="00373BF2"/>
    <w:rsid w:val="00373BF8"/>
    <w:rsid w:val="0037404D"/>
    <w:rsid w:val="003741EF"/>
    <w:rsid w:val="00374AA5"/>
    <w:rsid w:val="00374D31"/>
    <w:rsid w:val="00374F16"/>
    <w:rsid w:val="003751A6"/>
    <w:rsid w:val="0037536B"/>
    <w:rsid w:val="00375767"/>
    <w:rsid w:val="003757A4"/>
    <w:rsid w:val="0037581A"/>
    <w:rsid w:val="003759B7"/>
    <w:rsid w:val="003759C1"/>
    <w:rsid w:val="00375AFB"/>
    <w:rsid w:val="00375CC6"/>
    <w:rsid w:val="00375F14"/>
    <w:rsid w:val="0037603C"/>
    <w:rsid w:val="00376174"/>
    <w:rsid w:val="003761CC"/>
    <w:rsid w:val="0037631B"/>
    <w:rsid w:val="003767E7"/>
    <w:rsid w:val="0037690F"/>
    <w:rsid w:val="0037691B"/>
    <w:rsid w:val="0037703A"/>
    <w:rsid w:val="003773E0"/>
    <w:rsid w:val="00377455"/>
    <w:rsid w:val="0037755D"/>
    <w:rsid w:val="00377D1E"/>
    <w:rsid w:val="00377F4B"/>
    <w:rsid w:val="00380012"/>
    <w:rsid w:val="003801B7"/>
    <w:rsid w:val="0038029A"/>
    <w:rsid w:val="003804BC"/>
    <w:rsid w:val="00380524"/>
    <w:rsid w:val="00380727"/>
    <w:rsid w:val="00380772"/>
    <w:rsid w:val="003807A7"/>
    <w:rsid w:val="003807C5"/>
    <w:rsid w:val="003809E3"/>
    <w:rsid w:val="00380BA6"/>
    <w:rsid w:val="00380D33"/>
    <w:rsid w:val="00380D7E"/>
    <w:rsid w:val="003810FC"/>
    <w:rsid w:val="00381540"/>
    <w:rsid w:val="00381C0C"/>
    <w:rsid w:val="00381C28"/>
    <w:rsid w:val="00382410"/>
    <w:rsid w:val="0038289E"/>
    <w:rsid w:val="00382AA4"/>
    <w:rsid w:val="00382AB3"/>
    <w:rsid w:val="00382C7E"/>
    <w:rsid w:val="00382CE3"/>
    <w:rsid w:val="00382D5E"/>
    <w:rsid w:val="0038384F"/>
    <w:rsid w:val="00383A7D"/>
    <w:rsid w:val="00383E73"/>
    <w:rsid w:val="0038426A"/>
    <w:rsid w:val="00384271"/>
    <w:rsid w:val="00384576"/>
    <w:rsid w:val="003845D1"/>
    <w:rsid w:val="0038474D"/>
    <w:rsid w:val="003849A1"/>
    <w:rsid w:val="00384B83"/>
    <w:rsid w:val="00384E13"/>
    <w:rsid w:val="00384EBB"/>
    <w:rsid w:val="00384F82"/>
    <w:rsid w:val="0038524F"/>
    <w:rsid w:val="00385303"/>
    <w:rsid w:val="00385937"/>
    <w:rsid w:val="00385E37"/>
    <w:rsid w:val="00385E67"/>
    <w:rsid w:val="003863F0"/>
    <w:rsid w:val="0038653B"/>
    <w:rsid w:val="0038676F"/>
    <w:rsid w:val="0038680A"/>
    <w:rsid w:val="00386C4E"/>
    <w:rsid w:val="00386EC4"/>
    <w:rsid w:val="00386F2B"/>
    <w:rsid w:val="00386F86"/>
    <w:rsid w:val="003874F7"/>
    <w:rsid w:val="00387541"/>
    <w:rsid w:val="00387783"/>
    <w:rsid w:val="00387854"/>
    <w:rsid w:val="00387FDE"/>
    <w:rsid w:val="00390623"/>
    <w:rsid w:val="0039066C"/>
    <w:rsid w:val="00390892"/>
    <w:rsid w:val="003908DF"/>
    <w:rsid w:val="003909F2"/>
    <w:rsid w:val="00390EEE"/>
    <w:rsid w:val="003911A5"/>
    <w:rsid w:val="00391649"/>
    <w:rsid w:val="00391B05"/>
    <w:rsid w:val="00391BC0"/>
    <w:rsid w:val="00391C6F"/>
    <w:rsid w:val="00392319"/>
    <w:rsid w:val="00392762"/>
    <w:rsid w:val="0039287E"/>
    <w:rsid w:val="003929D2"/>
    <w:rsid w:val="00392EB4"/>
    <w:rsid w:val="00393091"/>
    <w:rsid w:val="003931EE"/>
    <w:rsid w:val="00393730"/>
    <w:rsid w:val="00393F39"/>
    <w:rsid w:val="00394823"/>
    <w:rsid w:val="00394900"/>
    <w:rsid w:val="00394A75"/>
    <w:rsid w:val="0039585B"/>
    <w:rsid w:val="00395CCB"/>
    <w:rsid w:val="0039621B"/>
    <w:rsid w:val="00396229"/>
    <w:rsid w:val="00396495"/>
    <w:rsid w:val="00396B78"/>
    <w:rsid w:val="00396DED"/>
    <w:rsid w:val="00396F4D"/>
    <w:rsid w:val="00396F96"/>
    <w:rsid w:val="00397072"/>
    <w:rsid w:val="00397BCA"/>
    <w:rsid w:val="00397F98"/>
    <w:rsid w:val="00397FB3"/>
    <w:rsid w:val="003A01F6"/>
    <w:rsid w:val="003A04F4"/>
    <w:rsid w:val="003A05A6"/>
    <w:rsid w:val="003A1713"/>
    <w:rsid w:val="003A1C06"/>
    <w:rsid w:val="003A1C62"/>
    <w:rsid w:val="003A215C"/>
    <w:rsid w:val="003A23C1"/>
    <w:rsid w:val="003A2629"/>
    <w:rsid w:val="003A2724"/>
    <w:rsid w:val="003A2727"/>
    <w:rsid w:val="003A2CCB"/>
    <w:rsid w:val="003A2FB1"/>
    <w:rsid w:val="003A3158"/>
    <w:rsid w:val="003A3328"/>
    <w:rsid w:val="003A3362"/>
    <w:rsid w:val="003A3623"/>
    <w:rsid w:val="003A3949"/>
    <w:rsid w:val="003A3CA0"/>
    <w:rsid w:val="003A4F76"/>
    <w:rsid w:val="003A51F0"/>
    <w:rsid w:val="003A548D"/>
    <w:rsid w:val="003A57FE"/>
    <w:rsid w:val="003A59E0"/>
    <w:rsid w:val="003A5D0E"/>
    <w:rsid w:val="003A6238"/>
    <w:rsid w:val="003A6AA7"/>
    <w:rsid w:val="003A6C0F"/>
    <w:rsid w:val="003A6D67"/>
    <w:rsid w:val="003A6FBA"/>
    <w:rsid w:val="003A7148"/>
    <w:rsid w:val="003A72F2"/>
    <w:rsid w:val="003A7343"/>
    <w:rsid w:val="003A7512"/>
    <w:rsid w:val="003A772B"/>
    <w:rsid w:val="003A7883"/>
    <w:rsid w:val="003A7CF0"/>
    <w:rsid w:val="003A7EAD"/>
    <w:rsid w:val="003B0170"/>
    <w:rsid w:val="003B06F3"/>
    <w:rsid w:val="003B0BF0"/>
    <w:rsid w:val="003B0E35"/>
    <w:rsid w:val="003B134F"/>
    <w:rsid w:val="003B1358"/>
    <w:rsid w:val="003B149E"/>
    <w:rsid w:val="003B1561"/>
    <w:rsid w:val="003B17DE"/>
    <w:rsid w:val="003B1957"/>
    <w:rsid w:val="003B198F"/>
    <w:rsid w:val="003B1BDC"/>
    <w:rsid w:val="003B214E"/>
    <w:rsid w:val="003B2150"/>
    <w:rsid w:val="003B2239"/>
    <w:rsid w:val="003B23A8"/>
    <w:rsid w:val="003B24B6"/>
    <w:rsid w:val="003B2FAE"/>
    <w:rsid w:val="003B3016"/>
    <w:rsid w:val="003B30BF"/>
    <w:rsid w:val="003B31BB"/>
    <w:rsid w:val="003B323C"/>
    <w:rsid w:val="003B3F65"/>
    <w:rsid w:val="003B40AD"/>
    <w:rsid w:val="003B42D4"/>
    <w:rsid w:val="003B43A8"/>
    <w:rsid w:val="003B4A5F"/>
    <w:rsid w:val="003B525B"/>
    <w:rsid w:val="003B54A7"/>
    <w:rsid w:val="003B5652"/>
    <w:rsid w:val="003B6062"/>
    <w:rsid w:val="003B626D"/>
    <w:rsid w:val="003B6840"/>
    <w:rsid w:val="003B6D70"/>
    <w:rsid w:val="003B6FD6"/>
    <w:rsid w:val="003B701B"/>
    <w:rsid w:val="003B7631"/>
    <w:rsid w:val="003B770B"/>
    <w:rsid w:val="003B7EA7"/>
    <w:rsid w:val="003C05AA"/>
    <w:rsid w:val="003C05D9"/>
    <w:rsid w:val="003C0755"/>
    <w:rsid w:val="003C0A59"/>
    <w:rsid w:val="003C0BA5"/>
    <w:rsid w:val="003C0EF1"/>
    <w:rsid w:val="003C0EF6"/>
    <w:rsid w:val="003C1292"/>
    <w:rsid w:val="003C1B1E"/>
    <w:rsid w:val="003C1B72"/>
    <w:rsid w:val="003C1F67"/>
    <w:rsid w:val="003C1F86"/>
    <w:rsid w:val="003C2205"/>
    <w:rsid w:val="003C241F"/>
    <w:rsid w:val="003C2711"/>
    <w:rsid w:val="003C2FC9"/>
    <w:rsid w:val="003C3118"/>
    <w:rsid w:val="003C3777"/>
    <w:rsid w:val="003C3A38"/>
    <w:rsid w:val="003C3E6F"/>
    <w:rsid w:val="003C40C8"/>
    <w:rsid w:val="003C4157"/>
    <w:rsid w:val="003C4176"/>
    <w:rsid w:val="003C45C8"/>
    <w:rsid w:val="003C4BC1"/>
    <w:rsid w:val="003C53A9"/>
    <w:rsid w:val="003C54CC"/>
    <w:rsid w:val="003C5681"/>
    <w:rsid w:val="003C60EC"/>
    <w:rsid w:val="003C62AE"/>
    <w:rsid w:val="003C6305"/>
    <w:rsid w:val="003C636F"/>
    <w:rsid w:val="003C66E0"/>
    <w:rsid w:val="003C6AE3"/>
    <w:rsid w:val="003C6F59"/>
    <w:rsid w:val="003C743B"/>
    <w:rsid w:val="003C772F"/>
    <w:rsid w:val="003C77CF"/>
    <w:rsid w:val="003C79E1"/>
    <w:rsid w:val="003C7C6C"/>
    <w:rsid w:val="003C7D58"/>
    <w:rsid w:val="003D0121"/>
    <w:rsid w:val="003D023E"/>
    <w:rsid w:val="003D04F9"/>
    <w:rsid w:val="003D06D0"/>
    <w:rsid w:val="003D10DE"/>
    <w:rsid w:val="003D159A"/>
    <w:rsid w:val="003D1DEB"/>
    <w:rsid w:val="003D24C2"/>
    <w:rsid w:val="003D283F"/>
    <w:rsid w:val="003D29CF"/>
    <w:rsid w:val="003D2C30"/>
    <w:rsid w:val="003D2DF5"/>
    <w:rsid w:val="003D2F90"/>
    <w:rsid w:val="003D3457"/>
    <w:rsid w:val="003D35D7"/>
    <w:rsid w:val="003D3601"/>
    <w:rsid w:val="003D368B"/>
    <w:rsid w:val="003D3CDA"/>
    <w:rsid w:val="003D3D20"/>
    <w:rsid w:val="003D3FC5"/>
    <w:rsid w:val="003D4079"/>
    <w:rsid w:val="003D4188"/>
    <w:rsid w:val="003D420C"/>
    <w:rsid w:val="003D434E"/>
    <w:rsid w:val="003D5150"/>
    <w:rsid w:val="003D550E"/>
    <w:rsid w:val="003D5A30"/>
    <w:rsid w:val="003D5A35"/>
    <w:rsid w:val="003D5B24"/>
    <w:rsid w:val="003D5CA9"/>
    <w:rsid w:val="003D5E1C"/>
    <w:rsid w:val="003D5FDC"/>
    <w:rsid w:val="003D6177"/>
    <w:rsid w:val="003D6292"/>
    <w:rsid w:val="003D63EB"/>
    <w:rsid w:val="003D64EE"/>
    <w:rsid w:val="003D65E4"/>
    <w:rsid w:val="003D6691"/>
    <w:rsid w:val="003D6734"/>
    <w:rsid w:val="003D6B92"/>
    <w:rsid w:val="003D7007"/>
    <w:rsid w:val="003D71AF"/>
    <w:rsid w:val="003D74B4"/>
    <w:rsid w:val="003D771A"/>
    <w:rsid w:val="003D7813"/>
    <w:rsid w:val="003D7A94"/>
    <w:rsid w:val="003D7EB5"/>
    <w:rsid w:val="003E011C"/>
    <w:rsid w:val="003E0125"/>
    <w:rsid w:val="003E017E"/>
    <w:rsid w:val="003E0267"/>
    <w:rsid w:val="003E0497"/>
    <w:rsid w:val="003E0F31"/>
    <w:rsid w:val="003E0F8B"/>
    <w:rsid w:val="003E13E6"/>
    <w:rsid w:val="003E172C"/>
    <w:rsid w:val="003E1812"/>
    <w:rsid w:val="003E355D"/>
    <w:rsid w:val="003E3FD0"/>
    <w:rsid w:val="003E4229"/>
    <w:rsid w:val="003E469D"/>
    <w:rsid w:val="003E475D"/>
    <w:rsid w:val="003E48F9"/>
    <w:rsid w:val="003E4BA4"/>
    <w:rsid w:val="003E4D7C"/>
    <w:rsid w:val="003E51BE"/>
    <w:rsid w:val="003E5618"/>
    <w:rsid w:val="003E5791"/>
    <w:rsid w:val="003E5807"/>
    <w:rsid w:val="003E58E7"/>
    <w:rsid w:val="003E5BB7"/>
    <w:rsid w:val="003E5BD9"/>
    <w:rsid w:val="003E5C17"/>
    <w:rsid w:val="003E5E1A"/>
    <w:rsid w:val="003E6069"/>
    <w:rsid w:val="003E6467"/>
    <w:rsid w:val="003E64E9"/>
    <w:rsid w:val="003E6886"/>
    <w:rsid w:val="003E6A27"/>
    <w:rsid w:val="003E6AF0"/>
    <w:rsid w:val="003E6B28"/>
    <w:rsid w:val="003E75DB"/>
    <w:rsid w:val="003E77DB"/>
    <w:rsid w:val="003E7C2D"/>
    <w:rsid w:val="003F01D8"/>
    <w:rsid w:val="003F0364"/>
    <w:rsid w:val="003F0579"/>
    <w:rsid w:val="003F06DE"/>
    <w:rsid w:val="003F075A"/>
    <w:rsid w:val="003F0AA8"/>
    <w:rsid w:val="003F0E71"/>
    <w:rsid w:val="003F1354"/>
    <w:rsid w:val="003F1D60"/>
    <w:rsid w:val="003F1E7D"/>
    <w:rsid w:val="003F1F4A"/>
    <w:rsid w:val="003F2145"/>
    <w:rsid w:val="003F2298"/>
    <w:rsid w:val="003F2321"/>
    <w:rsid w:val="003F2683"/>
    <w:rsid w:val="003F26C6"/>
    <w:rsid w:val="003F2E19"/>
    <w:rsid w:val="003F3313"/>
    <w:rsid w:val="003F33A5"/>
    <w:rsid w:val="003F3434"/>
    <w:rsid w:val="003F3868"/>
    <w:rsid w:val="003F4270"/>
    <w:rsid w:val="003F4287"/>
    <w:rsid w:val="003F4624"/>
    <w:rsid w:val="003F4AF0"/>
    <w:rsid w:val="003F4CC1"/>
    <w:rsid w:val="003F4FA0"/>
    <w:rsid w:val="003F508B"/>
    <w:rsid w:val="003F5187"/>
    <w:rsid w:val="003F5389"/>
    <w:rsid w:val="003F54A5"/>
    <w:rsid w:val="003F5595"/>
    <w:rsid w:val="003F5829"/>
    <w:rsid w:val="003F5B04"/>
    <w:rsid w:val="003F62B3"/>
    <w:rsid w:val="003F6638"/>
    <w:rsid w:val="003F66B4"/>
    <w:rsid w:val="003F679F"/>
    <w:rsid w:val="003F72C3"/>
    <w:rsid w:val="003F7AB8"/>
    <w:rsid w:val="003F7E71"/>
    <w:rsid w:val="003F7EE1"/>
    <w:rsid w:val="004003DF"/>
    <w:rsid w:val="004005EB"/>
    <w:rsid w:val="00400964"/>
    <w:rsid w:val="00400D2B"/>
    <w:rsid w:val="00400E8E"/>
    <w:rsid w:val="00400F4F"/>
    <w:rsid w:val="00401562"/>
    <w:rsid w:val="0040157F"/>
    <w:rsid w:val="004016FB"/>
    <w:rsid w:val="004017F1"/>
    <w:rsid w:val="00401B4D"/>
    <w:rsid w:val="00401DAC"/>
    <w:rsid w:val="0040208B"/>
    <w:rsid w:val="00402097"/>
    <w:rsid w:val="004020F3"/>
    <w:rsid w:val="00402467"/>
    <w:rsid w:val="004025BA"/>
    <w:rsid w:val="0040263C"/>
    <w:rsid w:val="004032CE"/>
    <w:rsid w:val="00403D01"/>
    <w:rsid w:val="00403D06"/>
    <w:rsid w:val="004042A3"/>
    <w:rsid w:val="004048DB"/>
    <w:rsid w:val="00404945"/>
    <w:rsid w:val="00404BC4"/>
    <w:rsid w:val="0040510F"/>
    <w:rsid w:val="004053A0"/>
    <w:rsid w:val="004054C2"/>
    <w:rsid w:val="0040582A"/>
    <w:rsid w:val="00405B6D"/>
    <w:rsid w:val="00405CBA"/>
    <w:rsid w:val="00406022"/>
    <w:rsid w:val="0040628D"/>
    <w:rsid w:val="0040690A"/>
    <w:rsid w:val="00406C29"/>
    <w:rsid w:val="00406CE1"/>
    <w:rsid w:val="004079CD"/>
    <w:rsid w:val="00407CA3"/>
    <w:rsid w:val="0041047C"/>
    <w:rsid w:val="00410ACE"/>
    <w:rsid w:val="0041152A"/>
    <w:rsid w:val="00411636"/>
    <w:rsid w:val="004118FC"/>
    <w:rsid w:val="00412065"/>
    <w:rsid w:val="00412118"/>
    <w:rsid w:val="0041232A"/>
    <w:rsid w:val="00412648"/>
    <w:rsid w:val="004127E8"/>
    <w:rsid w:val="0041280B"/>
    <w:rsid w:val="004129D1"/>
    <w:rsid w:val="00413012"/>
    <w:rsid w:val="0041304A"/>
    <w:rsid w:val="00413389"/>
    <w:rsid w:val="0041344E"/>
    <w:rsid w:val="0041423C"/>
    <w:rsid w:val="004145D5"/>
    <w:rsid w:val="004145FF"/>
    <w:rsid w:val="004147DB"/>
    <w:rsid w:val="004148A3"/>
    <w:rsid w:val="00414B67"/>
    <w:rsid w:val="00414F4B"/>
    <w:rsid w:val="0041504B"/>
    <w:rsid w:val="00415267"/>
    <w:rsid w:val="00415317"/>
    <w:rsid w:val="0041562F"/>
    <w:rsid w:val="00415782"/>
    <w:rsid w:val="00415982"/>
    <w:rsid w:val="00415B06"/>
    <w:rsid w:val="00415B25"/>
    <w:rsid w:val="004160BA"/>
    <w:rsid w:val="004162CC"/>
    <w:rsid w:val="00416631"/>
    <w:rsid w:val="004167EB"/>
    <w:rsid w:val="00416A8E"/>
    <w:rsid w:val="00416D19"/>
    <w:rsid w:val="00416DEC"/>
    <w:rsid w:val="0041717B"/>
    <w:rsid w:val="0041735C"/>
    <w:rsid w:val="00417D11"/>
    <w:rsid w:val="00417D9C"/>
    <w:rsid w:val="00420213"/>
    <w:rsid w:val="00420834"/>
    <w:rsid w:val="00420ABD"/>
    <w:rsid w:val="00420CC7"/>
    <w:rsid w:val="00420FF4"/>
    <w:rsid w:val="004211BB"/>
    <w:rsid w:val="0042147B"/>
    <w:rsid w:val="00421910"/>
    <w:rsid w:val="0042197B"/>
    <w:rsid w:val="0042216D"/>
    <w:rsid w:val="004221DF"/>
    <w:rsid w:val="0042276B"/>
    <w:rsid w:val="004227DA"/>
    <w:rsid w:val="004228EE"/>
    <w:rsid w:val="00422CA2"/>
    <w:rsid w:val="00422D8A"/>
    <w:rsid w:val="0042384C"/>
    <w:rsid w:val="00423889"/>
    <w:rsid w:val="00423890"/>
    <w:rsid w:val="00423C4B"/>
    <w:rsid w:val="004246C7"/>
    <w:rsid w:val="00424711"/>
    <w:rsid w:val="00424999"/>
    <w:rsid w:val="00424A38"/>
    <w:rsid w:val="00424D7F"/>
    <w:rsid w:val="004250C7"/>
    <w:rsid w:val="0042522C"/>
    <w:rsid w:val="00425469"/>
    <w:rsid w:val="0042576D"/>
    <w:rsid w:val="00425CDD"/>
    <w:rsid w:val="004263A4"/>
    <w:rsid w:val="004263DA"/>
    <w:rsid w:val="00426C54"/>
    <w:rsid w:val="00426C8A"/>
    <w:rsid w:val="00426E54"/>
    <w:rsid w:val="00426ED8"/>
    <w:rsid w:val="00427537"/>
    <w:rsid w:val="004276D9"/>
    <w:rsid w:val="00427736"/>
    <w:rsid w:val="0042794E"/>
    <w:rsid w:val="00430254"/>
    <w:rsid w:val="00430282"/>
    <w:rsid w:val="00430D3D"/>
    <w:rsid w:val="00430F89"/>
    <w:rsid w:val="004315F4"/>
    <w:rsid w:val="00431B4B"/>
    <w:rsid w:val="00431C42"/>
    <w:rsid w:val="0043212D"/>
    <w:rsid w:val="004322C4"/>
    <w:rsid w:val="0043247F"/>
    <w:rsid w:val="004327D1"/>
    <w:rsid w:val="00432992"/>
    <w:rsid w:val="00433184"/>
    <w:rsid w:val="0043338C"/>
    <w:rsid w:val="0043348A"/>
    <w:rsid w:val="004339D3"/>
    <w:rsid w:val="00433F36"/>
    <w:rsid w:val="0043429A"/>
    <w:rsid w:val="004349B0"/>
    <w:rsid w:val="00434C48"/>
    <w:rsid w:val="00434E9D"/>
    <w:rsid w:val="00435122"/>
    <w:rsid w:val="00435258"/>
    <w:rsid w:val="004353B9"/>
    <w:rsid w:val="004354AF"/>
    <w:rsid w:val="00435AE6"/>
    <w:rsid w:val="00435E0C"/>
    <w:rsid w:val="00435F21"/>
    <w:rsid w:val="004360AC"/>
    <w:rsid w:val="004364CD"/>
    <w:rsid w:val="00436582"/>
    <w:rsid w:val="004369D1"/>
    <w:rsid w:val="00436B07"/>
    <w:rsid w:val="00436D2C"/>
    <w:rsid w:val="00437257"/>
    <w:rsid w:val="004375F4"/>
    <w:rsid w:val="00437772"/>
    <w:rsid w:val="00437D29"/>
    <w:rsid w:val="00437EA3"/>
    <w:rsid w:val="00440014"/>
    <w:rsid w:val="0044009A"/>
    <w:rsid w:val="00440359"/>
    <w:rsid w:val="00440430"/>
    <w:rsid w:val="00440441"/>
    <w:rsid w:val="004408DA"/>
    <w:rsid w:val="004409F3"/>
    <w:rsid w:val="00440B90"/>
    <w:rsid w:val="004414F3"/>
    <w:rsid w:val="00441AAE"/>
    <w:rsid w:val="00441C76"/>
    <w:rsid w:val="004420A9"/>
    <w:rsid w:val="0044238A"/>
    <w:rsid w:val="00442544"/>
    <w:rsid w:val="0044282C"/>
    <w:rsid w:val="00442838"/>
    <w:rsid w:val="00442A7F"/>
    <w:rsid w:val="00443421"/>
    <w:rsid w:val="00443A75"/>
    <w:rsid w:val="00443DB9"/>
    <w:rsid w:val="00444370"/>
    <w:rsid w:val="004445C0"/>
    <w:rsid w:val="00444832"/>
    <w:rsid w:val="004449C9"/>
    <w:rsid w:val="004459DC"/>
    <w:rsid w:val="00445C6D"/>
    <w:rsid w:val="00445CBC"/>
    <w:rsid w:val="00445EDF"/>
    <w:rsid w:val="004461A2"/>
    <w:rsid w:val="004464E2"/>
    <w:rsid w:val="0044655F"/>
    <w:rsid w:val="00446A3F"/>
    <w:rsid w:val="00446B96"/>
    <w:rsid w:val="0044732D"/>
    <w:rsid w:val="00447B5D"/>
    <w:rsid w:val="00450298"/>
    <w:rsid w:val="004502C4"/>
    <w:rsid w:val="004506B1"/>
    <w:rsid w:val="00450A52"/>
    <w:rsid w:val="0045108D"/>
    <w:rsid w:val="00451220"/>
    <w:rsid w:val="0045141B"/>
    <w:rsid w:val="004514D7"/>
    <w:rsid w:val="0045188F"/>
    <w:rsid w:val="00451E22"/>
    <w:rsid w:val="00452402"/>
    <w:rsid w:val="004525D0"/>
    <w:rsid w:val="004525FB"/>
    <w:rsid w:val="00452833"/>
    <w:rsid w:val="00452D19"/>
    <w:rsid w:val="00452F9E"/>
    <w:rsid w:val="004531F1"/>
    <w:rsid w:val="00453B19"/>
    <w:rsid w:val="00453E72"/>
    <w:rsid w:val="00453F69"/>
    <w:rsid w:val="0045564C"/>
    <w:rsid w:val="004556C4"/>
    <w:rsid w:val="00455860"/>
    <w:rsid w:val="0045593C"/>
    <w:rsid w:val="00455BB5"/>
    <w:rsid w:val="00455C1A"/>
    <w:rsid w:val="00455D5B"/>
    <w:rsid w:val="00455E6E"/>
    <w:rsid w:val="00456430"/>
    <w:rsid w:val="004565E2"/>
    <w:rsid w:val="004567A6"/>
    <w:rsid w:val="004567CD"/>
    <w:rsid w:val="004568F4"/>
    <w:rsid w:val="00456AF4"/>
    <w:rsid w:val="00456E4C"/>
    <w:rsid w:val="00456ECB"/>
    <w:rsid w:val="00457102"/>
    <w:rsid w:val="004574D3"/>
    <w:rsid w:val="004579F6"/>
    <w:rsid w:val="00457EF0"/>
    <w:rsid w:val="00457F5E"/>
    <w:rsid w:val="00460449"/>
    <w:rsid w:val="004608EA"/>
    <w:rsid w:val="0046097A"/>
    <w:rsid w:val="00460A55"/>
    <w:rsid w:val="00460B92"/>
    <w:rsid w:val="00461240"/>
    <w:rsid w:val="00461285"/>
    <w:rsid w:val="004614A2"/>
    <w:rsid w:val="00461564"/>
    <w:rsid w:val="00461645"/>
    <w:rsid w:val="004617AC"/>
    <w:rsid w:val="00461AC9"/>
    <w:rsid w:val="00461BD4"/>
    <w:rsid w:val="00461DD3"/>
    <w:rsid w:val="00462587"/>
    <w:rsid w:val="0046339D"/>
    <w:rsid w:val="00463760"/>
    <w:rsid w:val="004637C2"/>
    <w:rsid w:val="00463D0D"/>
    <w:rsid w:val="0046407B"/>
    <w:rsid w:val="00464225"/>
    <w:rsid w:val="0046430D"/>
    <w:rsid w:val="00464554"/>
    <w:rsid w:val="004649FA"/>
    <w:rsid w:val="00464CEC"/>
    <w:rsid w:val="00465159"/>
    <w:rsid w:val="00465510"/>
    <w:rsid w:val="004657D7"/>
    <w:rsid w:val="00465A15"/>
    <w:rsid w:val="00465DBB"/>
    <w:rsid w:val="00465EFC"/>
    <w:rsid w:val="004662A9"/>
    <w:rsid w:val="0046652D"/>
    <w:rsid w:val="004666AB"/>
    <w:rsid w:val="00466BCF"/>
    <w:rsid w:val="00466E55"/>
    <w:rsid w:val="00466F16"/>
    <w:rsid w:val="00467911"/>
    <w:rsid w:val="00467B27"/>
    <w:rsid w:val="00470461"/>
    <w:rsid w:val="00470665"/>
    <w:rsid w:val="004706DF"/>
    <w:rsid w:val="00470994"/>
    <w:rsid w:val="004711C0"/>
    <w:rsid w:val="004717BC"/>
    <w:rsid w:val="00471829"/>
    <w:rsid w:val="0047188E"/>
    <w:rsid w:val="00471A2E"/>
    <w:rsid w:val="00471FD5"/>
    <w:rsid w:val="004720B8"/>
    <w:rsid w:val="00472266"/>
    <w:rsid w:val="0047240E"/>
    <w:rsid w:val="00472BA6"/>
    <w:rsid w:val="00472EEB"/>
    <w:rsid w:val="00473142"/>
    <w:rsid w:val="0047332C"/>
    <w:rsid w:val="00473359"/>
    <w:rsid w:val="004739B7"/>
    <w:rsid w:val="004739D4"/>
    <w:rsid w:val="00473A4B"/>
    <w:rsid w:val="00473BB6"/>
    <w:rsid w:val="00473D16"/>
    <w:rsid w:val="004740DC"/>
    <w:rsid w:val="004741A7"/>
    <w:rsid w:val="004742EA"/>
    <w:rsid w:val="004742EE"/>
    <w:rsid w:val="0047465F"/>
    <w:rsid w:val="004749ED"/>
    <w:rsid w:val="00474A32"/>
    <w:rsid w:val="00474D74"/>
    <w:rsid w:val="00475196"/>
    <w:rsid w:val="004751B0"/>
    <w:rsid w:val="00475947"/>
    <w:rsid w:val="00475983"/>
    <w:rsid w:val="00475A56"/>
    <w:rsid w:val="00475A88"/>
    <w:rsid w:val="00475BFE"/>
    <w:rsid w:val="00475FCF"/>
    <w:rsid w:val="004760DF"/>
    <w:rsid w:val="00476AAC"/>
    <w:rsid w:val="00476C47"/>
    <w:rsid w:val="00476EFD"/>
    <w:rsid w:val="004771CD"/>
    <w:rsid w:val="00477431"/>
    <w:rsid w:val="0047767E"/>
    <w:rsid w:val="0047779C"/>
    <w:rsid w:val="00477EFD"/>
    <w:rsid w:val="004803B1"/>
    <w:rsid w:val="004804B5"/>
    <w:rsid w:val="004805E1"/>
    <w:rsid w:val="00480774"/>
    <w:rsid w:val="0048092F"/>
    <w:rsid w:val="00480AC2"/>
    <w:rsid w:val="00481211"/>
    <w:rsid w:val="00481F4B"/>
    <w:rsid w:val="00482075"/>
    <w:rsid w:val="004824B4"/>
    <w:rsid w:val="00482726"/>
    <w:rsid w:val="004829FA"/>
    <w:rsid w:val="00482CE2"/>
    <w:rsid w:val="00482DF8"/>
    <w:rsid w:val="00482EFF"/>
    <w:rsid w:val="00483116"/>
    <w:rsid w:val="004835F5"/>
    <w:rsid w:val="00483798"/>
    <w:rsid w:val="00483827"/>
    <w:rsid w:val="00483C41"/>
    <w:rsid w:val="00483C61"/>
    <w:rsid w:val="00483CCE"/>
    <w:rsid w:val="00483F2D"/>
    <w:rsid w:val="00484098"/>
    <w:rsid w:val="004843FD"/>
    <w:rsid w:val="00484BE8"/>
    <w:rsid w:val="00484D33"/>
    <w:rsid w:val="004855D4"/>
    <w:rsid w:val="00485F5C"/>
    <w:rsid w:val="004860B1"/>
    <w:rsid w:val="00486761"/>
    <w:rsid w:val="00487207"/>
    <w:rsid w:val="004872E9"/>
    <w:rsid w:val="00487375"/>
    <w:rsid w:val="004873C7"/>
    <w:rsid w:val="00487537"/>
    <w:rsid w:val="00487765"/>
    <w:rsid w:val="00487AFB"/>
    <w:rsid w:val="00487CE6"/>
    <w:rsid w:val="00487E61"/>
    <w:rsid w:val="00487F1E"/>
    <w:rsid w:val="00487FB6"/>
    <w:rsid w:val="0049052F"/>
    <w:rsid w:val="00490868"/>
    <w:rsid w:val="00490A71"/>
    <w:rsid w:val="00490D8D"/>
    <w:rsid w:val="004912E6"/>
    <w:rsid w:val="004918DB"/>
    <w:rsid w:val="00491DAA"/>
    <w:rsid w:val="004921AE"/>
    <w:rsid w:val="0049262F"/>
    <w:rsid w:val="004928C6"/>
    <w:rsid w:val="004929F3"/>
    <w:rsid w:val="004929F9"/>
    <w:rsid w:val="00492ADE"/>
    <w:rsid w:val="00492BDE"/>
    <w:rsid w:val="00492E22"/>
    <w:rsid w:val="00492FB5"/>
    <w:rsid w:val="0049364E"/>
    <w:rsid w:val="00493B30"/>
    <w:rsid w:val="00493B51"/>
    <w:rsid w:val="00493CA1"/>
    <w:rsid w:val="00493E14"/>
    <w:rsid w:val="0049439A"/>
    <w:rsid w:val="00494918"/>
    <w:rsid w:val="00494B17"/>
    <w:rsid w:val="00495381"/>
    <w:rsid w:val="0049573A"/>
    <w:rsid w:val="0049579E"/>
    <w:rsid w:val="00495870"/>
    <w:rsid w:val="0049591F"/>
    <w:rsid w:val="004959CD"/>
    <w:rsid w:val="00495AB1"/>
    <w:rsid w:val="00495B17"/>
    <w:rsid w:val="00495BDF"/>
    <w:rsid w:val="004967FD"/>
    <w:rsid w:val="00496B09"/>
    <w:rsid w:val="00496C1A"/>
    <w:rsid w:val="00496D42"/>
    <w:rsid w:val="00497601"/>
    <w:rsid w:val="004976D0"/>
    <w:rsid w:val="004977F8"/>
    <w:rsid w:val="004978A9"/>
    <w:rsid w:val="00497ACA"/>
    <w:rsid w:val="00497C45"/>
    <w:rsid w:val="00497F1A"/>
    <w:rsid w:val="004A04EF"/>
    <w:rsid w:val="004A061C"/>
    <w:rsid w:val="004A0949"/>
    <w:rsid w:val="004A0950"/>
    <w:rsid w:val="004A0C62"/>
    <w:rsid w:val="004A11F3"/>
    <w:rsid w:val="004A1E21"/>
    <w:rsid w:val="004A2534"/>
    <w:rsid w:val="004A25A6"/>
    <w:rsid w:val="004A27F9"/>
    <w:rsid w:val="004A282A"/>
    <w:rsid w:val="004A29F3"/>
    <w:rsid w:val="004A3612"/>
    <w:rsid w:val="004A36BE"/>
    <w:rsid w:val="004A386A"/>
    <w:rsid w:val="004A38EB"/>
    <w:rsid w:val="004A3926"/>
    <w:rsid w:val="004A3A99"/>
    <w:rsid w:val="004A3C95"/>
    <w:rsid w:val="004A3C9C"/>
    <w:rsid w:val="004A3FAB"/>
    <w:rsid w:val="004A4360"/>
    <w:rsid w:val="004A4F68"/>
    <w:rsid w:val="004A5CE6"/>
    <w:rsid w:val="004A6302"/>
    <w:rsid w:val="004A68A8"/>
    <w:rsid w:val="004A6AFB"/>
    <w:rsid w:val="004A6FB5"/>
    <w:rsid w:val="004A6FFA"/>
    <w:rsid w:val="004A73B5"/>
    <w:rsid w:val="004A7516"/>
    <w:rsid w:val="004A7C9B"/>
    <w:rsid w:val="004B01E1"/>
    <w:rsid w:val="004B0292"/>
    <w:rsid w:val="004B03E8"/>
    <w:rsid w:val="004B099C"/>
    <w:rsid w:val="004B0BE8"/>
    <w:rsid w:val="004B0DBB"/>
    <w:rsid w:val="004B0DBD"/>
    <w:rsid w:val="004B10FC"/>
    <w:rsid w:val="004B1332"/>
    <w:rsid w:val="004B1AEF"/>
    <w:rsid w:val="004B1D09"/>
    <w:rsid w:val="004B1D85"/>
    <w:rsid w:val="004B20E0"/>
    <w:rsid w:val="004B21AE"/>
    <w:rsid w:val="004B2664"/>
    <w:rsid w:val="004B2720"/>
    <w:rsid w:val="004B28D7"/>
    <w:rsid w:val="004B2AB3"/>
    <w:rsid w:val="004B2C51"/>
    <w:rsid w:val="004B2D98"/>
    <w:rsid w:val="004B3457"/>
    <w:rsid w:val="004B3531"/>
    <w:rsid w:val="004B3565"/>
    <w:rsid w:val="004B35E4"/>
    <w:rsid w:val="004B3920"/>
    <w:rsid w:val="004B3AF9"/>
    <w:rsid w:val="004B419C"/>
    <w:rsid w:val="004B4329"/>
    <w:rsid w:val="004B4344"/>
    <w:rsid w:val="004B43CD"/>
    <w:rsid w:val="004B43FB"/>
    <w:rsid w:val="004B4501"/>
    <w:rsid w:val="004B4567"/>
    <w:rsid w:val="004B48E6"/>
    <w:rsid w:val="004B4C13"/>
    <w:rsid w:val="004B4C98"/>
    <w:rsid w:val="004B4EFF"/>
    <w:rsid w:val="004B50C3"/>
    <w:rsid w:val="004B5397"/>
    <w:rsid w:val="004B54B5"/>
    <w:rsid w:val="004B6426"/>
    <w:rsid w:val="004B67FF"/>
    <w:rsid w:val="004B6B07"/>
    <w:rsid w:val="004B6C85"/>
    <w:rsid w:val="004B6E1D"/>
    <w:rsid w:val="004B7413"/>
    <w:rsid w:val="004B77F2"/>
    <w:rsid w:val="004B7E6B"/>
    <w:rsid w:val="004C0009"/>
    <w:rsid w:val="004C016B"/>
    <w:rsid w:val="004C0790"/>
    <w:rsid w:val="004C0916"/>
    <w:rsid w:val="004C0A54"/>
    <w:rsid w:val="004C0FDF"/>
    <w:rsid w:val="004C10D1"/>
    <w:rsid w:val="004C12C0"/>
    <w:rsid w:val="004C15E0"/>
    <w:rsid w:val="004C2747"/>
    <w:rsid w:val="004C2F54"/>
    <w:rsid w:val="004C301F"/>
    <w:rsid w:val="004C3176"/>
    <w:rsid w:val="004C33E1"/>
    <w:rsid w:val="004C34CE"/>
    <w:rsid w:val="004C39E1"/>
    <w:rsid w:val="004C3B98"/>
    <w:rsid w:val="004C3CE3"/>
    <w:rsid w:val="004C3D88"/>
    <w:rsid w:val="004C3F58"/>
    <w:rsid w:val="004C41E8"/>
    <w:rsid w:val="004C485D"/>
    <w:rsid w:val="004C4989"/>
    <w:rsid w:val="004C52D1"/>
    <w:rsid w:val="004C5AD1"/>
    <w:rsid w:val="004C5DE3"/>
    <w:rsid w:val="004C5F63"/>
    <w:rsid w:val="004C63F2"/>
    <w:rsid w:val="004C67F6"/>
    <w:rsid w:val="004C6B33"/>
    <w:rsid w:val="004C6C54"/>
    <w:rsid w:val="004C6C56"/>
    <w:rsid w:val="004C6CAD"/>
    <w:rsid w:val="004C7457"/>
    <w:rsid w:val="004C7661"/>
    <w:rsid w:val="004C77EA"/>
    <w:rsid w:val="004D044A"/>
    <w:rsid w:val="004D08EC"/>
    <w:rsid w:val="004D0C12"/>
    <w:rsid w:val="004D0E0A"/>
    <w:rsid w:val="004D1091"/>
    <w:rsid w:val="004D132E"/>
    <w:rsid w:val="004D16FD"/>
    <w:rsid w:val="004D1840"/>
    <w:rsid w:val="004D1898"/>
    <w:rsid w:val="004D1AA9"/>
    <w:rsid w:val="004D1C4A"/>
    <w:rsid w:val="004D2060"/>
    <w:rsid w:val="004D29C3"/>
    <w:rsid w:val="004D2A7E"/>
    <w:rsid w:val="004D2AB7"/>
    <w:rsid w:val="004D2C88"/>
    <w:rsid w:val="004D2F9B"/>
    <w:rsid w:val="004D32DA"/>
    <w:rsid w:val="004D33BB"/>
    <w:rsid w:val="004D355D"/>
    <w:rsid w:val="004D378A"/>
    <w:rsid w:val="004D3A14"/>
    <w:rsid w:val="004D3CDB"/>
    <w:rsid w:val="004D3D2F"/>
    <w:rsid w:val="004D3F30"/>
    <w:rsid w:val="004D440B"/>
    <w:rsid w:val="004D4527"/>
    <w:rsid w:val="004D46B3"/>
    <w:rsid w:val="004D52F4"/>
    <w:rsid w:val="004D55CE"/>
    <w:rsid w:val="004D575D"/>
    <w:rsid w:val="004D57C2"/>
    <w:rsid w:val="004D5BF0"/>
    <w:rsid w:val="004D5DF8"/>
    <w:rsid w:val="004D6183"/>
    <w:rsid w:val="004D6232"/>
    <w:rsid w:val="004D65F2"/>
    <w:rsid w:val="004D6901"/>
    <w:rsid w:val="004D6DF7"/>
    <w:rsid w:val="004D7296"/>
    <w:rsid w:val="004D7347"/>
    <w:rsid w:val="004D780C"/>
    <w:rsid w:val="004D797F"/>
    <w:rsid w:val="004D7C64"/>
    <w:rsid w:val="004D7CA1"/>
    <w:rsid w:val="004E0230"/>
    <w:rsid w:val="004E0400"/>
    <w:rsid w:val="004E0749"/>
    <w:rsid w:val="004E08E1"/>
    <w:rsid w:val="004E0F19"/>
    <w:rsid w:val="004E0F62"/>
    <w:rsid w:val="004E103D"/>
    <w:rsid w:val="004E1362"/>
    <w:rsid w:val="004E19B7"/>
    <w:rsid w:val="004E1A82"/>
    <w:rsid w:val="004E1C91"/>
    <w:rsid w:val="004E2196"/>
    <w:rsid w:val="004E2527"/>
    <w:rsid w:val="004E2890"/>
    <w:rsid w:val="004E2DE9"/>
    <w:rsid w:val="004E2FC1"/>
    <w:rsid w:val="004E347A"/>
    <w:rsid w:val="004E3A29"/>
    <w:rsid w:val="004E3AA2"/>
    <w:rsid w:val="004E4140"/>
    <w:rsid w:val="004E42AF"/>
    <w:rsid w:val="004E4658"/>
    <w:rsid w:val="004E49C4"/>
    <w:rsid w:val="004E4E81"/>
    <w:rsid w:val="004E528D"/>
    <w:rsid w:val="004E546D"/>
    <w:rsid w:val="004E56BF"/>
    <w:rsid w:val="004E5B35"/>
    <w:rsid w:val="004E5C4B"/>
    <w:rsid w:val="004E5E96"/>
    <w:rsid w:val="004E61B9"/>
    <w:rsid w:val="004E68E0"/>
    <w:rsid w:val="004E6A47"/>
    <w:rsid w:val="004E6B9A"/>
    <w:rsid w:val="004E6BE1"/>
    <w:rsid w:val="004E6FF2"/>
    <w:rsid w:val="004E7095"/>
    <w:rsid w:val="004E7145"/>
    <w:rsid w:val="004E7236"/>
    <w:rsid w:val="004E7304"/>
    <w:rsid w:val="004E75C5"/>
    <w:rsid w:val="004E78E0"/>
    <w:rsid w:val="004E7E56"/>
    <w:rsid w:val="004E7E87"/>
    <w:rsid w:val="004F0144"/>
    <w:rsid w:val="004F020C"/>
    <w:rsid w:val="004F02E0"/>
    <w:rsid w:val="004F0467"/>
    <w:rsid w:val="004F069C"/>
    <w:rsid w:val="004F07E4"/>
    <w:rsid w:val="004F0D15"/>
    <w:rsid w:val="004F0ED6"/>
    <w:rsid w:val="004F0EDA"/>
    <w:rsid w:val="004F0F8B"/>
    <w:rsid w:val="004F11A4"/>
    <w:rsid w:val="004F1363"/>
    <w:rsid w:val="004F14E0"/>
    <w:rsid w:val="004F1A82"/>
    <w:rsid w:val="004F2055"/>
    <w:rsid w:val="004F2146"/>
    <w:rsid w:val="004F269A"/>
    <w:rsid w:val="004F2781"/>
    <w:rsid w:val="004F2D0A"/>
    <w:rsid w:val="004F2F12"/>
    <w:rsid w:val="004F3206"/>
    <w:rsid w:val="004F3484"/>
    <w:rsid w:val="004F3571"/>
    <w:rsid w:val="004F375A"/>
    <w:rsid w:val="004F3934"/>
    <w:rsid w:val="004F3939"/>
    <w:rsid w:val="004F3C77"/>
    <w:rsid w:val="004F3DA2"/>
    <w:rsid w:val="004F3F6A"/>
    <w:rsid w:val="004F417C"/>
    <w:rsid w:val="004F41F2"/>
    <w:rsid w:val="004F4492"/>
    <w:rsid w:val="004F4552"/>
    <w:rsid w:val="004F4C9A"/>
    <w:rsid w:val="004F4D21"/>
    <w:rsid w:val="004F4F2E"/>
    <w:rsid w:val="004F4FF7"/>
    <w:rsid w:val="004F5722"/>
    <w:rsid w:val="004F5792"/>
    <w:rsid w:val="004F5CB1"/>
    <w:rsid w:val="004F5CCA"/>
    <w:rsid w:val="004F5CCF"/>
    <w:rsid w:val="004F600D"/>
    <w:rsid w:val="004F605A"/>
    <w:rsid w:val="004F639A"/>
    <w:rsid w:val="004F661D"/>
    <w:rsid w:val="004F6986"/>
    <w:rsid w:val="004F7908"/>
    <w:rsid w:val="004F7B77"/>
    <w:rsid w:val="0050061B"/>
    <w:rsid w:val="005006F3"/>
    <w:rsid w:val="0050082C"/>
    <w:rsid w:val="00500CD0"/>
    <w:rsid w:val="00500E85"/>
    <w:rsid w:val="005019A5"/>
    <w:rsid w:val="005019B2"/>
    <w:rsid w:val="00501BB0"/>
    <w:rsid w:val="00501C25"/>
    <w:rsid w:val="0050225D"/>
    <w:rsid w:val="00502404"/>
    <w:rsid w:val="005027B1"/>
    <w:rsid w:val="00502A67"/>
    <w:rsid w:val="00502AA3"/>
    <w:rsid w:val="00502B73"/>
    <w:rsid w:val="00502C10"/>
    <w:rsid w:val="00502F57"/>
    <w:rsid w:val="00502FE3"/>
    <w:rsid w:val="00502FF6"/>
    <w:rsid w:val="0050382E"/>
    <w:rsid w:val="005038E9"/>
    <w:rsid w:val="00503E31"/>
    <w:rsid w:val="00503FEA"/>
    <w:rsid w:val="00504000"/>
    <w:rsid w:val="005046EA"/>
    <w:rsid w:val="0050479A"/>
    <w:rsid w:val="00504A66"/>
    <w:rsid w:val="00504B65"/>
    <w:rsid w:val="00504D6C"/>
    <w:rsid w:val="00505286"/>
    <w:rsid w:val="005053D2"/>
    <w:rsid w:val="00505553"/>
    <w:rsid w:val="0050564B"/>
    <w:rsid w:val="00505ADB"/>
    <w:rsid w:val="00506173"/>
    <w:rsid w:val="005062E4"/>
    <w:rsid w:val="005065EF"/>
    <w:rsid w:val="0050693C"/>
    <w:rsid w:val="00506BA5"/>
    <w:rsid w:val="00506CEF"/>
    <w:rsid w:val="00506DA2"/>
    <w:rsid w:val="00506EB8"/>
    <w:rsid w:val="00507028"/>
    <w:rsid w:val="0050732B"/>
    <w:rsid w:val="00507A2B"/>
    <w:rsid w:val="00507A8D"/>
    <w:rsid w:val="00507D72"/>
    <w:rsid w:val="0051037C"/>
    <w:rsid w:val="005103D9"/>
    <w:rsid w:val="0051098A"/>
    <w:rsid w:val="00510BB4"/>
    <w:rsid w:val="00510EE6"/>
    <w:rsid w:val="00510EF8"/>
    <w:rsid w:val="0051165A"/>
    <w:rsid w:val="0051197C"/>
    <w:rsid w:val="00511BA5"/>
    <w:rsid w:val="00511DA6"/>
    <w:rsid w:val="00512056"/>
    <w:rsid w:val="005121F7"/>
    <w:rsid w:val="00512211"/>
    <w:rsid w:val="005125AB"/>
    <w:rsid w:val="0051284B"/>
    <w:rsid w:val="00512BDE"/>
    <w:rsid w:val="00512CCA"/>
    <w:rsid w:val="005130C6"/>
    <w:rsid w:val="00513BD4"/>
    <w:rsid w:val="00513D39"/>
    <w:rsid w:val="0051434D"/>
    <w:rsid w:val="005145DA"/>
    <w:rsid w:val="005148A1"/>
    <w:rsid w:val="00514996"/>
    <w:rsid w:val="005149BF"/>
    <w:rsid w:val="005149F7"/>
    <w:rsid w:val="005150A3"/>
    <w:rsid w:val="005156E6"/>
    <w:rsid w:val="00515B30"/>
    <w:rsid w:val="005162ED"/>
    <w:rsid w:val="0051649C"/>
    <w:rsid w:val="0051650D"/>
    <w:rsid w:val="005166FD"/>
    <w:rsid w:val="00516AB4"/>
    <w:rsid w:val="00516BAF"/>
    <w:rsid w:val="00517460"/>
    <w:rsid w:val="005174A3"/>
    <w:rsid w:val="005179A3"/>
    <w:rsid w:val="00517B3E"/>
    <w:rsid w:val="00517C05"/>
    <w:rsid w:val="00517C1D"/>
    <w:rsid w:val="00517CE6"/>
    <w:rsid w:val="00517D6E"/>
    <w:rsid w:val="0052000B"/>
    <w:rsid w:val="005201C2"/>
    <w:rsid w:val="005203A0"/>
    <w:rsid w:val="0052083A"/>
    <w:rsid w:val="00520BA7"/>
    <w:rsid w:val="0052126E"/>
    <w:rsid w:val="005216E4"/>
    <w:rsid w:val="00521FED"/>
    <w:rsid w:val="005227FA"/>
    <w:rsid w:val="0052282A"/>
    <w:rsid w:val="00522A55"/>
    <w:rsid w:val="00522C0E"/>
    <w:rsid w:val="00522C8A"/>
    <w:rsid w:val="00523056"/>
    <w:rsid w:val="0052316B"/>
    <w:rsid w:val="00523411"/>
    <w:rsid w:val="005236B5"/>
    <w:rsid w:val="00523F15"/>
    <w:rsid w:val="0052411C"/>
    <w:rsid w:val="00524505"/>
    <w:rsid w:val="005248DC"/>
    <w:rsid w:val="00524AA3"/>
    <w:rsid w:val="00524D45"/>
    <w:rsid w:val="00525037"/>
    <w:rsid w:val="005251C2"/>
    <w:rsid w:val="00525259"/>
    <w:rsid w:val="005252A1"/>
    <w:rsid w:val="00525BD3"/>
    <w:rsid w:val="00526AD8"/>
    <w:rsid w:val="00526BB2"/>
    <w:rsid w:val="00526E16"/>
    <w:rsid w:val="00527425"/>
    <w:rsid w:val="00527DA8"/>
    <w:rsid w:val="00527E13"/>
    <w:rsid w:val="00530599"/>
    <w:rsid w:val="00530A32"/>
    <w:rsid w:val="00530ABE"/>
    <w:rsid w:val="00530B59"/>
    <w:rsid w:val="00530BA6"/>
    <w:rsid w:val="00530C19"/>
    <w:rsid w:val="00530F15"/>
    <w:rsid w:val="00531697"/>
    <w:rsid w:val="005318C2"/>
    <w:rsid w:val="005319A5"/>
    <w:rsid w:val="00531A50"/>
    <w:rsid w:val="00531A60"/>
    <w:rsid w:val="00531F0A"/>
    <w:rsid w:val="00532914"/>
    <w:rsid w:val="00532C0F"/>
    <w:rsid w:val="00532DA8"/>
    <w:rsid w:val="00532EF8"/>
    <w:rsid w:val="005330B7"/>
    <w:rsid w:val="0053324B"/>
    <w:rsid w:val="00533964"/>
    <w:rsid w:val="00533B94"/>
    <w:rsid w:val="00534346"/>
    <w:rsid w:val="005343C8"/>
    <w:rsid w:val="00534641"/>
    <w:rsid w:val="00534727"/>
    <w:rsid w:val="0053478A"/>
    <w:rsid w:val="0053483E"/>
    <w:rsid w:val="00534B78"/>
    <w:rsid w:val="00534E7E"/>
    <w:rsid w:val="00535250"/>
    <w:rsid w:val="005353FF"/>
    <w:rsid w:val="00536B3F"/>
    <w:rsid w:val="00536C31"/>
    <w:rsid w:val="0053705F"/>
    <w:rsid w:val="005371AF"/>
    <w:rsid w:val="0053725F"/>
    <w:rsid w:val="00537590"/>
    <w:rsid w:val="0053790D"/>
    <w:rsid w:val="005379B8"/>
    <w:rsid w:val="00537BE5"/>
    <w:rsid w:val="00537D83"/>
    <w:rsid w:val="00540109"/>
    <w:rsid w:val="005409BA"/>
    <w:rsid w:val="00540D13"/>
    <w:rsid w:val="00540D87"/>
    <w:rsid w:val="00540F8C"/>
    <w:rsid w:val="00540FB7"/>
    <w:rsid w:val="0054128C"/>
    <w:rsid w:val="005417F6"/>
    <w:rsid w:val="00541882"/>
    <w:rsid w:val="00541EAD"/>
    <w:rsid w:val="005422EF"/>
    <w:rsid w:val="00542817"/>
    <w:rsid w:val="00542B7E"/>
    <w:rsid w:val="00542C3C"/>
    <w:rsid w:val="00542D62"/>
    <w:rsid w:val="00543327"/>
    <w:rsid w:val="005435FE"/>
    <w:rsid w:val="00543683"/>
    <w:rsid w:val="00543ADC"/>
    <w:rsid w:val="00543B7F"/>
    <w:rsid w:val="00543F04"/>
    <w:rsid w:val="00543F0B"/>
    <w:rsid w:val="005441AF"/>
    <w:rsid w:val="005441E3"/>
    <w:rsid w:val="005442CA"/>
    <w:rsid w:val="0054430E"/>
    <w:rsid w:val="005447B9"/>
    <w:rsid w:val="00544871"/>
    <w:rsid w:val="00544D91"/>
    <w:rsid w:val="00544FA5"/>
    <w:rsid w:val="0054519F"/>
    <w:rsid w:val="00545518"/>
    <w:rsid w:val="00545D78"/>
    <w:rsid w:val="00546056"/>
    <w:rsid w:val="005460F1"/>
    <w:rsid w:val="005461E2"/>
    <w:rsid w:val="0054636C"/>
    <w:rsid w:val="005464E8"/>
    <w:rsid w:val="0054674A"/>
    <w:rsid w:val="00546998"/>
    <w:rsid w:val="00546D30"/>
    <w:rsid w:val="00546EB7"/>
    <w:rsid w:val="00546F7D"/>
    <w:rsid w:val="00546F9F"/>
    <w:rsid w:val="005473D3"/>
    <w:rsid w:val="005475C4"/>
    <w:rsid w:val="005477C3"/>
    <w:rsid w:val="005479C0"/>
    <w:rsid w:val="00547E57"/>
    <w:rsid w:val="00550055"/>
    <w:rsid w:val="005500A2"/>
    <w:rsid w:val="005500D2"/>
    <w:rsid w:val="00550122"/>
    <w:rsid w:val="005505C5"/>
    <w:rsid w:val="00550876"/>
    <w:rsid w:val="005514B1"/>
    <w:rsid w:val="0055151D"/>
    <w:rsid w:val="00551CBA"/>
    <w:rsid w:val="00552883"/>
    <w:rsid w:val="00552D72"/>
    <w:rsid w:val="00552FE7"/>
    <w:rsid w:val="00553032"/>
    <w:rsid w:val="00553264"/>
    <w:rsid w:val="00553357"/>
    <w:rsid w:val="00553374"/>
    <w:rsid w:val="005537C5"/>
    <w:rsid w:val="00554633"/>
    <w:rsid w:val="00554CF9"/>
    <w:rsid w:val="00555323"/>
    <w:rsid w:val="005557F4"/>
    <w:rsid w:val="00555AC4"/>
    <w:rsid w:val="00555B25"/>
    <w:rsid w:val="00555BE8"/>
    <w:rsid w:val="00555DB3"/>
    <w:rsid w:val="00555FA6"/>
    <w:rsid w:val="00556413"/>
    <w:rsid w:val="0055664B"/>
    <w:rsid w:val="005568F3"/>
    <w:rsid w:val="00556943"/>
    <w:rsid w:val="00556A86"/>
    <w:rsid w:val="00556B29"/>
    <w:rsid w:val="00557028"/>
    <w:rsid w:val="005570AC"/>
    <w:rsid w:val="00557137"/>
    <w:rsid w:val="005571F9"/>
    <w:rsid w:val="005575B9"/>
    <w:rsid w:val="00557775"/>
    <w:rsid w:val="005578B0"/>
    <w:rsid w:val="005578EA"/>
    <w:rsid w:val="005579D8"/>
    <w:rsid w:val="0056002E"/>
    <w:rsid w:val="005600BC"/>
    <w:rsid w:val="0056043F"/>
    <w:rsid w:val="00560CDF"/>
    <w:rsid w:val="005610BA"/>
    <w:rsid w:val="00561B0E"/>
    <w:rsid w:val="00561B25"/>
    <w:rsid w:val="00561F8B"/>
    <w:rsid w:val="00562199"/>
    <w:rsid w:val="005622DA"/>
    <w:rsid w:val="00562353"/>
    <w:rsid w:val="00562411"/>
    <w:rsid w:val="00562A25"/>
    <w:rsid w:val="00562C66"/>
    <w:rsid w:val="005630F4"/>
    <w:rsid w:val="0056324F"/>
    <w:rsid w:val="00563460"/>
    <w:rsid w:val="00563509"/>
    <w:rsid w:val="00563696"/>
    <w:rsid w:val="005639EE"/>
    <w:rsid w:val="00563C3C"/>
    <w:rsid w:val="00563D0E"/>
    <w:rsid w:val="005643F9"/>
    <w:rsid w:val="005645E8"/>
    <w:rsid w:val="0056482E"/>
    <w:rsid w:val="00564B8C"/>
    <w:rsid w:val="0056504A"/>
    <w:rsid w:val="005654D8"/>
    <w:rsid w:val="005654F5"/>
    <w:rsid w:val="00565653"/>
    <w:rsid w:val="00565AFF"/>
    <w:rsid w:val="00565D2D"/>
    <w:rsid w:val="0056673E"/>
    <w:rsid w:val="005668B1"/>
    <w:rsid w:val="00566A50"/>
    <w:rsid w:val="00566B31"/>
    <w:rsid w:val="00566BE5"/>
    <w:rsid w:val="00566CEE"/>
    <w:rsid w:val="00566D37"/>
    <w:rsid w:val="00566D52"/>
    <w:rsid w:val="00566F85"/>
    <w:rsid w:val="0056714F"/>
    <w:rsid w:val="00567248"/>
    <w:rsid w:val="00567DEF"/>
    <w:rsid w:val="00570118"/>
    <w:rsid w:val="005701DF"/>
    <w:rsid w:val="00570379"/>
    <w:rsid w:val="00570EF1"/>
    <w:rsid w:val="00570F48"/>
    <w:rsid w:val="0057102F"/>
    <w:rsid w:val="0057104D"/>
    <w:rsid w:val="00571310"/>
    <w:rsid w:val="00571411"/>
    <w:rsid w:val="005716A0"/>
    <w:rsid w:val="005717DD"/>
    <w:rsid w:val="005718BD"/>
    <w:rsid w:val="00572036"/>
    <w:rsid w:val="00572086"/>
    <w:rsid w:val="0057255F"/>
    <w:rsid w:val="005726C3"/>
    <w:rsid w:val="00572C58"/>
    <w:rsid w:val="00572D27"/>
    <w:rsid w:val="005730D8"/>
    <w:rsid w:val="00573645"/>
    <w:rsid w:val="00573777"/>
    <w:rsid w:val="005739BA"/>
    <w:rsid w:val="00573D72"/>
    <w:rsid w:val="00573EE4"/>
    <w:rsid w:val="005743A2"/>
    <w:rsid w:val="00574470"/>
    <w:rsid w:val="005748A9"/>
    <w:rsid w:val="00574AB7"/>
    <w:rsid w:val="00574BF9"/>
    <w:rsid w:val="005750F3"/>
    <w:rsid w:val="00575945"/>
    <w:rsid w:val="00575A0C"/>
    <w:rsid w:val="00575BF4"/>
    <w:rsid w:val="00575F5B"/>
    <w:rsid w:val="00575F92"/>
    <w:rsid w:val="00576431"/>
    <w:rsid w:val="00576BD2"/>
    <w:rsid w:val="00576E34"/>
    <w:rsid w:val="00576FF3"/>
    <w:rsid w:val="0057709C"/>
    <w:rsid w:val="00577225"/>
    <w:rsid w:val="00577296"/>
    <w:rsid w:val="005772B0"/>
    <w:rsid w:val="005773F4"/>
    <w:rsid w:val="00577498"/>
    <w:rsid w:val="005774B6"/>
    <w:rsid w:val="00577869"/>
    <w:rsid w:val="005807B5"/>
    <w:rsid w:val="00580B3C"/>
    <w:rsid w:val="00580BF9"/>
    <w:rsid w:val="00580E13"/>
    <w:rsid w:val="00580F2A"/>
    <w:rsid w:val="00580FBB"/>
    <w:rsid w:val="00580FD5"/>
    <w:rsid w:val="00581429"/>
    <w:rsid w:val="005816E9"/>
    <w:rsid w:val="005824D7"/>
    <w:rsid w:val="005827EA"/>
    <w:rsid w:val="00582C22"/>
    <w:rsid w:val="0058314A"/>
    <w:rsid w:val="00583901"/>
    <w:rsid w:val="00583939"/>
    <w:rsid w:val="00583CF8"/>
    <w:rsid w:val="00584085"/>
    <w:rsid w:val="00584200"/>
    <w:rsid w:val="00584638"/>
    <w:rsid w:val="00584708"/>
    <w:rsid w:val="00584855"/>
    <w:rsid w:val="00584984"/>
    <w:rsid w:val="00584AF4"/>
    <w:rsid w:val="00584F71"/>
    <w:rsid w:val="00585FC4"/>
    <w:rsid w:val="00586B55"/>
    <w:rsid w:val="00586C34"/>
    <w:rsid w:val="00586CA8"/>
    <w:rsid w:val="00586CC7"/>
    <w:rsid w:val="00586D60"/>
    <w:rsid w:val="00587169"/>
    <w:rsid w:val="00587543"/>
    <w:rsid w:val="00587C31"/>
    <w:rsid w:val="00587C82"/>
    <w:rsid w:val="00590459"/>
    <w:rsid w:val="005906C2"/>
    <w:rsid w:val="0059073F"/>
    <w:rsid w:val="005908D7"/>
    <w:rsid w:val="00590DD0"/>
    <w:rsid w:val="00590E5E"/>
    <w:rsid w:val="00591389"/>
    <w:rsid w:val="00591409"/>
    <w:rsid w:val="0059198A"/>
    <w:rsid w:val="00591B58"/>
    <w:rsid w:val="0059283D"/>
    <w:rsid w:val="00592A3B"/>
    <w:rsid w:val="00592E1D"/>
    <w:rsid w:val="005932A0"/>
    <w:rsid w:val="00593439"/>
    <w:rsid w:val="005936EA"/>
    <w:rsid w:val="0059385D"/>
    <w:rsid w:val="005942BC"/>
    <w:rsid w:val="005943F1"/>
    <w:rsid w:val="0059466B"/>
    <w:rsid w:val="005946C1"/>
    <w:rsid w:val="0059478D"/>
    <w:rsid w:val="00594A0A"/>
    <w:rsid w:val="00594E45"/>
    <w:rsid w:val="0059542A"/>
    <w:rsid w:val="005955A1"/>
    <w:rsid w:val="005955C4"/>
    <w:rsid w:val="00595D81"/>
    <w:rsid w:val="005961EF"/>
    <w:rsid w:val="00596214"/>
    <w:rsid w:val="005963F8"/>
    <w:rsid w:val="00596530"/>
    <w:rsid w:val="00596975"/>
    <w:rsid w:val="00596D8E"/>
    <w:rsid w:val="00596DB8"/>
    <w:rsid w:val="0059754C"/>
    <w:rsid w:val="00597D1B"/>
    <w:rsid w:val="005A02AC"/>
    <w:rsid w:val="005A0686"/>
    <w:rsid w:val="005A084C"/>
    <w:rsid w:val="005A0AAB"/>
    <w:rsid w:val="005A0E63"/>
    <w:rsid w:val="005A14EC"/>
    <w:rsid w:val="005A1741"/>
    <w:rsid w:val="005A183E"/>
    <w:rsid w:val="005A20E7"/>
    <w:rsid w:val="005A23AB"/>
    <w:rsid w:val="005A2501"/>
    <w:rsid w:val="005A2834"/>
    <w:rsid w:val="005A2841"/>
    <w:rsid w:val="005A284D"/>
    <w:rsid w:val="005A2D24"/>
    <w:rsid w:val="005A2F4D"/>
    <w:rsid w:val="005A337C"/>
    <w:rsid w:val="005A3668"/>
    <w:rsid w:val="005A3C62"/>
    <w:rsid w:val="005A3EC5"/>
    <w:rsid w:val="005A4306"/>
    <w:rsid w:val="005A4359"/>
    <w:rsid w:val="005A43F3"/>
    <w:rsid w:val="005A4DBC"/>
    <w:rsid w:val="005A4E61"/>
    <w:rsid w:val="005A503F"/>
    <w:rsid w:val="005A51BB"/>
    <w:rsid w:val="005A53D9"/>
    <w:rsid w:val="005A5636"/>
    <w:rsid w:val="005A585A"/>
    <w:rsid w:val="005A59EC"/>
    <w:rsid w:val="005A5DF0"/>
    <w:rsid w:val="005A6111"/>
    <w:rsid w:val="005A618F"/>
    <w:rsid w:val="005A6337"/>
    <w:rsid w:val="005A659C"/>
    <w:rsid w:val="005A66A8"/>
    <w:rsid w:val="005A6855"/>
    <w:rsid w:val="005A6859"/>
    <w:rsid w:val="005A6B31"/>
    <w:rsid w:val="005A6D03"/>
    <w:rsid w:val="005A6D52"/>
    <w:rsid w:val="005A6E84"/>
    <w:rsid w:val="005A6F78"/>
    <w:rsid w:val="005A720E"/>
    <w:rsid w:val="005A758E"/>
    <w:rsid w:val="005A77A8"/>
    <w:rsid w:val="005A7D71"/>
    <w:rsid w:val="005B0213"/>
    <w:rsid w:val="005B04EC"/>
    <w:rsid w:val="005B0876"/>
    <w:rsid w:val="005B08E8"/>
    <w:rsid w:val="005B090A"/>
    <w:rsid w:val="005B0962"/>
    <w:rsid w:val="005B0995"/>
    <w:rsid w:val="005B0C4F"/>
    <w:rsid w:val="005B1DDC"/>
    <w:rsid w:val="005B2229"/>
    <w:rsid w:val="005B2335"/>
    <w:rsid w:val="005B24BE"/>
    <w:rsid w:val="005B2B79"/>
    <w:rsid w:val="005B2C88"/>
    <w:rsid w:val="005B33A9"/>
    <w:rsid w:val="005B35F7"/>
    <w:rsid w:val="005B479A"/>
    <w:rsid w:val="005B4AC4"/>
    <w:rsid w:val="005B4AF7"/>
    <w:rsid w:val="005B4BE9"/>
    <w:rsid w:val="005B4D3B"/>
    <w:rsid w:val="005B4F15"/>
    <w:rsid w:val="005B5023"/>
    <w:rsid w:val="005B52EE"/>
    <w:rsid w:val="005B5469"/>
    <w:rsid w:val="005B5563"/>
    <w:rsid w:val="005B5882"/>
    <w:rsid w:val="005B59B2"/>
    <w:rsid w:val="005B5ACB"/>
    <w:rsid w:val="005B5E72"/>
    <w:rsid w:val="005B631B"/>
    <w:rsid w:val="005B657B"/>
    <w:rsid w:val="005B658E"/>
    <w:rsid w:val="005B65FC"/>
    <w:rsid w:val="005B7373"/>
    <w:rsid w:val="005B75AF"/>
    <w:rsid w:val="005B7657"/>
    <w:rsid w:val="005B7C65"/>
    <w:rsid w:val="005C006B"/>
    <w:rsid w:val="005C01E9"/>
    <w:rsid w:val="005C04A6"/>
    <w:rsid w:val="005C0625"/>
    <w:rsid w:val="005C0909"/>
    <w:rsid w:val="005C0971"/>
    <w:rsid w:val="005C0BD4"/>
    <w:rsid w:val="005C0E17"/>
    <w:rsid w:val="005C0E47"/>
    <w:rsid w:val="005C164C"/>
    <w:rsid w:val="005C1C8E"/>
    <w:rsid w:val="005C1EEC"/>
    <w:rsid w:val="005C2045"/>
    <w:rsid w:val="005C2991"/>
    <w:rsid w:val="005C2B63"/>
    <w:rsid w:val="005C2F02"/>
    <w:rsid w:val="005C37E2"/>
    <w:rsid w:val="005C3E0F"/>
    <w:rsid w:val="005C409A"/>
    <w:rsid w:val="005C4126"/>
    <w:rsid w:val="005C462B"/>
    <w:rsid w:val="005C4889"/>
    <w:rsid w:val="005C540C"/>
    <w:rsid w:val="005C5898"/>
    <w:rsid w:val="005C5B7E"/>
    <w:rsid w:val="005C61CA"/>
    <w:rsid w:val="005C624A"/>
    <w:rsid w:val="005C6313"/>
    <w:rsid w:val="005C6560"/>
    <w:rsid w:val="005C6985"/>
    <w:rsid w:val="005C6BB7"/>
    <w:rsid w:val="005C6BBD"/>
    <w:rsid w:val="005C6C5B"/>
    <w:rsid w:val="005C70ED"/>
    <w:rsid w:val="005C7573"/>
    <w:rsid w:val="005C782C"/>
    <w:rsid w:val="005C7C0F"/>
    <w:rsid w:val="005C7DBC"/>
    <w:rsid w:val="005D0725"/>
    <w:rsid w:val="005D077D"/>
    <w:rsid w:val="005D0C73"/>
    <w:rsid w:val="005D0F6E"/>
    <w:rsid w:val="005D106E"/>
    <w:rsid w:val="005D1635"/>
    <w:rsid w:val="005D195E"/>
    <w:rsid w:val="005D1A73"/>
    <w:rsid w:val="005D1D49"/>
    <w:rsid w:val="005D21C5"/>
    <w:rsid w:val="005D23D2"/>
    <w:rsid w:val="005D23E9"/>
    <w:rsid w:val="005D2C9E"/>
    <w:rsid w:val="005D2D9A"/>
    <w:rsid w:val="005D30A6"/>
    <w:rsid w:val="005D30C8"/>
    <w:rsid w:val="005D3101"/>
    <w:rsid w:val="005D3924"/>
    <w:rsid w:val="005D3C75"/>
    <w:rsid w:val="005D4000"/>
    <w:rsid w:val="005D4059"/>
    <w:rsid w:val="005D42D1"/>
    <w:rsid w:val="005D42D6"/>
    <w:rsid w:val="005D4951"/>
    <w:rsid w:val="005D49E8"/>
    <w:rsid w:val="005D52FB"/>
    <w:rsid w:val="005D5521"/>
    <w:rsid w:val="005D5AF2"/>
    <w:rsid w:val="005D5CD6"/>
    <w:rsid w:val="005D5EED"/>
    <w:rsid w:val="005D6013"/>
    <w:rsid w:val="005D6185"/>
    <w:rsid w:val="005D6428"/>
    <w:rsid w:val="005D64EC"/>
    <w:rsid w:val="005D652F"/>
    <w:rsid w:val="005D658A"/>
    <w:rsid w:val="005D69FF"/>
    <w:rsid w:val="005D6DB5"/>
    <w:rsid w:val="005D6E59"/>
    <w:rsid w:val="005D6FA5"/>
    <w:rsid w:val="005D7076"/>
    <w:rsid w:val="005D7999"/>
    <w:rsid w:val="005D7F79"/>
    <w:rsid w:val="005D7FE1"/>
    <w:rsid w:val="005E0156"/>
    <w:rsid w:val="005E01F2"/>
    <w:rsid w:val="005E03D6"/>
    <w:rsid w:val="005E0921"/>
    <w:rsid w:val="005E0AA6"/>
    <w:rsid w:val="005E0F50"/>
    <w:rsid w:val="005E17B6"/>
    <w:rsid w:val="005E18BA"/>
    <w:rsid w:val="005E1F57"/>
    <w:rsid w:val="005E26FB"/>
    <w:rsid w:val="005E2A64"/>
    <w:rsid w:val="005E2BCA"/>
    <w:rsid w:val="005E2D41"/>
    <w:rsid w:val="005E3159"/>
    <w:rsid w:val="005E3BDD"/>
    <w:rsid w:val="005E41D8"/>
    <w:rsid w:val="005E45E5"/>
    <w:rsid w:val="005E471C"/>
    <w:rsid w:val="005E4C1B"/>
    <w:rsid w:val="005E4C99"/>
    <w:rsid w:val="005E4FE0"/>
    <w:rsid w:val="005E5676"/>
    <w:rsid w:val="005E5958"/>
    <w:rsid w:val="005E5AF5"/>
    <w:rsid w:val="005E5F49"/>
    <w:rsid w:val="005E5FCD"/>
    <w:rsid w:val="005E60CE"/>
    <w:rsid w:val="005E6229"/>
    <w:rsid w:val="005E67CE"/>
    <w:rsid w:val="005E6EA8"/>
    <w:rsid w:val="005E705B"/>
    <w:rsid w:val="005E7A91"/>
    <w:rsid w:val="005E7C6E"/>
    <w:rsid w:val="005F0604"/>
    <w:rsid w:val="005F0D2D"/>
    <w:rsid w:val="005F0E59"/>
    <w:rsid w:val="005F12E2"/>
    <w:rsid w:val="005F1D0F"/>
    <w:rsid w:val="005F25A8"/>
    <w:rsid w:val="005F27FE"/>
    <w:rsid w:val="005F289E"/>
    <w:rsid w:val="005F2D97"/>
    <w:rsid w:val="005F3434"/>
    <w:rsid w:val="005F38BA"/>
    <w:rsid w:val="005F3F66"/>
    <w:rsid w:val="005F46D2"/>
    <w:rsid w:val="005F4DDB"/>
    <w:rsid w:val="005F4E89"/>
    <w:rsid w:val="005F5364"/>
    <w:rsid w:val="005F53AD"/>
    <w:rsid w:val="005F5C58"/>
    <w:rsid w:val="005F5F00"/>
    <w:rsid w:val="005F5F43"/>
    <w:rsid w:val="005F680B"/>
    <w:rsid w:val="005F7353"/>
    <w:rsid w:val="005F7761"/>
    <w:rsid w:val="005F7F72"/>
    <w:rsid w:val="0060015A"/>
    <w:rsid w:val="006005C6"/>
    <w:rsid w:val="006011EB"/>
    <w:rsid w:val="0060157D"/>
    <w:rsid w:val="00601BA1"/>
    <w:rsid w:val="006020C2"/>
    <w:rsid w:val="006023FD"/>
    <w:rsid w:val="00602620"/>
    <w:rsid w:val="006026BF"/>
    <w:rsid w:val="006026D7"/>
    <w:rsid w:val="00602744"/>
    <w:rsid w:val="00602767"/>
    <w:rsid w:val="00602862"/>
    <w:rsid w:val="0060322B"/>
    <w:rsid w:val="006033EB"/>
    <w:rsid w:val="00603477"/>
    <w:rsid w:val="00603676"/>
    <w:rsid w:val="00603697"/>
    <w:rsid w:val="006039E7"/>
    <w:rsid w:val="006039F8"/>
    <w:rsid w:val="00603B35"/>
    <w:rsid w:val="00603DEF"/>
    <w:rsid w:val="006045A9"/>
    <w:rsid w:val="006049C2"/>
    <w:rsid w:val="00604B7A"/>
    <w:rsid w:val="006052E1"/>
    <w:rsid w:val="006056C1"/>
    <w:rsid w:val="00605F54"/>
    <w:rsid w:val="00606037"/>
    <w:rsid w:val="006065F0"/>
    <w:rsid w:val="0060699B"/>
    <w:rsid w:val="00606D1E"/>
    <w:rsid w:val="00606DDB"/>
    <w:rsid w:val="0060701F"/>
    <w:rsid w:val="00607511"/>
    <w:rsid w:val="006075A1"/>
    <w:rsid w:val="00607603"/>
    <w:rsid w:val="006076B1"/>
    <w:rsid w:val="00607DC3"/>
    <w:rsid w:val="00607DEE"/>
    <w:rsid w:val="0061000B"/>
    <w:rsid w:val="0061074E"/>
    <w:rsid w:val="006107D0"/>
    <w:rsid w:val="00610899"/>
    <w:rsid w:val="0061089E"/>
    <w:rsid w:val="00610AB3"/>
    <w:rsid w:val="00610E44"/>
    <w:rsid w:val="00610E6F"/>
    <w:rsid w:val="00610F74"/>
    <w:rsid w:val="0061107D"/>
    <w:rsid w:val="006110B4"/>
    <w:rsid w:val="00611283"/>
    <w:rsid w:val="006114C7"/>
    <w:rsid w:val="00611550"/>
    <w:rsid w:val="00611732"/>
    <w:rsid w:val="00611920"/>
    <w:rsid w:val="00611C36"/>
    <w:rsid w:val="00611F4D"/>
    <w:rsid w:val="00611FAC"/>
    <w:rsid w:val="0061245A"/>
    <w:rsid w:val="006125C2"/>
    <w:rsid w:val="006125C3"/>
    <w:rsid w:val="00612722"/>
    <w:rsid w:val="006127CC"/>
    <w:rsid w:val="00612BF0"/>
    <w:rsid w:val="00612E0E"/>
    <w:rsid w:val="0061334C"/>
    <w:rsid w:val="006133F9"/>
    <w:rsid w:val="00613431"/>
    <w:rsid w:val="00613AFB"/>
    <w:rsid w:val="00613E88"/>
    <w:rsid w:val="00614461"/>
    <w:rsid w:val="006145AA"/>
    <w:rsid w:val="006148C5"/>
    <w:rsid w:val="00614A87"/>
    <w:rsid w:val="00614C77"/>
    <w:rsid w:val="00614D39"/>
    <w:rsid w:val="00614F66"/>
    <w:rsid w:val="00615434"/>
    <w:rsid w:val="006158C3"/>
    <w:rsid w:val="00615DEE"/>
    <w:rsid w:val="00615DF4"/>
    <w:rsid w:val="00616A1F"/>
    <w:rsid w:val="00616AD2"/>
    <w:rsid w:val="00616B5A"/>
    <w:rsid w:val="00617443"/>
    <w:rsid w:val="0061750F"/>
    <w:rsid w:val="006177D1"/>
    <w:rsid w:val="006179B2"/>
    <w:rsid w:val="00617B45"/>
    <w:rsid w:val="00617D17"/>
    <w:rsid w:val="00617F95"/>
    <w:rsid w:val="00620061"/>
    <w:rsid w:val="006201BD"/>
    <w:rsid w:val="006204BB"/>
    <w:rsid w:val="00620610"/>
    <w:rsid w:val="00620621"/>
    <w:rsid w:val="006208E4"/>
    <w:rsid w:val="00620B70"/>
    <w:rsid w:val="00620E69"/>
    <w:rsid w:val="00621711"/>
    <w:rsid w:val="00621FED"/>
    <w:rsid w:val="00622050"/>
    <w:rsid w:val="00622498"/>
    <w:rsid w:val="0062255C"/>
    <w:rsid w:val="00622616"/>
    <w:rsid w:val="00622880"/>
    <w:rsid w:val="0062298C"/>
    <w:rsid w:val="00622FB0"/>
    <w:rsid w:val="0062303F"/>
    <w:rsid w:val="0062317E"/>
    <w:rsid w:val="0062349E"/>
    <w:rsid w:val="006234A3"/>
    <w:rsid w:val="0062369B"/>
    <w:rsid w:val="006236E1"/>
    <w:rsid w:val="006236E4"/>
    <w:rsid w:val="00623A72"/>
    <w:rsid w:val="00623E03"/>
    <w:rsid w:val="00623E7C"/>
    <w:rsid w:val="006246CC"/>
    <w:rsid w:val="00624B43"/>
    <w:rsid w:val="006254DF"/>
    <w:rsid w:val="0062551A"/>
    <w:rsid w:val="00625900"/>
    <w:rsid w:val="00625C4C"/>
    <w:rsid w:val="00625CA6"/>
    <w:rsid w:val="00625CAE"/>
    <w:rsid w:val="00626131"/>
    <w:rsid w:val="00626191"/>
    <w:rsid w:val="006262B2"/>
    <w:rsid w:val="0062647F"/>
    <w:rsid w:val="00626604"/>
    <w:rsid w:val="00626641"/>
    <w:rsid w:val="00626913"/>
    <w:rsid w:val="00626C0C"/>
    <w:rsid w:val="00626CC2"/>
    <w:rsid w:val="00627073"/>
    <w:rsid w:val="00627925"/>
    <w:rsid w:val="0062797A"/>
    <w:rsid w:val="00627F44"/>
    <w:rsid w:val="006300D0"/>
    <w:rsid w:val="0063017A"/>
    <w:rsid w:val="006304EA"/>
    <w:rsid w:val="00630566"/>
    <w:rsid w:val="006305CD"/>
    <w:rsid w:val="006308C6"/>
    <w:rsid w:val="00630BDC"/>
    <w:rsid w:val="00630FA7"/>
    <w:rsid w:val="00630FD5"/>
    <w:rsid w:val="0063130C"/>
    <w:rsid w:val="00631555"/>
    <w:rsid w:val="00631732"/>
    <w:rsid w:val="00631AED"/>
    <w:rsid w:val="00631C5E"/>
    <w:rsid w:val="0063224B"/>
    <w:rsid w:val="0063265B"/>
    <w:rsid w:val="00632780"/>
    <w:rsid w:val="00633397"/>
    <w:rsid w:val="006337C8"/>
    <w:rsid w:val="006337CC"/>
    <w:rsid w:val="00633A6F"/>
    <w:rsid w:val="00633AAB"/>
    <w:rsid w:val="00633BD8"/>
    <w:rsid w:val="00633F03"/>
    <w:rsid w:val="006341D8"/>
    <w:rsid w:val="00634959"/>
    <w:rsid w:val="00634A12"/>
    <w:rsid w:val="00634E30"/>
    <w:rsid w:val="00634E57"/>
    <w:rsid w:val="0063521B"/>
    <w:rsid w:val="006352EF"/>
    <w:rsid w:val="006354A8"/>
    <w:rsid w:val="006357B7"/>
    <w:rsid w:val="006359B8"/>
    <w:rsid w:val="00635F81"/>
    <w:rsid w:val="006367DC"/>
    <w:rsid w:val="00636B7F"/>
    <w:rsid w:val="00636BEB"/>
    <w:rsid w:val="00637389"/>
    <w:rsid w:val="006375C9"/>
    <w:rsid w:val="006377EF"/>
    <w:rsid w:val="006379C5"/>
    <w:rsid w:val="00637BA6"/>
    <w:rsid w:val="00637DE4"/>
    <w:rsid w:val="00637E9C"/>
    <w:rsid w:val="006402F8"/>
    <w:rsid w:val="0064070D"/>
    <w:rsid w:val="006409F9"/>
    <w:rsid w:val="00640EE2"/>
    <w:rsid w:val="0064122C"/>
    <w:rsid w:val="00641328"/>
    <w:rsid w:val="006419F5"/>
    <w:rsid w:val="00641C6E"/>
    <w:rsid w:val="00641E9E"/>
    <w:rsid w:val="00642148"/>
    <w:rsid w:val="006421F7"/>
    <w:rsid w:val="00642446"/>
    <w:rsid w:val="00642605"/>
    <w:rsid w:val="00642632"/>
    <w:rsid w:val="00642881"/>
    <w:rsid w:val="00642A79"/>
    <w:rsid w:val="00642C0B"/>
    <w:rsid w:val="00642D0C"/>
    <w:rsid w:val="00642DA5"/>
    <w:rsid w:val="006430A0"/>
    <w:rsid w:val="00643266"/>
    <w:rsid w:val="00643304"/>
    <w:rsid w:val="0064350B"/>
    <w:rsid w:val="00643A77"/>
    <w:rsid w:val="00643C62"/>
    <w:rsid w:val="00643EAB"/>
    <w:rsid w:val="006448F8"/>
    <w:rsid w:val="00644F52"/>
    <w:rsid w:val="0064500B"/>
    <w:rsid w:val="006452EF"/>
    <w:rsid w:val="006454E0"/>
    <w:rsid w:val="006454F0"/>
    <w:rsid w:val="0064557C"/>
    <w:rsid w:val="006455FD"/>
    <w:rsid w:val="006459DF"/>
    <w:rsid w:val="00645B9E"/>
    <w:rsid w:val="00645EE1"/>
    <w:rsid w:val="00646647"/>
    <w:rsid w:val="00646708"/>
    <w:rsid w:val="00646800"/>
    <w:rsid w:val="006469AB"/>
    <w:rsid w:val="00646ADD"/>
    <w:rsid w:val="0064703D"/>
    <w:rsid w:val="00647199"/>
    <w:rsid w:val="00647389"/>
    <w:rsid w:val="006473FD"/>
    <w:rsid w:val="0064750B"/>
    <w:rsid w:val="00647840"/>
    <w:rsid w:val="0064794D"/>
    <w:rsid w:val="00647A13"/>
    <w:rsid w:val="00647B6D"/>
    <w:rsid w:val="00647CFF"/>
    <w:rsid w:val="00647F14"/>
    <w:rsid w:val="00647F2A"/>
    <w:rsid w:val="00647F43"/>
    <w:rsid w:val="00650508"/>
    <w:rsid w:val="006505C2"/>
    <w:rsid w:val="006507ED"/>
    <w:rsid w:val="0065093A"/>
    <w:rsid w:val="00650CA8"/>
    <w:rsid w:val="00651093"/>
    <w:rsid w:val="006511E6"/>
    <w:rsid w:val="006517DE"/>
    <w:rsid w:val="00651C34"/>
    <w:rsid w:val="00651CAB"/>
    <w:rsid w:val="0065277E"/>
    <w:rsid w:val="00652DA1"/>
    <w:rsid w:val="006530A8"/>
    <w:rsid w:val="00653312"/>
    <w:rsid w:val="0065338F"/>
    <w:rsid w:val="0065350B"/>
    <w:rsid w:val="00653B12"/>
    <w:rsid w:val="00653C4B"/>
    <w:rsid w:val="00654046"/>
    <w:rsid w:val="00654666"/>
    <w:rsid w:val="00654D29"/>
    <w:rsid w:val="00654D4A"/>
    <w:rsid w:val="00654DF9"/>
    <w:rsid w:val="00654F2C"/>
    <w:rsid w:val="00655324"/>
    <w:rsid w:val="00655560"/>
    <w:rsid w:val="006557B9"/>
    <w:rsid w:val="006558E7"/>
    <w:rsid w:val="00655A03"/>
    <w:rsid w:val="00655ABC"/>
    <w:rsid w:val="00655EAD"/>
    <w:rsid w:val="006561FB"/>
    <w:rsid w:val="00656506"/>
    <w:rsid w:val="00656986"/>
    <w:rsid w:val="00656BAE"/>
    <w:rsid w:val="00656C04"/>
    <w:rsid w:val="00656C34"/>
    <w:rsid w:val="00656C60"/>
    <w:rsid w:val="00656CB0"/>
    <w:rsid w:val="00656DC3"/>
    <w:rsid w:val="00656E21"/>
    <w:rsid w:val="00657763"/>
    <w:rsid w:val="00657C69"/>
    <w:rsid w:val="006604DB"/>
    <w:rsid w:val="00660A7C"/>
    <w:rsid w:val="00660BEB"/>
    <w:rsid w:val="00660FD5"/>
    <w:rsid w:val="0066177D"/>
    <w:rsid w:val="00661920"/>
    <w:rsid w:val="006619D5"/>
    <w:rsid w:val="00661AAE"/>
    <w:rsid w:val="00662547"/>
    <w:rsid w:val="00662CDC"/>
    <w:rsid w:val="00662EFC"/>
    <w:rsid w:val="00663175"/>
    <w:rsid w:val="006632C2"/>
    <w:rsid w:val="00663339"/>
    <w:rsid w:val="0066346A"/>
    <w:rsid w:val="00663506"/>
    <w:rsid w:val="00663BC1"/>
    <w:rsid w:val="00663F65"/>
    <w:rsid w:val="0066402B"/>
    <w:rsid w:val="006645DA"/>
    <w:rsid w:val="00664862"/>
    <w:rsid w:val="00664B81"/>
    <w:rsid w:val="00664BA8"/>
    <w:rsid w:val="00664D44"/>
    <w:rsid w:val="00665340"/>
    <w:rsid w:val="006655D9"/>
    <w:rsid w:val="006658D6"/>
    <w:rsid w:val="006658DC"/>
    <w:rsid w:val="006658F4"/>
    <w:rsid w:val="00665A0C"/>
    <w:rsid w:val="00665D2A"/>
    <w:rsid w:val="00666427"/>
    <w:rsid w:val="00666710"/>
    <w:rsid w:val="00666882"/>
    <w:rsid w:val="006668B3"/>
    <w:rsid w:val="00666A16"/>
    <w:rsid w:val="00667289"/>
    <w:rsid w:val="006673AA"/>
    <w:rsid w:val="0066740E"/>
    <w:rsid w:val="0066768A"/>
    <w:rsid w:val="006676EE"/>
    <w:rsid w:val="00667ABE"/>
    <w:rsid w:val="00667B58"/>
    <w:rsid w:val="00667BBE"/>
    <w:rsid w:val="00667C79"/>
    <w:rsid w:val="00670482"/>
    <w:rsid w:val="006705E5"/>
    <w:rsid w:val="006705ED"/>
    <w:rsid w:val="00670BC1"/>
    <w:rsid w:val="00670FDB"/>
    <w:rsid w:val="0067118B"/>
    <w:rsid w:val="006711D2"/>
    <w:rsid w:val="0067123E"/>
    <w:rsid w:val="00671357"/>
    <w:rsid w:val="00671625"/>
    <w:rsid w:val="00671876"/>
    <w:rsid w:val="00671B42"/>
    <w:rsid w:val="00671C0E"/>
    <w:rsid w:val="00671CA3"/>
    <w:rsid w:val="00672124"/>
    <w:rsid w:val="0067228F"/>
    <w:rsid w:val="006724C7"/>
    <w:rsid w:val="00672702"/>
    <w:rsid w:val="00672971"/>
    <w:rsid w:val="0067349F"/>
    <w:rsid w:val="00673972"/>
    <w:rsid w:val="00673B7B"/>
    <w:rsid w:val="00673EE4"/>
    <w:rsid w:val="0067446A"/>
    <w:rsid w:val="00674585"/>
    <w:rsid w:val="00674766"/>
    <w:rsid w:val="00674BB0"/>
    <w:rsid w:val="00674D21"/>
    <w:rsid w:val="00674DB1"/>
    <w:rsid w:val="006752B3"/>
    <w:rsid w:val="0067565C"/>
    <w:rsid w:val="00675A42"/>
    <w:rsid w:val="00675DD8"/>
    <w:rsid w:val="00675F38"/>
    <w:rsid w:val="00675FD0"/>
    <w:rsid w:val="0067621D"/>
    <w:rsid w:val="006765A9"/>
    <w:rsid w:val="00676753"/>
    <w:rsid w:val="00676A31"/>
    <w:rsid w:val="00676AA3"/>
    <w:rsid w:val="00676E74"/>
    <w:rsid w:val="0067768B"/>
    <w:rsid w:val="00677870"/>
    <w:rsid w:val="00677A6D"/>
    <w:rsid w:val="006802F7"/>
    <w:rsid w:val="0068041C"/>
    <w:rsid w:val="00680494"/>
    <w:rsid w:val="00680496"/>
    <w:rsid w:val="006807CB"/>
    <w:rsid w:val="0068095A"/>
    <w:rsid w:val="0068107F"/>
    <w:rsid w:val="006818CA"/>
    <w:rsid w:val="00681921"/>
    <w:rsid w:val="00681943"/>
    <w:rsid w:val="00681C5A"/>
    <w:rsid w:val="00681F24"/>
    <w:rsid w:val="00682005"/>
    <w:rsid w:val="006832B8"/>
    <w:rsid w:val="0068362F"/>
    <w:rsid w:val="0068389F"/>
    <w:rsid w:val="006838CE"/>
    <w:rsid w:val="00684056"/>
    <w:rsid w:val="00684181"/>
    <w:rsid w:val="00684523"/>
    <w:rsid w:val="006849F0"/>
    <w:rsid w:val="00684AAB"/>
    <w:rsid w:val="00684BAD"/>
    <w:rsid w:val="00684BEB"/>
    <w:rsid w:val="00684EE9"/>
    <w:rsid w:val="0068547B"/>
    <w:rsid w:val="00685DAA"/>
    <w:rsid w:val="00686344"/>
    <w:rsid w:val="00686759"/>
    <w:rsid w:val="006869F6"/>
    <w:rsid w:val="00687A93"/>
    <w:rsid w:val="00687C80"/>
    <w:rsid w:val="0069013A"/>
    <w:rsid w:val="0069023F"/>
    <w:rsid w:val="00690AFE"/>
    <w:rsid w:val="00690ECF"/>
    <w:rsid w:val="00690F61"/>
    <w:rsid w:val="0069131B"/>
    <w:rsid w:val="00691350"/>
    <w:rsid w:val="00691545"/>
    <w:rsid w:val="00691646"/>
    <w:rsid w:val="00691651"/>
    <w:rsid w:val="00691933"/>
    <w:rsid w:val="00691E66"/>
    <w:rsid w:val="0069236D"/>
    <w:rsid w:val="006923E6"/>
    <w:rsid w:val="00693051"/>
    <w:rsid w:val="0069311F"/>
    <w:rsid w:val="00693134"/>
    <w:rsid w:val="006936E8"/>
    <w:rsid w:val="0069386C"/>
    <w:rsid w:val="006938FB"/>
    <w:rsid w:val="00693F3E"/>
    <w:rsid w:val="006943F7"/>
    <w:rsid w:val="006946D4"/>
    <w:rsid w:val="006947B9"/>
    <w:rsid w:val="006948E1"/>
    <w:rsid w:val="00694914"/>
    <w:rsid w:val="00694C72"/>
    <w:rsid w:val="00694D31"/>
    <w:rsid w:val="0069518B"/>
    <w:rsid w:val="006952E8"/>
    <w:rsid w:val="00695351"/>
    <w:rsid w:val="006957D5"/>
    <w:rsid w:val="00695B67"/>
    <w:rsid w:val="00695BB6"/>
    <w:rsid w:val="00695E40"/>
    <w:rsid w:val="00695FBA"/>
    <w:rsid w:val="006960B3"/>
    <w:rsid w:val="0069702C"/>
    <w:rsid w:val="006972EC"/>
    <w:rsid w:val="00697326"/>
    <w:rsid w:val="00697378"/>
    <w:rsid w:val="00697453"/>
    <w:rsid w:val="00697A02"/>
    <w:rsid w:val="00697D1C"/>
    <w:rsid w:val="006A02B4"/>
    <w:rsid w:val="006A046A"/>
    <w:rsid w:val="006A048D"/>
    <w:rsid w:val="006A074E"/>
    <w:rsid w:val="006A095B"/>
    <w:rsid w:val="006A0BA2"/>
    <w:rsid w:val="006A0ECB"/>
    <w:rsid w:val="006A11D7"/>
    <w:rsid w:val="006A1728"/>
    <w:rsid w:val="006A197B"/>
    <w:rsid w:val="006A1C17"/>
    <w:rsid w:val="006A1C8B"/>
    <w:rsid w:val="006A1DB5"/>
    <w:rsid w:val="006A1E0C"/>
    <w:rsid w:val="006A2320"/>
    <w:rsid w:val="006A23C4"/>
    <w:rsid w:val="006A266D"/>
    <w:rsid w:val="006A27C0"/>
    <w:rsid w:val="006A281D"/>
    <w:rsid w:val="006A2845"/>
    <w:rsid w:val="006A30B4"/>
    <w:rsid w:val="006A3156"/>
    <w:rsid w:val="006A35F1"/>
    <w:rsid w:val="006A3649"/>
    <w:rsid w:val="006A3AED"/>
    <w:rsid w:val="006A3B3E"/>
    <w:rsid w:val="006A3D05"/>
    <w:rsid w:val="006A3EB7"/>
    <w:rsid w:val="006A4594"/>
    <w:rsid w:val="006A46E6"/>
    <w:rsid w:val="006A4724"/>
    <w:rsid w:val="006A47D4"/>
    <w:rsid w:val="006A4CA1"/>
    <w:rsid w:val="006A508D"/>
    <w:rsid w:val="006A5194"/>
    <w:rsid w:val="006A522B"/>
    <w:rsid w:val="006A5239"/>
    <w:rsid w:val="006A53CD"/>
    <w:rsid w:val="006A5E6E"/>
    <w:rsid w:val="006A63D5"/>
    <w:rsid w:val="006A6865"/>
    <w:rsid w:val="006A6965"/>
    <w:rsid w:val="006A69B2"/>
    <w:rsid w:val="006A6BFF"/>
    <w:rsid w:val="006A6C03"/>
    <w:rsid w:val="006A7077"/>
    <w:rsid w:val="006A7616"/>
    <w:rsid w:val="006A79B2"/>
    <w:rsid w:val="006A79D8"/>
    <w:rsid w:val="006A79E8"/>
    <w:rsid w:val="006A7C4A"/>
    <w:rsid w:val="006A7D6D"/>
    <w:rsid w:val="006B005D"/>
    <w:rsid w:val="006B01F2"/>
    <w:rsid w:val="006B02E7"/>
    <w:rsid w:val="006B09C3"/>
    <w:rsid w:val="006B104B"/>
    <w:rsid w:val="006B1225"/>
    <w:rsid w:val="006B168F"/>
    <w:rsid w:val="006B19EB"/>
    <w:rsid w:val="006B1AC9"/>
    <w:rsid w:val="006B1B53"/>
    <w:rsid w:val="006B1D60"/>
    <w:rsid w:val="006B1EDB"/>
    <w:rsid w:val="006B1F4B"/>
    <w:rsid w:val="006B2189"/>
    <w:rsid w:val="006B2202"/>
    <w:rsid w:val="006B2367"/>
    <w:rsid w:val="006B243C"/>
    <w:rsid w:val="006B2498"/>
    <w:rsid w:val="006B28D7"/>
    <w:rsid w:val="006B292A"/>
    <w:rsid w:val="006B2C3D"/>
    <w:rsid w:val="006B2C8F"/>
    <w:rsid w:val="006B3895"/>
    <w:rsid w:val="006B3964"/>
    <w:rsid w:val="006B4183"/>
    <w:rsid w:val="006B4656"/>
    <w:rsid w:val="006B48B4"/>
    <w:rsid w:val="006B4BB1"/>
    <w:rsid w:val="006B5263"/>
    <w:rsid w:val="006B54C4"/>
    <w:rsid w:val="006B5A50"/>
    <w:rsid w:val="006B5DF9"/>
    <w:rsid w:val="006B6152"/>
    <w:rsid w:val="006B65F0"/>
    <w:rsid w:val="006B7626"/>
    <w:rsid w:val="006B7F37"/>
    <w:rsid w:val="006C015D"/>
    <w:rsid w:val="006C0470"/>
    <w:rsid w:val="006C06AF"/>
    <w:rsid w:val="006C075D"/>
    <w:rsid w:val="006C0B13"/>
    <w:rsid w:val="006C0B40"/>
    <w:rsid w:val="006C103A"/>
    <w:rsid w:val="006C11A2"/>
    <w:rsid w:val="006C19A2"/>
    <w:rsid w:val="006C1C9A"/>
    <w:rsid w:val="006C1D98"/>
    <w:rsid w:val="006C1E5C"/>
    <w:rsid w:val="006C2115"/>
    <w:rsid w:val="006C212C"/>
    <w:rsid w:val="006C21D8"/>
    <w:rsid w:val="006C23AB"/>
    <w:rsid w:val="006C259E"/>
    <w:rsid w:val="006C26F9"/>
    <w:rsid w:val="006C2744"/>
    <w:rsid w:val="006C296D"/>
    <w:rsid w:val="006C2AC2"/>
    <w:rsid w:val="006C2CC4"/>
    <w:rsid w:val="006C33FE"/>
    <w:rsid w:val="006C3A81"/>
    <w:rsid w:val="006C3BAF"/>
    <w:rsid w:val="006C3F62"/>
    <w:rsid w:val="006C421A"/>
    <w:rsid w:val="006C469E"/>
    <w:rsid w:val="006C4C10"/>
    <w:rsid w:val="006C4DD6"/>
    <w:rsid w:val="006C50F1"/>
    <w:rsid w:val="006C5246"/>
    <w:rsid w:val="006C5321"/>
    <w:rsid w:val="006C541F"/>
    <w:rsid w:val="006C546C"/>
    <w:rsid w:val="006C54D0"/>
    <w:rsid w:val="006C5A8B"/>
    <w:rsid w:val="006C5D64"/>
    <w:rsid w:val="006C5F04"/>
    <w:rsid w:val="006C6132"/>
    <w:rsid w:val="006C668B"/>
    <w:rsid w:val="006C69BF"/>
    <w:rsid w:val="006C6A76"/>
    <w:rsid w:val="006C6B4A"/>
    <w:rsid w:val="006C6C79"/>
    <w:rsid w:val="006C6CC4"/>
    <w:rsid w:val="006C6F64"/>
    <w:rsid w:val="006C70E0"/>
    <w:rsid w:val="006C7760"/>
    <w:rsid w:val="006C79E0"/>
    <w:rsid w:val="006C7D43"/>
    <w:rsid w:val="006C7E38"/>
    <w:rsid w:val="006C7FD0"/>
    <w:rsid w:val="006C7FDF"/>
    <w:rsid w:val="006D0012"/>
    <w:rsid w:val="006D073E"/>
    <w:rsid w:val="006D0816"/>
    <w:rsid w:val="006D099D"/>
    <w:rsid w:val="006D09CD"/>
    <w:rsid w:val="006D0AE5"/>
    <w:rsid w:val="006D0B27"/>
    <w:rsid w:val="006D0D4E"/>
    <w:rsid w:val="006D12E4"/>
    <w:rsid w:val="006D13D5"/>
    <w:rsid w:val="006D1925"/>
    <w:rsid w:val="006D1BB5"/>
    <w:rsid w:val="006D208B"/>
    <w:rsid w:val="006D277C"/>
    <w:rsid w:val="006D27C0"/>
    <w:rsid w:val="006D27DA"/>
    <w:rsid w:val="006D2A1B"/>
    <w:rsid w:val="006D2A3B"/>
    <w:rsid w:val="006D2C2B"/>
    <w:rsid w:val="006D2C45"/>
    <w:rsid w:val="006D2CCB"/>
    <w:rsid w:val="006D335A"/>
    <w:rsid w:val="006D3687"/>
    <w:rsid w:val="006D387A"/>
    <w:rsid w:val="006D3A02"/>
    <w:rsid w:val="006D3AD7"/>
    <w:rsid w:val="006D3AF8"/>
    <w:rsid w:val="006D3DF0"/>
    <w:rsid w:val="006D4084"/>
    <w:rsid w:val="006D4129"/>
    <w:rsid w:val="006D4411"/>
    <w:rsid w:val="006D45E1"/>
    <w:rsid w:val="006D46EF"/>
    <w:rsid w:val="006D47D4"/>
    <w:rsid w:val="006D49B8"/>
    <w:rsid w:val="006D4E36"/>
    <w:rsid w:val="006D5039"/>
    <w:rsid w:val="006D5246"/>
    <w:rsid w:val="006D5482"/>
    <w:rsid w:val="006D5504"/>
    <w:rsid w:val="006D5A9C"/>
    <w:rsid w:val="006D5C9A"/>
    <w:rsid w:val="006D5EEB"/>
    <w:rsid w:val="006D5F7A"/>
    <w:rsid w:val="006D6334"/>
    <w:rsid w:val="006D63BE"/>
    <w:rsid w:val="006D660E"/>
    <w:rsid w:val="006D6A10"/>
    <w:rsid w:val="006D6F11"/>
    <w:rsid w:val="006D780D"/>
    <w:rsid w:val="006D7C27"/>
    <w:rsid w:val="006D7E1A"/>
    <w:rsid w:val="006D7E44"/>
    <w:rsid w:val="006D7EFF"/>
    <w:rsid w:val="006E04A9"/>
    <w:rsid w:val="006E0551"/>
    <w:rsid w:val="006E072C"/>
    <w:rsid w:val="006E090E"/>
    <w:rsid w:val="006E0E08"/>
    <w:rsid w:val="006E0FD0"/>
    <w:rsid w:val="006E16AF"/>
    <w:rsid w:val="006E1E77"/>
    <w:rsid w:val="006E24EA"/>
    <w:rsid w:val="006E288A"/>
    <w:rsid w:val="006E2910"/>
    <w:rsid w:val="006E2B7F"/>
    <w:rsid w:val="006E2BAC"/>
    <w:rsid w:val="006E2C22"/>
    <w:rsid w:val="006E2CB1"/>
    <w:rsid w:val="006E2DEB"/>
    <w:rsid w:val="006E2E0E"/>
    <w:rsid w:val="006E3189"/>
    <w:rsid w:val="006E36DA"/>
    <w:rsid w:val="006E3911"/>
    <w:rsid w:val="006E3C9B"/>
    <w:rsid w:val="006E3D3A"/>
    <w:rsid w:val="006E3D91"/>
    <w:rsid w:val="006E4064"/>
    <w:rsid w:val="006E44CB"/>
    <w:rsid w:val="006E44E2"/>
    <w:rsid w:val="006E46E4"/>
    <w:rsid w:val="006E4838"/>
    <w:rsid w:val="006E4BC5"/>
    <w:rsid w:val="006E4C17"/>
    <w:rsid w:val="006E5357"/>
    <w:rsid w:val="006E5404"/>
    <w:rsid w:val="006E5579"/>
    <w:rsid w:val="006E5770"/>
    <w:rsid w:val="006E58B1"/>
    <w:rsid w:val="006E5C1D"/>
    <w:rsid w:val="006E612C"/>
    <w:rsid w:val="006E61C2"/>
    <w:rsid w:val="006E6367"/>
    <w:rsid w:val="006E6726"/>
    <w:rsid w:val="006E67B2"/>
    <w:rsid w:val="006E691F"/>
    <w:rsid w:val="006E6BE9"/>
    <w:rsid w:val="006E6E49"/>
    <w:rsid w:val="006E6F43"/>
    <w:rsid w:val="006E710B"/>
    <w:rsid w:val="006E71C2"/>
    <w:rsid w:val="006E7295"/>
    <w:rsid w:val="006E7BF9"/>
    <w:rsid w:val="006F015F"/>
    <w:rsid w:val="006F10A7"/>
    <w:rsid w:val="006F1263"/>
    <w:rsid w:val="006F1707"/>
    <w:rsid w:val="006F17A3"/>
    <w:rsid w:val="006F1B63"/>
    <w:rsid w:val="006F1E38"/>
    <w:rsid w:val="006F209D"/>
    <w:rsid w:val="006F22C4"/>
    <w:rsid w:val="006F2E14"/>
    <w:rsid w:val="006F2E45"/>
    <w:rsid w:val="006F342C"/>
    <w:rsid w:val="006F37F8"/>
    <w:rsid w:val="006F3FC6"/>
    <w:rsid w:val="006F3FC7"/>
    <w:rsid w:val="006F4253"/>
    <w:rsid w:val="006F456F"/>
    <w:rsid w:val="006F4674"/>
    <w:rsid w:val="006F4903"/>
    <w:rsid w:val="006F4920"/>
    <w:rsid w:val="006F4956"/>
    <w:rsid w:val="006F4FA3"/>
    <w:rsid w:val="006F563A"/>
    <w:rsid w:val="006F575F"/>
    <w:rsid w:val="006F57ED"/>
    <w:rsid w:val="006F5B59"/>
    <w:rsid w:val="006F5BFA"/>
    <w:rsid w:val="006F5D52"/>
    <w:rsid w:val="006F6A4D"/>
    <w:rsid w:val="006F6C1E"/>
    <w:rsid w:val="006F721C"/>
    <w:rsid w:val="006F749D"/>
    <w:rsid w:val="006F74D6"/>
    <w:rsid w:val="006F78E4"/>
    <w:rsid w:val="006F7A3C"/>
    <w:rsid w:val="006F7D16"/>
    <w:rsid w:val="006F7DEA"/>
    <w:rsid w:val="006F7E4D"/>
    <w:rsid w:val="00700036"/>
    <w:rsid w:val="007006D4"/>
    <w:rsid w:val="007017E5"/>
    <w:rsid w:val="0070195B"/>
    <w:rsid w:val="00701E33"/>
    <w:rsid w:val="00701E6F"/>
    <w:rsid w:val="00702AC9"/>
    <w:rsid w:val="00702E8D"/>
    <w:rsid w:val="00702EA7"/>
    <w:rsid w:val="00703043"/>
    <w:rsid w:val="007034F4"/>
    <w:rsid w:val="007035D8"/>
    <w:rsid w:val="007037EC"/>
    <w:rsid w:val="00703B28"/>
    <w:rsid w:val="007040E5"/>
    <w:rsid w:val="00704179"/>
    <w:rsid w:val="00704AB1"/>
    <w:rsid w:val="007050E3"/>
    <w:rsid w:val="00705395"/>
    <w:rsid w:val="00705A55"/>
    <w:rsid w:val="00705A9A"/>
    <w:rsid w:val="00705AC1"/>
    <w:rsid w:val="00705CDA"/>
    <w:rsid w:val="00705DA2"/>
    <w:rsid w:val="00706298"/>
    <w:rsid w:val="007063C5"/>
    <w:rsid w:val="007068BB"/>
    <w:rsid w:val="00706A6A"/>
    <w:rsid w:val="00706F4B"/>
    <w:rsid w:val="00707393"/>
    <w:rsid w:val="00707960"/>
    <w:rsid w:val="00707A26"/>
    <w:rsid w:val="00707A43"/>
    <w:rsid w:val="00707E81"/>
    <w:rsid w:val="0071033B"/>
    <w:rsid w:val="00710428"/>
    <w:rsid w:val="0071057E"/>
    <w:rsid w:val="007108A2"/>
    <w:rsid w:val="00710909"/>
    <w:rsid w:val="007109B1"/>
    <w:rsid w:val="007110FD"/>
    <w:rsid w:val="0071189C"/>
    <w:rsid w:val="00711EEF"/>
    <w:rsid w:val="0071238D"/>
    <w:rsid w:val="00712663"/>
    <w:rsid w:val="007128BA"/>
    <w:rsid w:val="00712AA4"/>
    <w:rsid w:val="00712F35"/>
    <w:rsid w:val="0071394B"/>
    <w:rsid w:val="00713F84"/>
    <w:rsid w:val="00714286"/>
    <w:rsid w:val="007147E0"/>
    <w:rsid w:val="0071484D"/>
    <w:rsid w:val="00714C3B"/>
    <w:rsid w:val="00714DEE"/>
    <w:rsid w:val="00714F90"/>
    <w:rsid w:val="007156FE"/>
    <w:rsid w:val="007157DD"/>
    <w:rsid w:val="007159D2"/>
    <w:rsid w:val="00715E1E"/>
    <w:rsid w:val="00716043"/>
    <w:rsid w:val="007161A9"/>
    <w:rsid w:val="00716210"/>
    <w:rsid w:val="0071624C"/>
    <w:rsid w:val="00716299"/>
    <w:rsid w:val="00717177"/>
    <w:rsid w:val="007171A2"/>
    <w:rsid w:val="00717419"/>
    <w:rsid w:val="00717598"/>
    <w:rsid w:val="00717AC3"/>
    <w:rsid w:val="00717E27"/>
    <w:rsid w:val="00717E82"/>
    <w:rsid w:val="00717F6D"/>
    <w:rsid w:val="00717F84"/>
    <w:rsid w:val="007200C0"/>
    <w:rsid w:val="00720164"/>
    <w:rsid w:val="0072076A"/>
    <w:rsid w:val="00720A1E"/>
    <w:rsid w:val="00720C09"/>
    <w:rsid w:val="00721141"/>
    <w:rsid w:val="0072122F"/>
    <w:rsid w:val="00721385"/>
    <w:rsid w:val="00721668"/>
    <w:rsid w:val="00721945"/>
    <w:rsid w:val="00721B32"/>
    <w:rsid w:val="00722202"/>
    <w:rsid w:val="00722B4C"/>
    <w:rsid w:val="00722F5F"/>
    <w:rsid w:val="0072301A"/>
    <w:rsid w:val="00723411"/>
    <w:rsid w:val="00723558"/>
    <w:rsid w:val="007236E4"/>
    <w:rsid w:val="00723A60"/>
    <w:rsid w:val="00723A65"/>
    <w:rsid w:val="00723B69"/>
    <w:rsid w:val="00723FF4"/>
    <w:rsid w:val="00724106"/>
    <w:rsid w:val="00724237"/>
    <w:rsid w:val="007244AE"/>
    <w:rsid w:val="0072472B"/>
    <w:rsid w:val="00724894"/>
    <w:rsid w:val="00724B15"/>
    <w:rsid w:val="00724D4A"/>
    <w:rsid w:val="007254D9"/>
    <w:rsid w:val="00725639"/>
    <w:rsid w:val="007257D2"/>
    <w:rsid w:val="00725853"/>
    <w:rsid w:val="00725892"/>
    <w:rsid w:val="00725A42"/>
    <w:rsid w:val="0072605B"/>
    <w:rsid w:val="007267E4"/>
    <w:rsid w:val="00726A56"/>
    <w:rsid w:val="00726DC4"/>
    <w:rsid w:val="00726F6A"/>
    <w:rsid w:val="0072703A"/>
    <w:rsid w:val="007271E6"/>
    <w:rsid w:val="00727407"/>
    <w:rsid w:val="0072782A"/>
    <w:rsid w:val="00727983"/>
    <w:rsid w:val="00727E09"/>
    <w:rsid w:val="00730051"/>
    <w:rsid w:val="00730169"/>
    <w:rsid w:val="0073029F"/>
    <w:rsid w:val="0073034B"/>
    <w:rsid w:val="00730778"/>
    <w:rsid w:val="007308D7"/>
    <w:rsid w:val="00730963"/>
    <w:rsid w:val="00730AB4"/>
    <w:rsid w:val="00730C37"/>
    <w:rsid w:val="00730C4B"/>
    <w:rsid w:val="00731160"/>
    <w:rsid w:val="00731220"/>
    <w:rsid w:val="0073124D"/>
    <w:rsid w:val="007312F5"/>
    <w:rsid w:val="00731B8D"/>
    <w:rsid w:val="00731BFD"/>
    <w:rsid w:val="00731E0F"/>
    <w:rsid w:val="00732176"/>
    <w:rsid w:val="00732261"/>
    <w:rsid w:val="00732674"/>
    <w:rsid w:val="00732DA8"/>
    <w:rsid w:val="00732E26"/>
    <w:rsid w:val="007331A0"/>
    <w:rsid w:val="00733222"/>
    <w:rsid w:val="0073328B"/>
    <w:rsid w:val="007338E7"/>
    <w:rsid w:val="00733963"/>
    <w:rsid w:val="00734355"/>
    <w:rsid w:val="007348CF"/>
    <w:rsid w:val="00734910"/>
    <w:rsid w:val="00734CA4"/>
    <w:rsid w:val="00734DA4"/>
    <w:rsid w:val="00735624"/>
    <w:rsid w:val="00735A2C"/>
    <w:rsid w:val="00736092"/>
    <w:rsid w:val="00736A80"/>
    <w:rsid w:val="00736D2C"/>
    <w:rsid w:val="00736FA8"/>
    <w:rsid w:val="00737C83"/>
    <w:rsid w:val="00740013"/>
    <w:rsid w:val="007405F6"/>
    <w:rsid w:val="00740730"/>
    <w:rsid w:val="00740743"/>
    <w:rsid w:val="00740AF1"/>
    <w:rsid w:val="0074159E"/>
    <w:rsid w:val="007415B5"/>
    <w:rsid w:val="00741EC5"/>
    <w:rsid w:val="00741F78"/>
    <w:rsid w:val="0074213F"/>
    <w:rsid w:val="007422B1"/>
    <w:rsid w:val="007425CA"/>
    <w:rsid w:val="00742855"/>
    <w:rsid w:val="007428D0"/>
    <w:rsid w:val="00742940"/>
    <w:rsid w:val="00742A7B"/>
    <w:rsid w:val="00742B92"/>
    <w:rsid w:val="00742E50"/>
    <w:rsid w:val="0074321A"/>
    <w:rsid w:val="00743275"/>
    <w:rsid w:val="0074361E"/>
    <w:rsid w:val="0074367B"/>
    <w:rsid w:val="00743822"/>
    <w:rsid w:val="00743FBE"/>
    <w:rsid w:val="00743FF4"/>
    <w:rsid w:val="007441CF"/>
    <w:rsid w:val="0074425E"/>
    <w:rsid w:val="00744437"/>
    <w:rsid w:val="007447EA"/>
    <w:rsid w:val="00744C3F"/>
    <w:rsid w:val="00744EEE"/>
    <w:rsid w:val="00745103"/>
    <w:rsid w:val="0074510B"/>
    <w:rsid w:val="00745496"/>
    <w:rsid w:val="007454CA"/>
    <w:rsid w:val="007456D2"/>
    <w:rsid w:val="007459E9"/>
    <w:rsid w:val="00745BC4"/>
    <w:rsid w:val="00745C73"/>
    <w:rsid w:val="00745C87"/>
    <w:rsid w:val="00745EB7"/>
    <w:rsid w:val="007460D8"/>
    <w:rsid w:val="007461E1"/>
    <w:rsid w:val="00746539"/>
    <w:rsid w:val="00746664"/>
    <w:rsid w:val="0074687A"/>
    <w:rsid w:val="007472FB"/>
    <w:rsid w:val="007473DC"/>
    <w:rsid w:val="0074798F"/>
    <w:rsid w:val="00747B15"/>
    <w:rsid w:val="00747FEF"/>
    <w:rsid w:val="007501A0"/>
    <w:rsid w:val="0075031A"/>
    <w:rsid w:val="00750903"/>
    <w:rsid w:val="00750F0E"/>
    <w:rsid w:val="0075116F"/>
    <w:rsid w:val="007515DB"/>
    <w:rsid w:val="00751766"/>
    <w:rsid w:val="0075188B"/>
    <w:rsid w:val="00751A01"/>
    <w:rsid w:val="00751A9C"/>
    <w:rsid w:val="00751F24"/>
    <w:rsid w:val="00751F97"/>
    <w:rsid w:val="00752145"/>
    <w:rsid w:val="0075220D"/>
    <w:rsid w:val="007522EC"/>
    <w:rsid w:val="00752641"/>
    <w:rsid w:val="00752724"/>
    <w:rsid w:val="00752954"/>
    <w:rsid w:val="00752AFF"/>
    <w:rsid w:val="00752C6C"/>
    <w:rsid w:val="00753568"/>
    <w:rsid w:val="00753A19"/>
    <w:rsid w:val="00753B8A"/>
    <w:rsid w:val="00754190"/>
    <w:rsid w:val="007541EF"/>
    <w:rsid w:val="007542A6"/>
    <w:rsid w:val="00755110"/>
    <w:rsid w:val="00755548"/>
    <w:rsid w:val="0075562A"/>
    <w:rsid w:val="007558A0"/>
    <w:rsid w:val="007558B4"/>
    <w:rsid w:val="00755DFE"/>
    <w:rsid w:val="00756439"/>
    <w:rsid w:val="007566A6"/>
    <w:rsid w:val="007568C6"/>
    <w:rsid w:val="00756985"/>
    <w:rsid w:val="00756D83"/>
    <w:rsid w:val="00756EB8"/>
    <w:rsid w:val="007574B4"/>
    <w:rsid w:val="0075778A"/>
    <w:rsid w:val="00757840"/>
    <w:rsid w:val="00757FE2"/>
    <w:rsid w:val="00760072"/>
    <w:rsid w:val="00760479"/>
    <w:rsid w:val="0076063A"/>
    <w:rsid w:val="007608F1"/>
    <w:rsid w:val="00760B85"/>
    <w:rsid w:val="00760D56"/>
    <w:rsid w:val="00760E87"/>
    <w:rsid w:val="00760F29"/>
    <w:rsid w:val="0076119D"/>
    <w:rsid w:val="00761383"/>
    <w:rsid w:val="00761B23"/>
    <w:rsid w:val="00761BBC"/>
    <w:rsid w:val="00761DAC"/>
    <w:rsid w:val="00761F6E"/>
    <w:rsid w:val="0076216D"/>
    <w:rsid w:val="00762261"/>
    <w:rsid w:val="00762392"/>
    <w:rsid w:val="00762A12"/>
    <w:rsid w:val="00762FC2"/>
    <w:rsid w:val="0076305B"/>
    <w:rsid w:val="007632EB"/>
    <w:rsid w:val="0076332E"/>
    <w:rsid w:val="00763460"/>
    <w:rsid w:val="007636B8"/>
    <w:rsid w:val="007638DB"/>
    <w:rsid w:val="0076391E"/>
    <w:rsid w:val="00763A0F"/>
    <w:rsid w:val="00764128"/>
    <w:rsid w:val="00764132"/>
    <w:rsid w:val="007643D1"/>
    <w:rsid w:val="0076440C"/>
    <w:rsid w:val="007646E7"/>
    <w:rsid w:val="00764CC1"/>
    <w:rsid w:val="007654ED"/>
    <w:rsid w:val="0076570B"/>
    <w:rsid w:val="00765ED9"/>
    <w:rsid w:val="0076622B"/>
    <w:rsid w:val="0076647A"/>
    <w:rsid w:val="00766A4F"/>
    <w:rsid w:val="00766D2C"/>
    <w:rsid w:val="007670D4"/>
    <w:rsid w:val="00767CCF"/>
    <w:rsid w:val="007706AF"/>
    <w:rsid w:val="00770814"/>
    <w:rsid w:val="00770A98"/>
    <w:rsid w:val="00770AD9"/>
    <w:rsid w:val="00770D5F"/>
    <w:rsid w:val="0077166E"/>
    <w:rsid w:val="0077186C"/>
    <w:rsid w:val="00771DED"/>
    <w:rsid w:val="00772406"/>
    <w:rsid w:val="007727C1"/>
    <w:rsid w:val="00772A31"/>
    <w:rsid w:val="00772A4D"/>
    <w:rsid w:val="00772B1A"/>
    <w:rsid w:val="00772B8B"/>
    <w:rsid w:val="00772CBD"/>
    <w:rsid w:val="00772CE4"/>
    <w:rsid w:val="00772F27"/>
    <w:rsid w:val="00773426"/>
    <w:rsid w:val="00773506"/>
    <w:rsid w:val="007739D5"/>
    <w:rsid w:val="00773F0C"/>
    <w:rsid w:val="00773F59"/>
    <w:rsid w:val="00774106"/>
    <w:rsid w:val="00774480"/>
    <w:rsid w:val="007744E5"/>
    <w:rsid w:val="00774762"/>
    <w:rsid w:val="007748E8"/>
    <w:rsid w:val="00774A14"/>
    <w:rsid w:val="00774C36"/>
    <w:rsid w:val="00774F7F"/>
    <w:rsid w:val="0077510D"/>
    <w:rsid w:val="00775272"/>
    <w:rsid w:val="00775659"/>
    <w:rsid w:val="00775873"/>
    <w:rsid w:val="00775E50"/>
    <w:rsid w:val="007765D1"/>
    <w:rsid w:val="00777AC0"/>
    <w:rsid w:val="00777AE8"/>
    <w:rsid w:val="00777F46"/>
    <w:rsid w:val="00780580"/>
    <w:rsid w:val="00780716"/>
    <w:rsid w:val="00780952"/>
    <w:rsid w:val="0078106C"/>
    <w:rsid w:val="00781191"/>
    <w:rsid w:val="00781605"/>
    <w:rsid w:val="00781956"/>
    <w:rsid w:val="00781AC2"/>
    <w:rsid w:val="00782169"/>
    <w:rsid w:val="007825E8"/>
    <w:rsid w:val="00782774"/>
    <w:rsid w:val="007828E9"/>
    <w:rsid w:val="00782AEC"/>
    <w:rsid w:val="00782E1A"/>
    <w:rsid w:val="00782E9C"/>
    <w:rsid w:val="00783068"/>
    <w:rsid w:val="007832A0"/>
    <w:rsid w:val="0078366F"/>
    <w:rsid w:val="00783698"/>
    <w:rsid w:val="00783C3E"/>
    <w:rsid w:val="00784012"/>
    <w:rsid w:val="007844E0"/>
    <w:rsid w:val="0078502E"/>
    <w:rsid w:val="0078511E"/>
    <w:rsid w:val="00785532"/>
    <w:rsid w:val="007856AF"/>
    <w:rsid w:val="007857BB"/>
    <w:rsid w:val="007858F9"/>
    <w:rsid w:val="00785EBA"/>
    <w:rsid w:val="00786245"/>
    <w:rsid w:val="00786CF6"/>
    <w:rsid w:val="00786EAC"/>
    <w:rsid w:val="007870FA"/>
    <w:rsid w:val="00787385"/>
    <w:rsid w:val="0078751F"/>
    <w:rsid w:val="007877A6"/>
    <w:rsid w:val="00787BAC"/>
    <w:rsid w:val="00787D4A"/>
    <w:rsid w:val="00787F68"/>
    <w:rsid w:val="0079045F"/>
    <w:rsid w:val="007907E1"/>
    <w:rsid w:val="007914DC"/>
    <w:rsid w:val="007915A3"/>
    <w:rsid w:val="0079167E"/>
    <w:rsid w:val="00791A02"/>
    <w:rsid w:val="00791A79"/>
    <w:rsid w:val="00792526"/>
    <w:rsid w:val="0079261E"/>
    <w:rsid w:val="00792699"/>
    <w:rsid w:val="007928CB"/>
    <w:rsid w:val="00792A3D"/>
    <w:rsid w:val="00793030"/>
    <w:rsid w:val="007930AF"/>
    <w:rsid w:val="0079343D"/>
    <w:rsid w:val="0079345D"/>
    <w:rsid w:val="00793486"/>
    <w:rsid w:val="0079367C"/>
    <w:rsid w:val="0079387C"/>
    <w:rsid w:val="007938B7"/>
    <w:rsid w:val="007939B1"/>
    <w:rsid w:val="00793B24"/>
    <w:rsid w:val="00793BA7"/>
    <w:rsid w:val="007940A4"/>
    <w:rsid w:val="007941E5"/>
    <w:rsid w:val="007943C0"/>
    <w:rsid w:val="007944D6"/>
    <w:rsid w:val="00794707"/>
    <w:rsid w:val="00794AD8"/>
    <w:rsid w:val="00794B6D"/>
    <w:rsid w:val="00794E15"/>
    <w:rsid w:val="00794F58"/>
    <w:rsid w:val="007950E5"/>
    <w:rsid w:val="00795300"/>
    <w:rsid w:val="007955E7"/>
    <w:rsid w:val="007956B4"/>
    <w:rsid w:val="00795875"/>
    <w:rsid w:val="00795AF3"/>
    <w:rsid w:val="00796174"/>
    <w:rsid w:val="007962C8"/>
    <w:rsid w:val="007963AF"/>
    <w:rsid w:val="00796DAC"/>
    <w:rsid w:val="00796F19"/>
    <w:rsid w:val="00797029"/>
    <w:rsid w:val="0079742F"/>
    <w:rsid w:val="007974C4"/>
    <w:rsid w:val="00797DB2"/>
    <w:rsid w:val="00797FEC"/>
    <w:rsid w:val="00797FF5"/>
    <w:rsid w:val="007A02B1"/>
    <w:rsid w:val="007A04C1"/>
    <w:rsid w:val="007A063A"/>
    <w:rsid w:val="007A09F1"/>
    <w:rsid w:val="007A0B13"/>
    <w:rsid w:val="007A1351"/>
    <w:rsid w:val="007A1B2A"/>
    <w:rsid w:val="007A2097"/>
    <w:rsid w:val="007A2435"/>
    <w:rsid w:val="007A289C"/>
    <w:rsid w:val="007A2ADD"/>
    <w:rsid w:val="007A2BA3"/>
    <w:rsid w:val="007A3232"/>
    <w:rsid w:val="007A33E1"/>
    <w:rsid w:val="007A34CB"/>
    <w:rsid w:val="007A3D93"/>
    <w:rsid w:val="007A4083"/>
    <w:rsid w:val="007A4331"/>
    <w:rsid w:val="007A43F4"/>
    <w:rsid w:val="007A44B3"/>
    <w:rsid w:val="007A47EE"/>
    <w:rsid w:val="007A490D"/>
    <w:rsid w:val="007A4EFA"/>
    <w:rsid w:val="007A51DE"/>
    <w:rsid w:val="007A5219"/>
    <w:rsid w:val="007A5313"/>
    <w:rsid w:val="007A57EE"/>
    <w:rsid w:val="007A59DF"/>
    <w:rsid w:val="007A5A5F"/>
    <w:rsid w:val="007A5B4C"/>
    <w:rsid w:val="007A5D29"/>
    <w:rsid w:val="007A5E8B"/>
    <w:rsid w:val="007A6360"/>
    <w:rsid w:val="007A69EF"/>
    <w:rsid w:val="007A6AF2"/>
    <w:rsid w:val="007A6B25"/>
    <w:rsid w:val="007A6BBC"/>
    <w:rsid w:val="007A7171"/>
    <w:rsid w:val="007A7751"/>
    <w:rsid w:val="007A77B4"/>
    <w:rsid w:val="007A788A"/>
    <w:rsid w:val="007A78EB"/>
    <w:rsid w:val="007A7A4F"/>
    <w:rsid w:val="007A7C94"/>
    <w:rsid w:val="007A7D64"/>
    <w:rsid w:val="007A7D6F"/>
    <w:rsid w:val="007A7E75"/>
    <w:rsid w:val="007B00D1"/>
    <w:rsid w:val="007B00D8"/>
    <w:rsid w:val="007B05E6"/>
    <w:rsid w:val="007B0AA8"/>
    <w:rsid w:val="007B16EB"/>
    <w:rsid w:val="007B17D5"/>
    <w:rsid w:val="007B1961"/>
    <w:rsid w:val="007B2BDF"/>
    <w:rsid w:val="007B2E06"/>
    <w:rsid w:val="007B3492"/>
    <w:rsid w:val="007B3605"/>
    <w:rsid w:val="007B37C0"/>
    <w:rsid w:val="007B395F"/>
    <w:rsid w:val="007B3E66"/>
    <w:rsid w:val="007B3E9B"/>
    <w:rsid w:val="007B40D8"/>
    <w:rsid w:val="007B418E"/>
    <w:rsid w:val="007B445B"/>
    <w:rsid w:val="007B475D"/>
    <w:rsid w:val="007B486D"/>
    <w:rsid w:val="007B4C90"/>
    <w:rsid w:val="007B4D19"/>
    <w:rsid w:val="007B51A4"/>
    <w:rsid w:val="007B51AA"/>
    <w:rsid w:val="007B5267"/>
    <w:rsid w:val="007B5571"/>
    <w:rsid w:val="007B5A97"/>
    <w:rsid w:val="007B5AB2"/>
    <w:rsid w:val="007B5F9F"/>
    <w:rsid w:val="007B6550"/>
    <w:rsid w:val="007B69C0"/>
    <w:rsid w:val="007B6CE1"/>
    <w:rsid w:val="007B712B"/>
    <w:rsid w:val="007B7315"/>
    <w:rsid w:val="007B7376"/>
    <w:rsid w:val="007B7496"/>
    <w:rsid w:val="007B793A"/>
    <w:rsid w:val="007B7A21"/>
    <w:rsid w:val="007B7B22"/>
    <w:rsid w:val="007B7C93"/>
    <w:rsid w:val="007C018B"/>
    <w:rsid w:val="007C01BE"/>
    <w:rsid w:val="007C02B2"/>
    <w:rsid w:val="007C02C1"/>
    <w:rsid w:val="007C048D"/>
    <w:rsid w:val="007C0575"/>
    <w:rsid w:val="007C0A87"/>
    <w:rsid w:val="007C0AB9"/>
    <w:rsid w:val="007C0CFD"/>
    <w:rsid w:val="007C1728"/>
    <w:rsid w:val="007C1CDD"/>
    <w:rsid w:val="007C21CF"/>
    <w:rsid w:val="007C292E"/>
    <w:rsid w:val="007C2B39"/>
    <w:rsid w:val="007C2DFA"/>
    <w:rsid w:val="007C2F85"/>
    <w:rsid w:val="007C3827"/>
    <w:rsid w:val="007C3DB0"/>
    <w:rsid w:val="007C4107"/>
    <w:rsid w:val="007C4748"/>
    <w:rsid w:val="007C4872"/>
    <w:rsid w:val="007C4B15"/>
    <w:rsid w:val="007C52A7"/>
    <w:rsid w:val="007C546C"/>
    <w:rsid w:val="007C54F9"/>
    <w:rsid w:val="007C5565"/>
    <w:rsid w:val="007C5815"/>
    <w:rsid w:val="007C589C"/>
    <w:rsid w:val="007C64FE"/>
    <w:rsid w:val="007C6563"/>
    <w:rsid w:val="007C6AC2"/>
    <w:rsid w:val="007C6F9C"/>
    <w:rsid w:val="007C6FAE"/>
    <w:rsid w:val="007C70D0"/>
    <w:rsid w:val="007C7375"/>
    <w:rsid w:val="007C7413"/>
    <w:rsid w:val="007C752B"/>
    <w:rsid w:val="007C7A11"/>
    <w:rsid w:val="007C7CD1"/>
    <w:rsid w:val="007D07B7"/>
    <w:rsid w:val="007D0A9B"/>
    <w:rsid w:val="007D0B21"/>
    <w:rsid w:val="007D0DCE"/>
    <w:rsid w:val="007D0FB1"/>
    <w:rsid w:val="007D12DB"/>
    <w:rsid w:val="007D153A"/>
    <w:rsid w:val="007D169F"/>
    <w:rsid w:val="007D1F34"/>
    <w:rsid w:val="007D1FEB"/>
    <w:rsid w:val="007D20CF"/>
    <w:rsid w:val="007D2173"/>
    <w:rsid w:val="007D2363"/>
    <w:rsid w:val="007D2399"/>
    <w:rsid w:val="007D2737"/>
    <w:rsid w:val="007D2B63"/>
    <w:rsid w:val="007D2DCF"/>
    <w:rsid w:val="007D326C"/>
    <w:rsid w:val="007D34EC"/>
    <w:rsid w:val="007D3511"/>
    <w:rsid w:val="007D3982"/>
    <w:rsid w:val="007D3BFC"/>
    <w:rsid w:val="007D3CEF"/>
    <w:rsid w:val="007D435B"/>
    <w:rsid w:val="007D438A"/>
    <w:rsid w:val="007D4649"/>
    <w:rsid w:val="007D464A"/>
    <w:rsid w:val="007D466B"/>
    <w:rsid w:val="007D46F5"/>
    <w:rsid w:val="007D46FA"/>
    <w:rsid w:val="007D474F"/>
    <w:rsid w:val="007D4BE1"/>
    <w:rsid w:val="007D5020"/>
    <w:rsid w:val="007D526D"/>
    <w:rsid w:val="007D53D7"/>
    <w:rsid w:val="007D58C3"/>
    <w:rsid w:val="007D5D4C"/>
    <w:rsid w:val="007D5F3F"/>
    <w:rsid w:val="007D612E"/>
    <w:rsid w:val="007D6693"/>
    <w:rsid w:val="007D712C"/>
    <w:rsid w:val="007D74EB"/>
    <w:rsid w:val="007D7508"/>
    <w:rsid w:val="007D750A"/>
    <w:rsid w:val="007D7542"/>
    <w:rsid w:val="007D754E"/>
    <w:rsid w:val="007D7DBD"/>
    <w:rsid w:val="007D7DDA"/>
    <w:rsid w:val="007D7DE8"/>
    <w:rsid w:val="007E0088"/>
    <w:rsid w:val="007E011D"/>
    <w:rsid w:val="007E01A5"/>
    <w:rsid w:val="007E0CB2"/>
    <w:rsid w:val="007E0F7E"/>
    <w:rsid w:val="007E1370"/>
    <w:rsid w:val="007E156D"/>
    <w:rsid w:val="007E159F"/>
    <w:rsid w:val="007E1DAD"/>
    <w:rsid w:val="007E26AB"/>
    <w:rsid w:val="007E27CA"/>
    <w:rsid w:val="007E27F9"/>
    <w:rsid w:val="007E2B47"/>
    <w:rsid w:val="007E3411"/>
    <w:rsid w:val="007E364F"/>
    <w:rsid w:val="007E397F"/>
    <w:rsid w:val="007E3C0C"/>
    <w:rsid w:val="007E3D22"/>
    <w:rsid w:val="007E3FEF"/>
    <w:rsid w:val="007E43C0"/>
    <w:rsid w:val="007E4452"/>
    <w:rsid w:val="007E4593"/>
    <w:rsid w:val="007E4693"/>
    <w:rsid w:val="007E48CF"/>
    <w:rsid w:val="007E4D45"/>
    <w:rsid w:val="007E4F6C"/>
    <w:rsid w:val="007E5333"/>
    <w:rsid w:val="007E54D2"/>
    <w:rsid w:val="007E5955"/>
    <w:rsid w:val="007E5A64"/>
    <w:rsid w:val="007E5BEF"/>
    <w:rsid w:val="007E5E90"/>
    <w:rsid w:val="007E681D"/>
    <w:rsid w:val="007E6B56"/>
    <w:rsid w:val="007E6F5A"/>
    <w:rsid w:val="007E7470"/>
    <w:rsid w:val="007E7854"/>
    <w:rsid w:val="007E7A4D"/>
    <w:rsid w:val="007F00B2"/>
    <w:rsid w:val="007F01D1"/>
    <w:rsid w:val="007F0256"/>
    <w:rsid w:val="007F05A1"/>
    <w:rsid w:val="007F074D"/>
    <w:rsid w:val="007F0811"/>
    <w:rsid w:val="007F08EA"/>
    <w:rsid w:val="007F0C9F"/>
    <w:rsid w:val="007F0F89"/>
    <w:rsid w:val="007F1057"/>
    <w:rsid w:val="007F1259"/>
    <w:rsid w:val="007F13BC"/>
    <w:rsid w:val="007F1556"/>
    <w:rsid w:val="007F1E9B"/>
    <w:rsid w:val="007F1FA7"/>
    <w:rsid w:val="007F22A9"/>
    <w:rsid w:val="007F24AF"/>
    <w:rsid w:val="007F254B"/>
    <w:rsid w:val="007F28A6"/>
    <w:rsid w:val="007F29DA"/>
    <w:rsid w:val="007F2B07"/>
    <w:rsid w:val="007F2B09"/>
    <w:rsid w:val="007F330D"/>
    <w:rsid w:val="007F35D7"/>
    <w:rsid w:val="007F36B5"/>
    <w:rsid w:val="007F3823"/>
    <w:rsid w:val="007F3859"/>
    <w:rsid w:val="007F393A"/>
    <w:rsid w:val="007F3A05"/>
    <w:rsid w:val="007F3C13"/>
    <w:rsid w:val="007F4737"/>
    <w:rsid w:val="007F4C9C"/>
    <w:rsid w:val="007F54AA"/>
    <w:rsid w:val="007F5895"/>
    <w:rsid w:val="007F5B36"/>
    <w:rsid w:val="007F5D91"/>
    <w:rsid w:val="007F5F95"/>
    <w:rsid w:val="007F6304"/>
    <w:rsid w:val="007F6493"/>
    <w:rsid w:val="007F69A0"/>
    <w:rsid w:val="007F6E97"/>
    <w:rsid w:val="007F70CF"/>
    <w:rsid w:val="007F70F2"/>
    <w:rsid w:val="007F7134"/>
    <w:rsid w:val="007F75D9"/>
    <w:rsid w:val="007F76A1"/>
    <w:rsid w:val="007F7894"/>
    <w:rsid w:val="007F7AA1"/>
    <w:rsid w:val="007F7EE5"/>
    <w:rsid w:val="007F7F45"/>
    <w:rsid w:val="0080005C"/>
    <w:rsid w:val="00800351"/>
    <w:rsid w:val="00800576"/>
    <w:rsid w:val="00800A73"/>
    <w:rsid w:val="00800F67"/>
    <w:rsid w:val="0080145A"/>
    <w:rsid w:val="008014C7"/>
    <w:rsid w:val="008015D3"/>
    <w:rsid w:val="00801646"/>
    <w:rsid w:val="008017AE"/>
    <w:rsid w:val="0080194F"/>
    <w:rsid w:val="00801A6B"/>
    <w:rsid w:val="008021F2"/>
    <w:rsid w:val="00802300"/>
    <w:rsid w:val="0080241F"/>
    <w:rsid w:val="008026B5"/>
    <w:rsid w:val="0080272C"/>
    <w:rsid w:val="0080281B"/>
    <w:rsid w:val="00802B76"/>
    <w:rsid w:val="00802ED7"/>
    <w:rsid w:val="0080329A"/>
    <w:rsid w:val="00803430"/>
    <w:rsid w:val="00803EAC"/>
    <w:rsid w:val="00803F4F"/>
    <w:rsid w:val="00803F6C"/>
    <w:rsid w:val="00804268"/>
    <w:rsid w:val="00804491"/>
    <w:rsid w:val="0080499D"/>
    <w:rsid w:val="008049F9"/>
    <w:rsid w:val="00804AF5"/>
    <w:rsid w:val="00804F15"/>
    <w:rsid w:val="00805025"/>
    <w:rsid w:val="008054C0"/>
    <w:rsid w:val="008057ED"/>
    <w:rsid w:val="00805D92"/>
    <w:rsid w:val="00805EF8"/>
    <w:rsid w:val="008063BD"/>
    <w:rsid w:val="00806790"/>
    <w:rsid w:val="008067B6"/>
    <w:rsid w:val="00806818"/>
    <w:rsid w:val="00806A1F"/>
    <w:rsid w:val="00806ACB"/>
    <w:rsid w:val="00806C52"/>
    <w:rsid w:val="00806E88"/>
    <w:rsid w:val="008070FB"/>
    <w:rsid w:val="008072A3"/>
    <w:rsid w:val="00807975"/>
    <w:rsid w:val="00807B5D"/>
    <w:rsid w:val="00807FA9"/>
    <w:rsid w:val="00810F81"/>
    <w:rsid w:val="008113F9"/>
    <w:rsid w:val="00811738"/>
    <w:rsid w:val="008119E1"/>
    <w:rsid w:val="00811DB2"/>
    <w:rsid w:val="00812289"/>
    <w:rsid w:val="008123AA"/>
    <w:rsid w:val="008123DF"/>
    <w:rsid w:val="0081248F"/>
    <w:rsid w:val="00812690"/>
    <w:rsid w:val="008126EE"/>
    <w:rsid w:val="00812A0F"/>
    <w:rsid w:val="00812A76"/>
    <w:rsid w:val="00812BE0"/>
    <w:rsid w:val="00812E45"/>
    <w:rsid w:val="00812F4E"/>
    <w:rsid w:val="00813146"/>
    <w:rsid w:val="00813614"/>
    <w:rsid w:val="00813A23"/>
    <w:rsid w:val="00813B02"/>
    <w:rsid w:val="00813B0D"/>
    <w:rsid w:val="00813CBE"/>
    <w:rsid w:val="00813D4A"/>
    <w:rsid w:val="00814128"/>
    <w:rsid w:val="0081421A"/>
    <w:rsid w:val="00814399"/>
    <w:rsid w:val="008143F9"/>
    <w:rsid w:val="008144B2"/>
    <w:rsid w:val="00814B6F"/>
    <w:rsid w:val="00814BA3"/>
    <w:rsid w:val="00814F26"/>
    <w:rsid w:val="0081504F"/>
    <w:rsid w:val="008150A5"/>
    <w:rsid w:val="008151BC"/>
    <w:rsid w:val="00815283"/>
    <w:rsid w:val="00815636"/>
    <w:rsid w:val="00815824"/>
    <w:rsid w:val="00815839"/>
    <w:rsid w:val="00815AC5"/>
    <w:rsid w:val="00815BCA"/>
    <w:rsid w:val="00815CEA"/>
    <w:rsid w:val="00815DE3"/>
    <w:rsid w:val="008161F6"/>
    <w:rsid w:val="00816447"/>
    <w:rsid w:val="0081656B"/>
    <w:rsid w:val="00816A25"/>
    <w:rsid w:val="00816B4C"/>
    <w:rsid w:val="00816C3F"/>
    <w:rsid w:val="00816CDA"/>
    <w:rsid w:val="00816F8B"/>
    <w:rsid w:val="00817060"/>
    <w:rsid w:val="0081714B"/>
    <w:rsid w:val="00817317"/>
    <w:rsid w:val="008174C0"/>
    <w:rsid w:val="0081777D"/>
    <w:rsid w:val="00817830"/>
    <w:rsid w:val="00817877"/>
    <w:rsid w:val="008179DD"/>
    <w:rsid w:val="0082041E"/>
    <w:rsid w:val="0082055E"/>
    <w:rsid w:val="00820835"/>
    <w:rsid w:val="00820EF0"/>
    <w:rsid w:val="0082104B"/>
    <w:rsid w:val="00821126"/>
    <w:rsid w:val="0082149B"/>
    <w:rsid w:val="0082214E"/>
    <w:rsid w:val="0082223E"/>
    <w:rsid w:val="00822631"/>
    <w:rsid w:val="00822884"/>
    <w:rsid w:val="008228C1"/>
    <w:rsid w:val="00822CD1"/>
    <w:rsid w:val="008232BA"/>
    <w:rsid w:val="00823B0E"/>
    <w:rsid w:val="00823EBD"/>
    <w:rsid w:val="008249FA"/>
    <w:rsid w:val="00824AA3"/>
    <w:rsid w:val="00824B93"/>
    <w:rsid w:val="00825611"/>
    <w:rsid w:val="008256CA"/>
    <w:rsid w:val="008259AD"/>
    <w:rsid w:val="008259BD"/>
    <w:rsid w:val="00825CB2"/>
    <w:rsid w:val="00826025"/>
    <w:rsid w:val="00826280"/>
    <w:rsid w:val="00826623"/>
    <w:rsid w:val="00826A30"/>
    <w:rsid w:val="008272EC"/>
    <w:rsid w:val="008276A0"/>
    <w:rsid w:val="008276A3"/>
    <w:rsid w:val="00827868"/>
    <w:rsid w:val="00830914"/>
    <w:rsid w:val="00830E9E"/>
    <w:rsid w:val="0083123D"/>
    <w:rsid w:val="0083152B"/>
    <w:rsid w:val="008315F5"/>
    <w:rsid w:val="0083194D"/>
    <w:rsid w:val="00831A94"/>
    <w:rsid w:val="00831C49"/>
    <w:rsid w:val="00832001"/>
    <w:rsid w:val="00832110"/>
    <w:rsid w:val="008321A4"/>
    <w:rsid w:val="008323C9"/>
    <w:rsid w:val="00832ADD"/>
    <w:rsid w:val="00832B68"/>
    <w:rsid w:val="00832E65"/>
    <w:rsid w:val="00832EE3"/>
    <w:rsid w:val="00832F95"/>
    <w:rsid w:val="00833106"/>
    <w:rsid w:val="00833595"/>
    <w:rsid w:val="00833C6C"/>
    <w:rsid w:val="00833D31"/>
    <w:rsid w:val="00833E1A"/>
    <w:rsid w:val="008345C7"/>
    <w:rsid w:val="00834611"/>
    <w:rsid w:val="008349F4"/>
    <w:rsid w:val="00834BBF"/>
    <w:rsid w:val="00834D09"/>
    <w:rsid w:val="00834EAA"/>
    <w:rsid w:val="00834ED5"/>
    <w:rsid w:val="008353A6"/>
    <w:rsid w:val="0083574A"/>
    <w:rsid w:val="00835968"/>
    <w:rsid w:val="00835990"/>
    <w:rsid w:val="00835B01"/>
    <w:rsid w:val="00835B87"/>
    <w:rsid w:val="00835C57"/>
    <w:rsid w:val="00835C70"/>
    <w:rsid w:val="00835FF8"/>
    <w:rsid w:val="00836333"/>
    <w:rsid w:val="0083640E"/>
    <w:rsid w:val="008369C1"/>
    <w:rsid w:val="00837807"/>
    <w:rsid w:val="00837981"/>
    <w:rsid w:val="00837AF2"/>
    <w:rsid w:val="00837EDE"/>
    <w:rsid w:val="00840596"/>
    <w:rsid w:val="00840A1E"/>
    <w:rsid w:val="008411DC"/>
    <w:rsid w:val="00841877"/>
    <w:rsid w:val="00841AAF"/>
    <w:rsid w:val="00841BA7"/>
    <w:rsid w:val="00841C0B"/>
    <w:rsid w:val="00841E3E"/>
    <w:rsid w:val="0084293F"/>
    <w:rsid w:val="00842B85"/>
    <w:rsid w:val="00842C3C"/>
    <w:rsid w:val="00842EBE"/>
    <w:rsid w:val="0084305C"/>
    <w:rsid w:val="0084309F"/>
    <w:rsid w:val="008433FB"/>
    <w:rsid w:val="00843470"/>
    <w:rsid w:val="0084384C"/>
    <w:rsid w:val="00843A6D"/>
    <w:rsid w:val="0084459B"/>
    <w:rsid w:val="008448FF"/>
    <w:rsid w:val="008459E1"/>
    <w:rsid w:val="00845A9D"/>
    <w:rsid w:val="008469AB"/>
    <w:rsid w:val="00846C84"/>
    <w:rsid w:val="00846E3C"/>
    <w:rsid w:val="0084735B"/>
    <w:rsid w:val="00847517"/>
    <w:rsid w:val="00847A6D"/>
    <w:rsid w:val="00847C8B"/>
    <w:rsid w:val="00847CCE"/>
    <w:rsid w:val="00847FEB"/>
    <w:rsid w:val="0085060D"/>
    <w:rsid w:val="00850935"/>
    <w:rsid w:val="00850A5B"/>
    <w:rsid w:val="00850BF1"/>
    <w:rsid w:val="00850C70"/>
    <w:rsid w:val="00851442"/>
    <w:rsid w:val="00851B4E"/>
    <w:rsid w:val="00851F10"/>
    <w:rsid w:val="0085201D"/>
    <w:rsid w:val="008523C5"/>
    <w:rsid w:val="00852496"/>
    <w:rsid w:val="008525F1"/>
    <w:rsid w:val="00852D51"/>
    <w:rsid w:val="0085321F"/>
    <w:rsid w:val="0085345C"/>
    <w:rsid w:val="008544BF"/>
    <w:rsid w:val="00854502"/>
    <w:rsid w:val="00854556"/>
    <w:rsid w:val="008545F0"/>
    <w:rsid w:val="00854AAC"/>
    <w:rsid w:val="00854D34"/>
    <w:rsid w:val="00855023"/>
    <w:rsid w:val="00855080"/>
    <w:rsid w:val="008554F5"/>
    <w:rsid w:val="00855853"/>
    <w:rsid w:val="008558A8"/>
    <w:rsid w:val="00856477"/>
    <w:rsid w:val="00856993"/>
    <w:rsid w:val="00856CE0"/>
    <w:rsid w:val="00856DD1"/>
    <w:rsid w:val="00856F31"/>
    <w:rsid w:val="008570C6"/>
    <w:rsid w:val="00857508"/>
    <w:rsid w:val="00857624"/>
    <w:rsid w:val="00857AAC"/>
    <w:rsid w:val="00857C97"/>
    <w:rsid w:val="00857F12"/>
    <w:rsid w:val="00857FC2"/>
    <w:rsid w:val="008602D3"/>
    <w:rsid w:val="00860558"/>
    <w:rsid w:val="0086066A"/>
    <w:rsid w:val="00861203"/>
    <w:rsid w:val="008612C6"/>
    <w:rsid w:val="00861544"/>
    <w:rsid w:val="008615B5"/>
    <w:rsid w:val="00861A06"/>
    <w:rsid w:val="00861BE6"/>
    <w:rsid w:val="00861ED3"/>
    <w:rsid w:val="00861FDF"/>
    <w:rsid w:val="00862010"/>
    <w:rsid w:val="00862544"/>
    <w:rsid w:val="008626BE"/>
    <w:rsid w:val="008627E5"/>
    <w:rsid w:val="00862C15"/>
    <w:rsid w:val="00862C26"/>
    <w:rsid w:val="00863326"/>
    <w:rsid w:val="0086338C"/>
    <w:rsid w:val="0086350E"/>
    <w:rsid w:val="00863ACC"/>
    <w:rsid w:val="00863AEE"/>
    <w:rsid w:val="00863B66"/>
    <w:rsid w:val="00863BDA"/>
    <w:rsid w:val="00863E29"/>
    <w:rsid w:val="00863EBF"/>
    <w:rsid w:val="00864034"/>
    <w:rsid w:val="00864494"/>
    <w:rsid w:val="00864513"/>
    <w:rsid w:val="00864521"/>
    <w:rsid w:val="0086487F"/>
    <w:rsid w:val="0086493A"/>
    <w:rsid w:val="00864A64"/>
    <w:rsid w:val="00864F20"/>
    <w:rsid w:val="00865166"/>
    <w:rsid w:val="00865496"/>
    <w:rsid w:val="00865640"/>
    <w:rsid w:val="00865683"/>
    <w:rsid w:val="00866419"/>
    <w:rsid w:val="00866F5B"/>
    <w:rsid w:val="0086723C"/>
    <w:rsid w:val="008674F0"/>
    <w:rsid w:val="00867885"/>
    <w:rsid w:val="00867905"/>
    <w:rsid w:val="0086797B"/>
    <w:rsid w:val="00867B09"/>
    <w:rsid w:val="00867FAD"/>
    <w:rsid w:val="0087039D"/>
    <w:rsid w:val="008714EF"/>
    <w:rsid w:val="00871528"/>
    <w:rsid w:val="008715DB"/>
    <w:rsid w:val="008716D6"/>
    <w:rsid w:val="00871847"/>
    <w:rsid w:val="0087198A"/>
    <w:rsid w:val="00871AE5"/>
    <w:rsid w:val="00871B6A"/>
    <w:rsid w:val="00871D55"/>
    <w:rsid w:val="00871F5B"/>
    <w:rsid w:val="00872111"/>
    <w:rsid w:val="0087228A"/>
    <w:rsid w:val="00872396"/>
    <w:rsid w:val="00872564"/>
    <w:rsid w:val="0087275B"/>
    <w:rsid w:val="00872A66"/>
    <w:rsid w:val="00872C87"/>
    <w:rsid w:val="00873301"/>
    <w:rsid w:val="00873468"/>
    <w:rsid w:val="00873B48"/>
    <w:rsid w:val="00873B6C"/>
    <w:rsid w:val="00873DC9"/>
    <w:rsid w:val="00873ED1"/>
    <w:rsid w:val="00873F80"/>
    <w:rsid w:val="0087400D"/>
    <w:rsid w:val="00874059"/>
    <w:rsid w:val="008748E9"/>
    <w:rsid w:val="00874911"/>
    <w:rsid w:val="00874A06"/>
    <w:rsid w:val="00874EC0"/>
    <w:rsid w:val="00874F18"/>
    <w:rsid w:val="00874FBF"/>
    <w:rsid w:val="00875166"/>
    <w:rsid w:val="00875378"/>
    <w:rsid w:val="00875600"/>
    <w:rsid w:val="008757A6"/>
    <w:rsid w:val="008769FD"/>
    <w:rsid w:val="00876BBA"/>
    <w:rsid w:val="008771B7"/>
    <w:rsid w:val="00877420"/>
    <w:rsid w:val="008778F1"/>
    <w:rsid w:val="008779DE"/>
    <w:rsid w:val="00877B71"/>
    <w:rsid w:val="00877F1D"/>
    <w:rsid w:val="008802B3"/>
    <w:rsid w:val="00880387"/>
    <w:rsid w:val="00880675"/>
    <w:rsid w:val="008807F8"/>
    <w:rsid w:val="00880CCA"/>
    <w:rsid w:val="00880D75"/>
    <w:rsid w:val="00880EC6"/>
    <w:rsid w:val="00881023"/>
    <w:rsid w:val="00881211"/>
    <w:rsid w:val="008812B0"/>
    <w:rsid w:val="0088134C"/>
    <w:rsid w:val="00881411"/>
    <w:rsid w:val="00881506"/>
    <w:rsid w:val="008817A2"/>
    <w:rsid w:val="00881890"/>
    <w:rsid w:val="00881AB6"/>
    <w:rsid w:val="00881D2E"/>
    <w:rsid w:val="008822D1"/>
    <w:rsid w:val="008823E6"/>
    <w:rsid w:val="0088293B"/>
    <w:rsid w:val="00882954"/>
    <w:rsid w:val="00882BF7"/>
    <w:rsid w:val="00882F1D"/>
    <w:rsid w:val="00882F70"/>
    <w:rsid w:val="008830C5"/>
    <w:rsid w:val="0088318B"/>
    <w:rsid w:val="008836E0"/>
    <w:rsid w:val="0088379F"/>
    <w:rsid w:val="008838B1"/>
    <w:rsid w:val="008839A7"/>
    <w:rsid w:val="00883C71"/>
    <w:rsid w:val="008841FB"/>
    <w:rsid w:val="00884547"/>
    <w:rsid w:val="008846F2"/>
    <w:rsid w:val="008847F0"/>
    <w:rsid w:val="00884890"/>
    <w:rsid w:val="00884C2F"/>
    <w:rsid w:val="00884FA8"/>
    <w:rsid w:val="008850E4"/>
    <w:rsid w:val="008853E7"/>
    <w:rsid w:val="008853ED"/>
    <w:rsid w:val="00885449"/>
    <w:rsid w:val="008855AB"/>
    <w:rsid w:val="00885BC1"/>
    <w:rsid w:val="00885C00"/>
    <w:rsid w:val="00885C5C"/>
    <w:rsid w:val="00885D4B"/>
    <w:rsid w:val="00885DC9"/>
    <w:rsid w:val="00886136"/>
    <w:rsid w:val="00886198"/>
    <w:rsid w:val="008863E5"/>
    <w:rsid w:val="00886D3C"/>
    <w:rsid w:val="00886E3D"/>
    <w:rsid w:val="00886F20"/>
    <w:rsid w:val="00886FA0"/>
    <w:rsid w:val="00887182"/>
    <w:rsid w:val="00887732"/>
    <w:rsid w:val="00890380"/>
    <w:rsid w:val="0089090D"/>
    <w:rsid w:val="00890A7B"/>
    <w:rsid w:val="00890ADA"/>
    <w:rsid w:val="00890F23"/>
    <w:rsid w:val="00890FCA"/>
    <w:rsid w:val="00891094"/>
    <w:rsid w:val="008911DB"/>
    <w:rsid w:val="00891492"/>
    <w:rsid w:val="008915E9"/>
    <w:rsid w:val="00891889"/>
    <w:rsid w:val="00891896"/>
    <w:rsid w:val="008918BE"/>
    <w:rsid w:val="00891AED"/>
    <w:rsid w:val="00891C52"/>
    <w:rsid w:val="00891D60"/>
    <w:rsid w:val="0089213A"/>
    <w:rsid w:val="00892212"/>
    <w:rsid w:val="00892359"/>
    <w:rsid w:val="00892387"/>
    <w:rsid w:val="00892DEA"/>
    <w:rsid w:val="00893140"/>
    <w:rsid w:val="008931AE"/>
    <w:rsid w:val="0089327E"/>
    <w:rsid w:val="00893510"/>
    <w:rsid w:val="00893578"/>
    <w:rsid w:val="00893913"/>
    <w:rsid w:val="00893BE9"/>
    <w:rsid w:val="00893EB3"/>
    <w:rsid w:val="00894149"/>
    <w:rsid w:val="0089487F"/>
    <w:rsid w:val="0089490D"/>
    <w:rsid w:val="00894EB3"/>
    <w:rsid w:val="00894F13"/>
    <w:rsid w:val="00894F54"/>
    <w:rsid w:val="008951F3"/>
    <w:rsid w:val="00895219"/>
    <w:rsid w:val="008953E3"/>
    <w:rsid w:val="00895542"/>
    <w:rsid w:val="0089559A"/>
    <w:rsid w:val="0089568D"/>
    <w:rsid w:val="00895E9F"/>
    <w:rsid w:val="00896117"/>
    <w:rsid w:val="00896257"/>
    <w:rsid w:val="0089661C"/>
    <w:rsid w:val="00896A05"/>
    <w:rsid w:val="00896AB0"/>
    <w:rsid w:val="00896BD1"/>
    <w:rsid w:val="0089745C"/>
    <w:rsid w:val="0089792A"/>
    <w:rsid w:val="00897A35"/>
    <w:rsid w:val="00897B10"/>
    <w:rsid w:val="00897C1C"/>
    <w:rsid w:val="00897FC2"/>
    <w:rsid w:val="00897FE0"/>
    <w:rsid w:val="008A00C3"/>
    <w:rsid w:val="008A021A"/>
    <w:rsid w:val="008A02DB"/>
    <w:rsid w:val="008A0362"/>
    <w:rsid w:val="008A03DB"/>
    <w:rsid w:val="008A0943"/>
    <w:rsid w:val="008A0B11"/>
    <w:rsid w:val="008A0D03"/>
    <w:rsid w:val="008A109C"/>
    <w:rsid w:val="008A1227"/>
    <w:rsid w:val="008A177E"/>
    <w:rsid w:val="008A1A31"/>
    <w:rsid w:val="008A1BF2"/>
    <w:rsid w:val="008A1D26"/>
    <w:rsid w:val="008A1E4D"/>
    <w:rsid w:val="008A21FF"/>
    <w:rsid w:val="008A2207"/>
    <w:rsid w:val="008A2537"/>
    <w:rsid w:val="008A260E"/>
    <w:rsid w:val="008A2D4E"/>
    <w:rsid w:val="008A2DA7"/>
    <w:rsid w:val="008A2E09"/>
    <w:rsid w:val="008A3008"/>
    <w:rsid w:val="008A30B1"/>
    <w:rsid w:val="008A32B0"/>
    <w:rsid w:val="008A3A5E"/>
    <w:rsid w:val="008A3DBE"/>
    <w:rsid w:val="008A3E57"/>
    <w:rsid w:val="008A40B4"/>
    <w:rsid w:val="008A441C"/>
    <w:rsid w:val="008A4700"/>
    <w:rsid w:val="008A4946"/>
    <w:rsid w:val="008A5005"/>
    <w:rsid w:val="008A520C"/>
    <w:rsid w:val="008A55FC"/>
    <w:rsid w:val="008A59E2"/>
    <w:rsid w:val="008A5CAD"/>
    <w:rsid w:val="008A5D09"/>
    <w:rsid w:val="008A5DE4"/>
    <w:rsid w:val="008A5E8B"/>
    <w:rsid w:val="008A61F7"/>
    <w:rsid w:val="008A6ACA"/>
    <w:rsid w:val="008A6C8C"/>
    <w:rsid w:val="008A737B"/>
    <w:rsid w:val="008A761E"/>
    <w:rsid w:val="008A7B34"/>
    <w:rsid w:val="008B0096"/>
    <w:rsid w:val="008B0281"/>
    <w:rsid w:val="008B0307"/>
    <w:rsid w:val="008B04DC"/>
    <w:rsid w:val="008B04EA"/>
    <w:rsid w:val="008B0752"/>
    <w:rsid w:val="008B0A16"/>
    <w:rsid w:val="008B0BF2"/>
    <w:rsid w:val="008B1080"/>
    <w:rsid w:val="008B1091"/>
    <w:rsid w:val="008B1323"/>
    <w:rsid w:val="008B133E"/>
    <w:rsid w:val="008B18E6"/>
    <w:rsid w:val="008B1BF9"/>
    <w:rsid w:val="008B206A"/>
    <w:rsid w:val="008B2BC8"/>
    <w:rsid w:val="008B2DB5"/>
    <w:rsid w:val="008B2E0C"/>
    <w:rsid w:val="008B2F7D"/>
    <w:rsid w:val="008B367A"/>
    <w:rsid w:val="008B37F2"/>
    <w:rsid w:val="008B387D"/>
    <w:rsid w:val="008B3884"/>
    <w:rsid w:val="008B3A0C"/>
    <w:rsid w:val="008B3A12"/>
    <w:rsid w:val="008B4B2C"/>
    <w:rsid w:val="008B5069"/>
    <w:rsid w:val="008B55D2"/>
    <w:rsid w:val="008B576E"/>
    <w:rsid w:val="008B5C73"/>
    <w:rsid w:val="008B678E"/>
    <w:rsid w:val="008B688B"/>
    <w:rsid w:val="008B6D55"/>
    <w:rsid w:val="008B76AC"/>
    <w:rsid w:val="008B7811"/>
    <w:rsid w:val="008B7879"/>
    <w:rsid w:val="008B78EB"/>
    <w:rsid w:val="008B7B63"/>
    <w:rsid w:val="008B7B7C"/>
    <w:rsid w:val="008B7C3F"/>
    <w:rsid w:val="008B7D25"/>
    <w:rsid w:val="008C001D"/>
    <w:rsid w:val="008C00CE"/>
    <w:rsid w:val="008C0242"/>
    <w:rsid w:val="008C0385"/>
    <w:rsid w:val="008C0465"/>
    <w:rsid w:val="008C0B89"/>
    <w:rsid w:val="008C0EBC"/>
    <w:rsid w:val="008C1586"/>
    <w:rsid w:val="008C17AC"/>
    <w:rsid w:val="008C1B9B"/>
    <w:rsid w:val="008C2071"/>
    <w:rsid w:val="008C295B"/>
    <w:rsid w:val="008C31AF"/>
    <w:rsid w:val="008C348E"/>
    <w:rsid w:val="008C3C05"/>
    <w:rsid w:val="008C4283"/>
    <w:rsid w:val="008C4875"/>
    <w:rsid w:val="008C488F"/>
    <w:rsid w:val="008C4C86"/>
    <w:rsid w:val="008C5224"/>
    <w:rsid w:val="008C52A9"/>
    <w:rsid w:val="008C5363"/>
    <w:rsid w:val="008C545E"/>
    <w:rsid w:val="008C57B8"/>
    <w:rsid w:val="008C58F0"/>
    <w:rsid w:val="008C5A7E"/>
    <w:rsid w:val="008C5B83"/>
    <w:rsid w:val="008C64CF"/>
    <w:rsid w:val="008C65CA"/>
    <w:rsid w:val="008C6851"/>
    <w:rsid w:val="008C6DFF"/>
    <w:rsid w:val="008C7080"/>
    <w:rsid w:val="008C71C6"/>
    <w:rsid w:val="008C7878"/>
    <w:rsid w:val="008C79BF"/>
    <w:rsid w:val="008C79F1"/>
    <w:rsid w:val="008C7F8C"/>
    <w:rsid w:val="008D0A2E"/>
    <w:rsid w:val="008D1160"/>
    <w:rsid w:val="008D1193"/>
    <w:rsid w:val="008D1DCE"/>
    <w:rsid w:val="008D210F"/>
    <w:rsid w:val="008D25F2"/>
    <w:rsid w:val="008D2B79"/>
    <w:rsid w:val="008D2EFF"/>
    <w:rsid w:val="008D3281"/>
    <w:rsid w:val="008D33E6"/>
    <w:rsid w:val="008D3726"/>
    <w:rsid w:val="008D372A"/>
    <w:rsid w:val="008D37B2"/>
    <w:rsid w:val="008D3905"/>
    <w:rsid w:val="008D3F4F"/>
    <w:rsid w:val="008D3FD6"/>
    <w:rsid w:val="008D44A7"/>
    <w:rsid w:val="008D49C6"/>
    <w:rsid w:val="008D4BD0"/>
    <w:rsid w:val="008D5397"/>
    <w:rsid w:val="008D5557"/>
    <w:rsid w:val="008D5BE9"/>
    <w:rsid w:val="008D5C89"/>
    <w:rsid w:val="008D62FF"/>
    <w:rsid w:val="008D6416"/>
    <w:rsid w:val="008D6489"/>
    <w:rsid w:val="008D6947"/>
    <w:rsid w:val="008D69F0"/>
    <w:rsid w:val="008D750A"/>
    <w:rsid w:val="008D7C32"/>
    <w:rsid w:val="008D7E43"/>
    <w:rsid w:val="008E0064"/>
    <w:rsid w:val="008E0184"/>
    <w:rsid w:val="008E0198"/>
    <w:rsid w:val="008E05C3"/>
    <w:rsid w:val="008E05F3"/>
    <w:rsid w:val="008E076B"/>
    <w:rsid w:val="008E0AE6"/>
    <w:rsid w:val="008E0AFC"/>
    <w:rsid w:val="008E0B51"/>
    <w:rsid w:val="008E0EEC"/>
    <w:rsid w:val="008E0FAB"/>
    <w:rsid w:val="008E11E9"/>
    <w:rsid w:val="008E17E2"/>
    <w:rsid w:val="008E1C91"/>
    <w:rsid w:val="008E1E71"/>
    <w:rsid w:val="008E2092"/>
    <w:rsid w:val="008E20CD"/>
    <w:rsid w:val="008E22AF"/>
    <w:rsid w:val="008E22F8"/>
    <w:rsid w:val="008E26A4"/>
    <w:rsid w:val="008E323F"/>
    <w:rsid w:val="008E3733"/>
    <w:rsid w:val="008E37C9"/>
    <w:rsid w:val="008E3F8E"/>
    <w:rsid w:val="008E4948"/>
    <w:rsid w:val="008E4D54"/>
    <w:rsid w:val="008E4F73"/>
    <w:rsid w:val="008E567E"/>
    <w:rsid w:val="008E596D"/>
    <w:rsid w:val="008E5A88"/>
    <w:rsid w:val="008E5BB9"/>
    <w:rsid w:val="008E5CA2"/>
    <w:rsid w:val="008E5F71"/>
    <w:rsid w:val="008E6465"/>
    <w:rsid w:val="008E6748"/>
    <w:rsid w:val="008E683B"/>
    <w:rsid w:val="008E68A8"/>
    <w:rsid w:val="008E6AC7"/>
    <w:rsid w:val="008E6B59"/>
    <w:rsid w:val="008E7121"/>
    <w:rsid w:val="008E74D1"/>
    <w:rsid w:val="008E74E6"/>
    <w:rsid w:val="008E778B"/>
    <w:rsid w:val="008E7981"/>
    <w:rsid w:val="008E7A48"/>
    <w:rsid w:val="008E7C16"/>
    <w:rsid w:val="008E7F14"/>
    <w:rsid w:val="008F00D7"/>
    <w:rsid w:val="008F01D7"/>
    <w:rsid w:val="008F0BA2"/>
    <w:rsid w:val="008F0D72"/>
    <w:rsid w:val="008F0E3C"/>
    <w:rsid w:val="008F1360"/>
    <w:rsid w:val="008F146D"/>
    <w:rsid w:val="008F1527"/>
    <w:rsid w:val="008F19DE"/>
    <w:rsid w:val="008F1C05"/>
    <w:rsid w:val="008F1D46"/>
    <w:rsid w:val="008F2292"/>
    <w:rsid w:val="008F258F"/>
    <w:rsid w:val="008F2B2B"/>
    <w:rsid w:val="008F2E31"/>
    <w:rsid w:val="008F32E1"/>
    <w:rsid w:val="008F33C8"/>
    <w:rsid w:val="008F35D0"/>
    <w:rsid w:val="008F3916"/>
    <w:rsid w:val="008F39A4"/>
    <w:rsid w:val="008F3ABD"/>
    <w:rsid w:val="008F4125"/>
    <w:rsid w:val="008F4390"/>
    <w:rsid w:val="008F445F"/>
    <w:rsid w:val="008F460C"/>
    <w:rsid w:val="008F4719"/>
    <w:rsid w:val="008F4BC1"/>
    <w:rsid w:val="008F4CC4"/>
    <w:rsid w:val="008F4E97"/>
    <w:rsid w:val="008F5089"/>
    <w:rsid w:val="008F5336"/>
    <w:rsid w:val="008F53EF"/>
    <w:rsid w:val="008F55ED"/>
    <w:rsid w:val="008F5967"/>
    <w:rsid w:val="008F5B61"/>
    <w:rsid w:val="008F60B1"/>
    <w:rsid w:val="008F61E9"/>
    <w:rsid w:val="008F633B"/>
    <w:rsid w:val="008F63B3"/>
    <w:rsid w:val="008F63F1"/>
    <w:rsid w:val="008F654E"/>
    <w:rsid w:val="008F6700"/>
    <w:rsid w:val="008F67FC"/>
    <w:rsid w:val="008F6A12"/>
    <w:rsid w:val="008F6A44"/>
    <w:rsid w:val="008F733D"/>
    <w:rsid w:val="008F7418"/>
    <w:rsid w:val="008F77BA"/>
    <w:rsid w:val="008F7BCF"/>
    <w:rsid w:val="008F7DA8"/>
    <w:rsid w:val="008F7FA1"/>
    <w:rsid w:val="008F7FD0"/>
    <w:rsid w:val="009002F0"/>
    <w:rsid w:val="00900346"/>
    <w:rsid w:val="00900743"/>
    <w:rsid w:val="00900A48"/>
    <w:rsid w:val="00901536"/>
    <w:rsid w:val="0090173E"/>
    <w:rsid w:val="00901AD5"/>
    <w:rsid w:val="00901B40"/>
    <w:rsid w:val="00901C36"/>
    <w:rsid w:val="00901C38"/>
    <w:rsid w:val="00901D5F"/>
    <w:rsid w:val="00902205"/>
    <w:rsid w:val="0090250F"/>
    <w:rsid w:val="00902623"/>
    <w:rsid w:val="00902684"/>
    <w:rsid w:val="00902A0C"/>
    <w:rsid w:val="00902AFA"/>
    <w:rsid w:val="00902B5F"/>
    <w:rsid w:val="00903057"/>
    <w:rsid w:val="00903269"/>
    <w:rsid w:val="0090338F"/>
    <w:rsid w:val="009034CE"/>
    <w:rsid w:val="00903745"/>
    <w:rsid w:val="00903CC6"/>
    <w:rsid w:val="00903D42"/>
    <w:rsid w:val="00903E95"/>
    <w:rsid w:val="00903F98"/>
    <w:rsid w:val="009041FD"/>
    <w:rsid w:val="00904344"/>
    <w:rsid w:val="009047DD"/>
    <w:rsid w:val="00904918"/>
    <w:rsid w:val="00904BF8"/>
    <w:rsid w:val="00904C1B"/>
    <w:rsid w:val="00904CE9"/>
    <w:rsid w:val="009051A9"/>
    <w:rsid w:val="009054B7"/>
    <w:rsid w:val="009055CF"/>
    <w:rsid w:val="009055F5"/>
    <w:rsid w:val="00905778"/>
    <w:rsid w:val="00906231"/>
    <w:rsid w:val="00906273"/>
    <w:rsid w:val="0090661B"/>
    <w:rsid w:val="0090678E"/>
    <w:rsid w:val="00906B85"/>
    <w:rsid w:val="00906CE9"/>
    <w:rsid w:val="00906D6B"/>
    <w:rsid w:val="00907151"/>
    <w:rsid w:val="0090723E"/>
    <w:rsid w:val="0090748E"/>
    <w:rsid w:val="0090770F"/>
    <w:rsid w:val="00907897"/>
    <w:rsid w:val="009078D6"/>
    <w:rsid w:val="00907B13"/>
    <w:rsid w:val="00907B53"/>
    <w:rsid w:val="009101F5"/>
    <w:rsid w:val="00910221"/>
    <w:rsid w:val="009103FC"/>
    <w:rsid w:val="00910575"/>
    <w:rsid w:val="00910AD6"/>
    <w:rsid w:val="00910CBC"/>
    <w:rsid w:val="00910E84"/>
    <w:rsid w:val="00911350"/>
    <w:rsid w:val="00911C95"/>
    <w:rsid w:val="00911DF5"/>
    <w:rsid w:val="00911EFE"/>
    <w:rsid w:val="00912061"/>
    <w:rsid w:val="00913248"/>
    <w:rsid w:val="00913329"/>
    <w:rsid w:val="00913B84"/>
    <w:rsid w:val="00913B9A"/>
    <w:rsid w:val="00913DDD"/>
    <w:rsid w:val="009142AC"/>
    <w:rsid w:val="009143D4"/>
    <w:rsid w:val="0091452C"/>
    <w:rsid w:val="00914796"/>
    <w:rsid w:val="00914806"/>
    <w:rsid w:val="00914E33"/>
    <w:rsid w:val="00915033"/>
    <w:rsid w:val="00915415"/>
    <w:rsid w:val="009156E9"/>
    <w:rsid w:val="00915C2E"/>
    <w:rsid w:val="00915DC7"/>
    <w:rsid w:val="00915EC4"/>
    <w:rsid w:val="00915F1E"/>
    <w:rsid w:val="00916862"/>
    <w:rsid w:val="009168A2"/>
    <w:rsid w:val="00916C20"/>
    <w:rsid w:val="0091726E"/>
    <w:rsid w:val="009173F1"/>
    <w:rsid w:val="00917505"/>
    <w:rsid w:val="009177A9"/>
    <w:rsid w:val="0091791A"/>
    <w:rsid w:val="00917926"/>
    <w:rsid w:val="00917AEB"/>
    <w:rsid w:val="00917BCB"/>
    <w:rsid w:val="00917BEB"/>
    <w:rsid w:val="00917CE1"/>
    <w:rsid w:val="00917ED5"/>
    <w:rsid w:val="00917FE1"/>
    <w:rsid w:val="009203E5"/>
    <w:rsid w:val="0092045B"/>
    <w:rsid w:val="0092054D"/>
    <w:rsid w:val="0092070D"/>
    <w:rsid w:val="00920749"/>
    <w:rsid w:val="00920B5A"/>
    <w:rsid w:val="0092140C"/>
    <w:rsid w:val="0092155C"/>
    <w:rsid w:val="00921634"/>
    <w:rsid w:val="00921665"/>
    <w:rsid w:val="00921FA5"/>
    <w:rsid w:val="00922271"/>
    <w:rsid w:val="0092236D"/>
    <w:rsid w:val="009224D7"/>
    <w:rsid w:val="0092257C"/>
    <w:rsid w:val="009225C2"/>
    <w:rsid w:val="009227CC"/>
    <w:rsid w:val="009227CD"/>
    <w:rsid w:val="00922829"/>
    <w:rsid w:val="009229E9"/>
    <w:rsid w:val="00922E17"/>
    <w:rsid w:val="0092308C"/>
    <w:rsid w:val="0092322F"/>
    <w:rsid w:val="009235B3"/>
    <w:rsid w:val="009236D4"/>
    <w:rsid w:val="009238F2"/>
    <w:rsid w:val="0092391E"/>
    <w:rsid w:val="0092397F"/>
    <w:rsid w:val="00923C7F"/>
    <w:rsid w:val="00923D6F"/>
    <w:rsid w:val="00924227"/>
    <w:rsid w:val="00924AE1"/>
    <w:rsid w:val="00924CD9"/>
    <w:rsid w:val="00925030"/>
    <w:rsid w:val="00925261"/>
    <w:rsid w:val="00925472"/>
    <w:rsid w:val="00925689"/>
    <w:rsid w:val="00925AC5"/>
    <w:rsid w:val="00925F74"/>
    <w:rsid w:val="009261CB"/>
    <w:rsid w:val="00926218"/>
    <w:rsid w:val="00926413"/>
    <w:rsid w:val="009264A1"/>
    <w:rsid w:val="0092656C"/>
    <w:rsid w:val="009265A7"/>
    <w:rsid w:val="009266E4"/>
    <w:rsid w:val="0092683A"/>
    <w:rsid w:val="00926A07"/>
    <w:rsid w:val="00926F6C"/>
    <w:rsid w:val="00926F73"/>
    <w:rsid w:val="00926FE8"/>
    <w:rsid w:val="009271CF"/>
    <w:rsid w:val="0092754A"/>
    <w:rsid w:val="009276C2"/>
    <w:rsid w:val="009276DD"/>
    <w:rsid w:val="00927787"/>
    <w:rsid w:val="00927A50"/>
    <w:rsid w:val="00927C57"/>
    <w:rsid w:val="00927D47"/>
    <w:rsid w:val="0093017F"/>
    <w:rsid w:val="00930463"/>
    <w:rsid w:val="0093104A"/>
    <w:rsid w:val="0093176A"/>
    <w:rsid w:val="009317DC"/>
    <w:rsid w:val="00931B2B"/>
    <w:rsid w:val="00931DC4"/>
    <w:rsid w:val="00931E83"/>
    <w:rsid w:val="00931EE4"/>
    <w:rsid w:val="00932100"/>
    <w:rsid w:val="0093219D"/>
    <w:rsid w:val="00932265"/>
    <w:rsid w:val="009328F7"/>
    <w:rsid w:val="00932C75"/>
    <w:rsid w:val="009334C1"/>
    <w:rsid w:val="00933655"/>
    <w:rsid w:val="00933707"/>
    <w:rsid w:val="009337C9"/>
    <w:rsid w:val="00933F31"/>
    <w:rsid w:val="009340FB"/>
    <w:rsid w:val="00934445"/>
    <w:rsid w:val="00934BA2"/>
    <w:rsid w:val="00934BCC"/>
    <w:rsid w:val="00934D20"/>
    <w:rsid w:val="00934DEF"/>
    <w:rsid w:val="00934F5D"/>
    <w:rsid w:val="00935260"/>
    <w:rsid w:val="009353CD"/>
    <w:rsid w:val="00936147"/>
    <w:rsid w:val="00936565"/>
    <w:rsid w:val="00936B66"/>
    <w:rsid w:val="00936C72"/>
    <w:rsid w:val="00936CD9"/>
    <w:rsid w:val="00936FB7"/>
    <w:rsid w:val="00937280"/>
    <w:rsid w:val="009372EA"/>
    <w:rsid w:val="00937307"/>
    <w:rsid w:val="009375E3"/>
    <w:rsid w:val="0093767F"/>
    <w:rsid w:val="0093790C"/>
    <w:rsid w:val="00940B85"/>
    <w:rsid w:val="00940FFB"/>
    <w:rsid w:val="009411F6"/>
    <w:rsid w:val="009411F7"/>
    <w:rsid w:val="009411FF"/>
    <w:rsid w:val="009414DD"/>
    <w:rsid w:val="00941574"/>
    <w:rsid w:val="00942191"/>
    <w:rsid w:val="00942869"/>
    <w:rsid w:val="00942A7C"/>
    <w:rsid w:val="00942B70"/>
    <w:rsid w:val="00942C3A"/>
    <w:rsid w:val="00942C71"/>
    <w:rsid w:val="00944848"/>
    <w:rsid w:val="00944935"/>
    <w:rsid w:val="00944A3B"/>
    <w:rsid w:val="00944B81"/>
    <w:rsid w:val="00944BDB"/>
    <w:rsid w:val="00944E57"/>
    <w:rsid w:val="00944FCE"/>
    <w:rsid w:val="0094517D"/>
    <w:rsid w:val="009451C0"/>
    <w:rsid w:val="00945212"/>
    <w:rsid w:val="00945230"/>
    <w:rsid w:val="00945604"/>
    <w:rsid w:val="009456FB"/>
    <w:rsid w:val="00945B3F"/>
    <w:rsid w:val="00945CB2"/>
    <w:rsid w:val="00945CC9"/>
    <w:rsid w:val="0094601A"/>
    <w:rsid w:val="009467F2"/>
    <w:rsid w:val="00946B83"/>
    <w:rsid w:val="00946C5C"/>
    <w:rsid w:val="00946CB3"/>
    <w:rsid w:val="00946D46"/>
    <w:rsid w:val="009472E4"/>
    <w:rsid w:val="00947C62"/>
    <w:rsid w:val="00947EF2"/>
    <w:rsid w:val="00950A1B"/>
    <w:rsid w:val="00950C55"/>
    <w:rsid w:val="00950C86"/>
    <w:rsid w:val="00951274"/>
    <w:rsid w:val="009514E1"/>
    <w:rsid w:val="00951771"/>
    <w:rsid w:val="00951860"/>
    <w:rsid w:val="00951DC7"/>
    <w:rsid w:val="00951FF4"/>
    <w:rsid w:val="009526D7"/>
    <w:rsid w:val="00952983"/>
    <w:rsid w:val="0095299D"/>
    <w:rsid w:val="00952F88"/>
    <w:rsid w:val="009534F9"/>
    <w:rsid w:val="00953501"/>
    <w:rsid w:val="00953805"/>
    <w:rsid w:val="0095393F"/>
    <w:rsid w:val="00953A30"/>
    <w:rsid w:val="009541A2"/>
    <w:rsid w:val="00954816"/>
    <w:rsid w:val="00954823"/>
    <w:rsid w:val="00954909"/>
    <w:rsid w:val="00954E95"/>
    <w:rsid w:val="0095524F"/>
    <w:rsid w:val="0095570F"/>
    <w:rsid w:val="009557AE"/>
    <w:rsid w:val="009558FA"/>
    <w:rsid w:val="00955963"/>
    <w:rsid w:val="00955A12"/>
    <w:rsid w:val="00955B11"/>
    <w:rsid w:val="00955FB2"/>
    <w:rsid w:val="00956037"/>
    <w:rsid w:val="009562CF"/>
    <w:rsid w:val="00956315"/>
    <w:rsid w:val="00956369"/>
    <w:rsid w:val="00956AD2"/>
    <w:rsid w:val="00956B65"/>
    <w:rsid w:val="00956BA8"/>
    <w:rsid w:val="00956EA2"/>
    <w:rsid w:val="00957442"/>
    <w:rsid w:val="0095746B"/>
    <w:rsid w:val="00957AF9"/>
    <w:rsid w:val="00957BCD"/>
    <w:rsid w:val="00957D73"/>
    <w:rsid w:val="00957F81"/>
    <w:rsid w:val="009603DB"/>
    <w:rsid w:val="00960433"/>
    <w:rsid w:val="00960695"/>
    <w:rsid w:val="00960959"/>
    <w:rsid w:val="00960A9F"/>
    <w:rsid w:val="00961061"/>
    <w:rsid w:val="00961110"/>
    <w:rsid w:val="009611A3"/>
    <w:rsid w:val="00961629"/>
    <w:rsid w:val="00961C1A"/>
    <w:rsid w:val="00961E87"/>
    <w:rsid w:val="00962403"/>
    <w:rsid w:val="00962F18"/>
    <w:rsid w:val="0096301B"/>
    <w:rsid w:val="00963083"/>
    <w:rsid w:val="0096318C"/>
    <w:rsid w:val="0096337C"/>
    <w:rsid w:val="009633EB"/>
    <w:rsid w:val="00963DDD"/>
    <w:rsid w:val="00963E88"/>
    <w:rsid w:val="009644AC"/>
    <w:rsid w:val="009647A4"/>
    <w:rsid w:val="00964B91"/>
    <w:rsid w:val="00964C0D"/>
    <w:rsid w:val="00964C22"/>
    <w:rsid w:val="0096546C"/>
    <w:rsid w:val="00965827"/>
    <w:rsid w:val="00965993"/>
    <w:rsid w:val="00965A52"/>
    <w:rsid w:val="00965A97"/>
    <w:rsid w:val="00965F9E"/>
    <w:rsid w:val="009661EA"/>
    <w:rsid w:val="00966348"/>
    <w:rsid w:val="009667FF"/>
    <w:rsid w:val="00966BFD"/>
    <w:rsid w:val="00966FEC"/>
    <w:rsid w:val="009672B0"/>
    <w:rsid w:val="00967392"/>
    <w:rsid w:val="00967A5A"/>
    <w:rsid w:val="00967D0C"/>
    <w:rsid w:val="00967F3A"/>
    <w:rsid w:val="00970C5E"/>
    <w:rsid w:val="00970E79"/>
    <w:rsid w:val="00971411"/>
    <w:rsid w:val="00971B32"/>
    <w:rsid w:val="00971BD9"/>
    <w:rsid w:val="00971BE4"/>
    <w:rsid w:val="00971D28"/>
    <w:rsid w:val="0097222B"/>
    <w:rsid w:val="0097245E"/>
    <w:rsid w:val="00972867"/>
    <w:rsid w:val="00972B1A"/>
    <w:rsid w:val="00972C7F"/>
    <w:rsid w:val="00972DC7"/>
    <w:rsid w:val="00972DCC"/>
    <w:rsid w:val="0097351C"/>
    <w:rsid w:val="00973526"/>
    <w:rsid w:val="009737AE"/>
    <w:rsid w:val="009737D0"/>
    <w:rsid w:val="0097390F"/>
    <w:rsid w:val="00973B44"/>
    <w:rsid w:val="00973CA9"/>
    <w:rsid w:val="00973D43"/>
    <w:rsid w:val="00973DF4"/>
    <w:rsid w:val="00973E2C"/>
    <w:rsid w:val="00973E88"/>
    <w:rsid w:val="00973FD9"/>
    <w:rsid w:val="009740A4"/>
    <w:rsid w:val="009744D3"/>
    <w:rsid w:val="00974866"/>
    <w:rsid w:val="00974A69"/>
    <w:rsid w:val="00974CDA"/>
    <w:rsid w:val="00974E3F"/>
    <w:rsid w:val="0097543C"/>
    <w:rsid w:val="0097589C"/>
    <w:rsid w:val="00975A46"/>
    <w:rsid w:val="00975CAA"/>
    <w:rsid w:val="00975E32"/>
    <w:rsid w:val="009760CB"/>
    <w:rsid w:val="00976438"/>
    <w:rsid w:val="00976459"/>
    <w:rsid w:val="00976495"/>
    <w:rsid w:val="00976ED6"/>
    <w:rsid w:val="00977235"/>
    <w:rsid w:val="0097738D"/>
    <w:rsid w:val="009773A2"/>
    <w:rsid w:val="00977840"/>
    <w:rsid w:val="00977CF9"/>
    <w:rsid w:val="00977EFF"/>
    <w:rsid w:val="00977FC7"/>
    <w:rsid w:val="009805C4"/>
    <w:rsid w:val="009809D3"/>
    <w:rsid w:val="00980A47"/>
    <w:rsid w:val="00980B5D"/>
    <w:rsid w:val="00980E38"/>
    <w:rsid w:val="00981599"/>
    <w:rsid w:val="00982609"/>
    <w:rsid w:val="00982C35"/>
    <w:rsid w:val="00982DC5"/>
    <w:rsid w:val="00983398"/>
    <w:rsid w:val="009836CA"/>
    <w:rsid w:val="00983875"/>
    <w:rsid w:val="00983995"/>
    <w:rsid w:val="009839EA"/>
    <w:rsid w:val="009847A0"/>
    <w:rsid w:val="00984931"/>
    <w:rsid w:val="00984B76"/>
    <w:rsid w:val="00984EFE"/>
    <w:rsid w:val="00984F20"/>
    <w:rsid w:val="00986029"/>
    <w:rsid w:val="009860BD"/>
    <w:rsid w:val="00986368"/>
    <w:rsid w:val="009871D3"/>
    <w:rsid w:val="00987292"/>
    <w:rsid w:val="009872C0"/>
    <w:rsid w:val="009873C1"/>
    <w:rsid w:val="0098773F"/>
    <w:rsid w:val="009877C7"/>
    <w:rsid w:val="00987B7A"/>
    <w:rsid w:val="00987B9C"/>
    <w:rsid w:val="00987DB9"/>
    <w:rsid w:val="00987E2C"/>
    <w:rsid w:val="00987E8A"/>
    <w:rsid w:val="009906D5"/>
    <w:rsid w:val="0099084C"/>
    <w:rsid w:val="00990F6E"/>
    <w:rsid w:val="009914B9"/>
    <w:rsid w:val="00991AF2"/>
    <w:rsid w:val="00991C79"/>
    <w:rsid w:val="00991D16"/>
    <w:rsid w:val="00991EE4"/>
    <w:rsid w:val="009924C3"/>
    <w:rsid w:val="00992609"/>
    <w:rsid w:val="00992952"/>
    <w:rsid w:val="00992F43"/>
    <w:rsid w:val="009931E3"/>
    <w:rsid w:val="009935A7"/>
    <w:rsid w:val="0099383E"/>
    <w:rsid w:val="00993AAB"/>
    <w:rsid w:val="00993BC4"/>
    <w:rsid w:val="00993DA2"/>
    <w:rsid w:val="0099412F"/>
    <w:rsid w:val="00994149"/>
    <w:rsid w:val="009941D9"/>
    <w:rsid w:val="00994328"/>
    <w:rsid w:val="0099448C"/>
    <w:rsid w:val="009946BB"/>
    <w:rsid w:val="009947D4"/>
    <w:rsid w:val="00994B21"/>
    <w:rsid w:val="00994B60"/>
    <w:rsid w:val="00995A4F"/>
    <w:rsid w:val="00995BAD"/>
    <w:rsid w:val="00995EF7"/>
    <w:rsid w:val="00995F74"/>
    <w:rsid w:val="00995FBC"/>
    <w:rsid w:val="0099629B"/>
    <w:rsid w:val="00996519"/>
    <w:rsid w:val="00996622"/>
    <w:rsid w:val="009967D8"/>
    <w:rsid w:val="0099694C"/>
    <w:rsid w:val="00996B86"/>
    <w:rsid w:val="00996B87"/>
    <w:rsid w:val="0099712C"/>
    <w:rsid w:val="009972B9"/>
    <w:rsid w:val="00997341"/>
    <w:rsid w:val="00997492"/>
    <w:rsid w:val="0099756D"/>
    <w:rsid w:val="0099798D"/>
    <w:rsid w:val="00997BD3"/>
    <w:rsid w:val="00997E68"/>
    <w:rsid w:val="009A0758"/>
    <w:rsid w:val="009A0AF5"/>
    <w:rsid w:val="009A15EA"/>
    <w:rsid w:val="009A1723"/>
    <w:rsid w:val="009A174D"/>
    <w:rsid w:val="009A1A36"/>
    <w:rsid w:val="009A1CD7"/>
    <w:rsid w:val="009A2AF6"/>
    <w:rsid w:val="009A2D2C"/>
    <w:rsid w:val="009A2D36"/>
    <w:rsid w:val="009A30CB"/>
    <w:rsid w:val="009A3278"/>
    <w:rsid w:val="009A3E62"/>
    <w:rsid w:val="009A400B"/>
    <w:rsid w:val="009A40FE"/>
    <w:rsid w:val="009A42A2"/>
    <w:rsid w:val="009A4A88"/>
    <w:rsid w:val="009A4BC1"/>
    <w:rsid w:val="009A51B0"/>
    <w:rsid w:val="009A55EC"/>
    <w:rsid w:val="009A5E6A"/>
    <w:rsid w:val="009A6069"/>
    <w:rsid w:val="009A60C7"/>
    <w:rsid w:val="009A62C7"/>
    <w:rsid w:val="009A673D"/>
    <w:rsid w:val="009A69E9"/>
    <w:rsid w:val="009A6FC4"/>
    <w:rsid w:val="009A73A9"/>
    <w:rsid w:val="009A7A17"/>
    <w:rsid w:val="009A7E4D"/>
    <w:rsid w:val="009B014E"/>
    <w:rsid w:val="009B043B"/>
    <w:rsid w:val="009B0A7A"/>
    <w:rsid w:val="009B0B7F"/>
    <w:rsid w:val="009B0C61"/>
    <w:rsid w:val="009B0CD0"/>
    <w:rsid w:val="009B0E27"/>
    <w:rsid w:val="009B132E"/>
    <w:rsid w:val="009B20C7"/>
    <w:rsid w:val="009B21AE"/>
    <w:rsid w:val="009B2286"/>
    <w:rsid w:val="009B2291"/>
    <w:rsid w:val="009B25EC"/>
    <w:rsid w:val="009B2812"/>
    <w:rsid w:val="009B2CF1"/>
    <w:rsid w:val="009B3452"/>
    <w:rsid w:val="009B34FD"/>
    <w:rsid w:val="009B37FB"/>
    <w:rsid w:val="009B387A"/>
    <w:rsid w:val="009B3EE9"/>
    <w:rsid w:val="009B47A2"/>
    <w:rsid w:val="009B47F2"/>
    <w:rsid w:val="009B4D21"/>
    <w:rsid w:val="009B4E69"/>
    <w:rsid w:val="009B5056"/>
    <w:rsid w:val="009B5065"/>
    <w:rsid w:val="009B5979"/>
    <w:rsid w:val="009B5985"/>
    <w:rsid w:val="009B6831"/>
    <w:rsid w:val="009B6F38"/>
    <w:rsid w:val="009B73DF"/>
    <w:rsid w:val="009B75E4"/>
    <w:rsid w:val="009B77EC"/>
    <w:rsid w:val="009B7C2E"/>
    <w:rsid w:val="009B7D57"/>
    <w:rsid w:val="009B7DE4"/>
    <w:rsid w:val="009C0310"/>
    <w:rsid w:val="009C0BFC"/>
    <w:rsid w:val="009C0C1F"/>
    <w:rsid w:val="009C0D81"/>
    <w:rsid w:val="009C0E8C"/>
    <w:rsid w:val="009C0EF1"/>
    <w:rsid w:val="009C158A"/>
    <w:rsid w:val="009C1786"/>
    <w:rsid w:val="009C17B7"/>
    <w:rsid w:val="009C1A5B"/>
    <w:rsid w:val="009C1BC4"/>
    <w:rsid w:val="009C1BFA"/>
    <w:rsid w:val="009C1CEC"/>
    <w:rsid w:val="009C1F6A"/>
    <w:rsid w:val="009C24F6"/>
    <w:rsid w:val="009C26E1"/>
    <w:rsid w:val="009C26EA"/>
    <w:rsid w:val="009C28A4"/>
    <w:rsid w:val="009C28CC"/>
    <w:rsid w:val="009C2CD4"/>
    <w:rsid w:val="009C31F7"/>
    <w:rsid w:val="009C34EA"/>
    <w:rsid w:val="009C3545"/>
    <w:rsid w:val="009C3915"/>
    <w:rsid w:val="009C3A6F"/>
    <w:rsid w:val="009C41E8"/>
    <w:rsid w:val="009C4526"/>
    <w:rsid w:val="009C45FC"/>
    <w:rsid w:val="009C48C2"/>
    <w:rsid w:val="009C4AC5"/>
    <w:rsid w:val="009C4BF3"/>
    <w:rsid w:val="009C50C5"/>
    <w:rsid w:val="009C50FC"/>
    <w:rsid w:val="009C535C"/>
    <w:rsid w:val="009C53E9"/>
    <w:rsid w:val="009C55E1"/>
    <w:rsid w:val="009C5705"/>
    <w:rsid w:val="009C5711"/>
    <w:rsid w:val="009C57C7"/>
    <w:rsid w:val="009C5983"/>
    <w:rsid w:val="009C5E4B"/>
    <w:rsid w:val="009C5F11"/>
    <w:rsid w:val="009C6691"/>
    <w:rsid w:val="009C66A8"/>
    <w:rsid w:val="009C66DB"/>
    <w:rsid w:val="009C67C2"/>
    <w:rsid w:val="009C697E"/>
    <w:rsid w:val="009C6BBE"/>
    <w:rsid w:val="009C6F8A"/>
    <w:rsid w:val="009C72C9"/>
    <w:rsid w:val="009C74FF"/>
    <w:rsid w:val="009C7514"/>
    <w:rsid w:val="009C795B"/>
    <w:rsid w:val="009C7F71"/>
    <w:rsid w:val="009D015F"/>
    <w:rsid w:val="009D0876"/>
    <w:rsid w:val="009D0933"/>
    <w:rsid w:val="009D0AB1"/>
    <w:rsid w:val="009D0F76"/>
    <w:rsid w:val="009D1167"/>
    <w:rsid w:val="009D1B6F"/>
    <w:rsid w:val="009D1ED5"/>
    <w:rsid w:val="009D1FC4"/>
    <w:rsid w:val="009D28A2"/>
    <w:rsid w:val="009D2990"/>
    <w:rsid w:val="009D2A1B"/>
    <w:rsid w:val="009D2D12"/>
    <w:rsid w:val="009D2EFF"/>
    <w:rsid w:val="009D3410"/>
    <w:rsid w:val="009D342E"/>
    <w:rsid w:val="009D3A6E"/>
    <w:rsid w:val="009D40E9"/>
    <w:rsid w:val="009D4548"/>
    <w:rsid w:val="009D5382"/>
    <w:rsid w:val="009D5524"/>
    <w:rsid w:val="009D5867"/>
    <w:rsid w:val="009D5888"/>
    <w:rsid w:val="009D5D9F"/>
    <w:rsid w:val="009D5DEE"/>
    <w:rsid w:val="009D610C"/>
    <w:rsid w:val="009D69B7"/>
    <w:rsid w:val="009D6BD1"/>
    <w:rsid w:val="009D74DE"/>
    <w:rsid w:val="009D7791"/>
    <w:rsid w:val="009D7B3F"/>
    <w:rsid w:val="009E011F"/>
    <w:rsid w:val="009E05F7"/>
    <w:rsid w:val="009E05FD"/>
    <w:rsid w:val="009E11EB"/>
    <w:rsid w:val="009E191A"/>
    <w:rsid w:val="009E1BAB"/>
    <w:rsid w:val="009E1C06"/>
    <w:rsid w:val="009E1EED"/>
    <w:rsid w:val="009E1FCC"/>
    <w:rsid w:val="009E228C"/>
    <w:rsid w:val="009E241D"/>
    <w:rsid w:val="009E278A"/>
    <w:rsid w:val="009E27C2"/>
    <w:rsid w:val="009E2D06"/>
    <w:rsid w:val="009E2FDB"/>
    <w:rsid w:val="009E3078"/>
    <w:rsid w:val="009E315E"/>
    <w:rsid w:val="009E320D"/>
    <w:rsid w:val="009E3356"/>
    <w:rsid w:val="009E34EC"/>
    <w:rsid w:val="009E388D"/>
    <w:rsid w:val="009E3ADB"/>
    <w:rsid w:val="009E3B37"/>
    <w:rsid w:val="009E421A"/>
    <w:rsid w:val="009E4D83"/>
    <w:rsid w:val="009E50E0"/>
    <w:rsid w:val="009E52C6"/>
    <w:rsid w:val="009E5609"/>
    <w:rsid w:val="009E59A6"/>
    <w:rsid w:val="009E5BB1"/>
    <w:rsid w:val="009E638F"/>
    <w:rsid w:val="009E65FB"/>
    <w:rsid w:val="009E6685"/>
    <w:rsid w:val="009E6A25"/>
    <w:rsid w:val="009E6C4E"/>
    <w:rsid w:val="009E6C7D"/>
    <w:rsid w:val="009E706B"/>
    <w:rsid w:val="009E70A9"/>
    <w:rsid w:val="009E74A8"/>
    <w:rsid w:val="009E76FA"/>
    <w:rsid w:val="009E775E"/>
    <w:rsid w:val="009E784F"/>
    <w:rsid w:val="009E7B6A"/>
    <w:rsid w:val="009E7ED3"/>
    <w:rsid w:val="009F063B"/>
    <w:rsid w:val="009F0749"/>
    <w:rsid w:val="009F078F"/>
    <w:rsid w:val="009F0CCF"/>
    <w:rsid w:val="009F0D03"/>
    <w:rsid w:val="009F0FFA"/>
    <w:rsid w:val="009F1296"/>
    <w:rsid w:val="009F14B7"/>
    <w:rsid w:val="009F1BD9"/>
    <w:rsid w:val="009F1C28"/>
    <w:rsid w:val="009F24F6"/>
    <w:rsid w:val="009F26CF"/>
    <w:rsid w:val="009F2828"/>
    <w:rsid w:val="009F2B47"/>
    <w:rsid w:val="009F3168"/>
    <w:rsid w:val="009F3296"/>
    <w:rsid w:val="009F3318"/>
    <w:rsid w:val="009F3516"/>
    <w:rsid w:val="009F3B09"/>
    <w:rsid w:val="009F3BD0"/>
    <w:rsid w:val="009F3CB5"/>
    <w:rsid w:val="009F3CE3"/>
    <w:rsid w:val="009F3F16"/>
    <w:rsid w:val="009F40A3"/>
    <w:rsid w:val="009F4463"/>
    <w:rsid w:val="009F4708"/>
    <w:rsid w:val="009F4A95"/>
    <w:rsid w:val="009F4BDD"/>
    <w:rsid w:val="009F4CA2"/>
    <w:rsid w:val="009F4FA3"/>
    <w:rsid w:val="009F502E"/>
    <w:rsid w:val="009F5097"/>
    <w:rsid w:val="009F53B5"/>
    <w:rsid w:val="009F55EE"/>
    <w:rsid w:val="009F57F7"/>
    <w:rsid w:val="009F58AF"/>
    <w:rsid w:val="009F5B9E"/>
    <w:rsid w:val="009F61DB"/>
    <w:rsid w:val="009F6323"/>
    <w:rsid w:val="009F63E1"/>
    <w:rsid w:val="009F670B"/>
    <w:rsid w:val="009F6790"/>
    <w:rsid w:val="009F6836"/>
    <w:rsid w:val="009F6A02"/>
    <w:rsid w:val="009F6AA9"/>
    <w:rsid w:val="009F6F6C"/>
    <w:rsid w:val="009F7002"/>
    <w:rsid w:val="009F738D"/>
    <w:rsid w:val="009F7490"/>
    <w:rsid w:val="009F780F"/>
    <w:rsid w:val="009F78DD"/>
    <w:rsid w:val="009F7A8F"/>
    <w:rsid w:val="009F7F35"/>
    <w:rsid w:val="00A00225"/>
    <w:rsid w:val="00A007CF"/>
    <w:rsid w:val="00A00873"/>
    <w:rsid w:val="00A00978"/>
    <w:rsid w:val="00A00D0B"/>
    <w:rsid w:val="00A00E09"/>
    <w:rsid w:val="00A00F84"/>
    <w:rsid w:val="00A01166"/>
    <w:rsid w:val="00A0123D"/>
    <w:rsid w:val="00A01594"/>
    <w:rsid w:val="00A01A48"/>
    <w:rsid w:val="00A01B3D"/>
    <w:rsid w:val="00A01BB8"/>
    <w:rsid w:val="00A01C44"/>
    <w:rsid w:val="00A01C52"/>
    <w:rsid w:val="00A01EBA"/>
    <w:rsid w:val="00A02178"/>
    <w:rsid w:val="00A021FD"/>
    <w:rsid w:val="00A02465"/>
    <w:rsid w:val="00A0298E"/>
    <w:rsid w:val="00A029C0"/>
    <w:rsid w:val="00A02C44"/>
    <w:rsid w:val="00A02D6F"/>
    <w:rsid w:val="00A02E91"/>
    <w:rsid w:val="00A02EC5"/>
    <w:rsid w:val="00A02EEE"/>
    <w:rsid w:val="00A03138"/>
    <w:rsid w:val="00A03417"/>
    <w:rsid w:val="00A03A41"/>
    <w:rsid w:val="00A047FF"/>
    <w:rsid w:val="00A049A3"/>
    <w:rsid w:val="00A04B35"/>
    <w:rsid w:val="00A04BCA"/>
    <w:rsid w:val="00A05458"/>
    <w:rsid w:val="00A05932"/>
    <w:rsid w:val="00A060D7"/>
    <w:rsid w:val="00A063AC"/>
    <w:rsid w:val="00A06426"/>
    <w:rsid w:val="00A06BE0"/>
    <w:rsid w:val="00A06D94"/>
    <w:rsid w:val="00A06DED"/>
    <w:rsid w:val="00A06F66"/>
    <w:rsid w:val="00A07277"/>
    <w:rsid w:val="00A073E7"/>
    <w:rsid w:val="00A07913"/>
    <w:rsid w:val="00A1030E"/>
    <w:rsid w:val="00A104FD"/>
    <w:rsid w:val="00A106F9"/>
    <w:rsid w:val="00A112B6"/>
    <w:rsid w:val="00A116E9"/>
    <w:rsid w:val="00A118CA"/>
    <w:rsid w:val="00A1192D"/>
    <w:rsid w:val="00A11A19"/>
    <w:rsid w:val="00A11A95"/>
    <w:rsid w:val="00A11CF0"/>
    <w:rsid w:val="00A11DF0"/>
    <w:rsid w:val="00A11E6C"/>
    <w:rsid w:val="00A11EAC"/>
    <w:rsid w:val="00A12491"/>
    <w:rsid w:val="00A126B5"/>
    <w:rsid w:val="00A12FCB"/>
    <w:rsid w:val="00A1321B"/>
    <w:rsid w:val="00A1335E"/>
    <w:rsid w:val="00A13426"/>
    <w:rsid w:val="00A1342C"/>
    <w:rsid w:val="00A13680"/>
    <w:rsid w:val="00A13BBA"/>
    <w:rsid w:val="00A13BEA"/>
    <w:rsid w:val="00A14236"/>
    <w:rsid w:val="00A1438F"/>
    <w:rsid w:val="00A145C5"/>
    <w:rsid w:val="00A146EC"/>
    <w:rsid w:val="00A148FA"/>
    <w:rsid w:val="00A14988"/>
    <w:rsid w:val="00A14A44"/>
    <w:rsid w:val="00A14BCA"/>
    <w:rsid w:val="00A1535E"/>
    <w:rsid w:val="00A155C5"/>
    <w:rsid w:val="00A156B3"/>
    <w:rsid w:val="00A158BF"/>
    <w:rsid w:val="00A15A4A"/>
    <w:rsid w:val="00A15D9E"/>
    <w:rsid w:val="00A15FA0"/>
    <w:rsid w:val="00A1607D"/>
    <w:rsid w:val="00A167DA"/>
    <w:rsid w:val="00A167FE"/>
    <w:rsid w:val="00A16C45"/>
    <w:rsid w:val="00A16E3A"/>
    <w:rsid w:val="00A1732F"/>
    <w:rsid w:val="00A175BB"/>
    <w:rsid w:val="00A1793F"/>
    <w:rsid w:val="00A17CAE"/>
    <w:rsid w:val="00A17FFD"/>
    <w:rsid w:val="00A200E9"/>
    <w:rsid w:val="00A20329"/>
    <w:rsid w:val="00A206D6"/>
    <w:rsid w:val="00A20779"/>
    <w:rsid w:val="00A2087B"/>
    <w:rsid w:val="00A2088C"/>
    <w:rsid w:val="00A209E1"/>
    <w:rsid w:val="00A20E5E"/>
    <w:rsid w:val="00A2147E"/>
    <w:rsid w:val="00A21706"/>
    <w:rsid w:val="00A21B1E"/>
    <w:rsid w:val="00A21BD9"/>
    <w:rsid w:val="00A21D0F"/>
    <w:rsid w:val="00A21DE6"/>
    <w:rsid w:val="00A22539"/>
    <w:rsid w:val="00A226C0"/>
    <w:rsid w:val="00A22897"/>
    <w:rsid w:val="00A22D53"/>
    <w:rsid w:val="00A230C5"/>
    <w:rsid w:val="00A234AD"/>
    <w:rsid w:val="00A2355F"/>
    <w:rsid w:val="00A23977"/>
    <w:rsid w:val="00A23B19"/>
    <w:rsid w:val="00A2417C"/>
    <w:rsid w:val="00A24313"/>
    <w:rsid w:val="00A24B89"/>
    <w:rsid w:val="00A24B9E"/>
    <w:rsid w:val="00A24C4E"/>
    <w:rsid w:val="00A257C4"/>
    <w:rsid w:val="00A25B78"/>
    <w:rsid w:val="00A2636C"/>
    <w:rsid w:val="00A263CB"/>
    <w:rsid w:val="00A26536"/>
    <w:rsid w:val="00A266BA"/>
    <w:rsid w:val="00A26817"/>
    <w:rsid w:val="00A2690F"/>
    <w:rsid w:val="00A26AA8"/>
    <w:rsid w:val="00A26B23"/>
    <w:rsid w:val="00A26FC3"/>
    <w:rsid w:val="00A27119"/>
    <w:rsid w:val="00A276D2"/>
    <w:rsid w:val="00A27B8D"/>
    <w:rsid w:val="00A27C7C"/>
    <w:rsid w:val="00A30756"/>
    <w:rsid w:val="00A30BC1"/>
    <w:rsid w:val="00A30BFF"/>
    <w:rsid w:val="00A31266"/>
    <w:rsid w:val="00A3148F"/>
    <w:rsid w:val="00A3163A"/>
    <w:rsid w:val="00A31781"/>
    <w:rsid w:val="00A31898"/>
    <w:rsid w:val="00A319F9"/>
    <w:rsid w:val="00A31AE0"/>
    <w:rsid w:val="00A31E2B"/>
    <w:rsid w:val="00A321D2"/>
    <w:rsid w:val="00A3244A"/>
    <w:rsid w:val="00A325EC"/>
    <w:rsid w:val="00A327D0"/>
    <w:rsid w:val="00A327D5"/>
    <w:rsid w:val="00A32869"/>
    <w:rsid w:val="00A32AE6"/>
    <w:rsid w:val="00A32B75"/>
    <w:rsid w:val="00A32CD9"/>
    <w:rsid w:val="00A32FF3"/>
    <w:rsid w:val="00A33129"/>
    <w:rsid w:val="00A331B8"/>
    <w:rsid w:val="00A3338E"/>
    <w:rsid w:val="00A333C6"/>
    <w:rsid w:val="00A33569"/>
    <w:rsid w:val="00A3377B"/>
    <w:rsid w:val="00A33ED4"/>
    <w:rsid w:val="00A3430B"/>
    <w:rsid w:val="00A34BE1"/>
    <w:rsid w:val="00A34D6E"/>
    <w:rsid w:val="00A35129"/>
    <w:rsid w:val="00A3517F"/>
    <w:rsid w:val="00A353DD"/>
    <w:rsid w:val="00A356CE"/>
    <w:rsid w:val="00A3582D"/>
    <w:rsid w:val="00A358DE"/>
    <w:rsid w:val="00A358EA"/>
    <w:rsid w:val="00A35B50"/>
    <w:rsid w:val="00A3645C"/>
    <w:rsid w:val="00A368C9"/>
    <w:rsid w:val="00A369A6"/>
    <w:rsid w:val="00A36DFF"/>
    <w:rsid w:val="00A372B4"/>
    <w:rsid w:val="00A3740A"/>
    <w:rsid w:val="00A37A0C"/>
    <w:rsid w:val="00A4016C"/>
    <w:rsid w:val="00A40338"/>
    <w:rsid w:val="00A4075D"/>
    <w:rsid w:val="00A40908"/>
    <w:rsid w:val="00A40ED2"/>
    <w:rsid w:val="00A41007"/>
    <w:rsid w:val="00A414DE"/>
    <w:rsid w:val="00A41868"/>
    <w:rsid w:val="00A41C53"/>
    <w:rsid w:val="00A42296"/>
    <w:rsid w:val="00A4229D"/>
    <w:rsid w:val="00A42309"/>
    <w:rsid w:val="00A4270F"/>
    <w:rsid w:val="00A42782"/>
    <w:rsid w:val="00A4293F"/>
    <w:rsid w:val="00A4297A"/>
    <w:rsid w:val="00A42CFD"/>
    <w:rsid w:val="00A42F4E"/>
    <w:rsid w:val="00A43118"/>
    <w:rsid w:val="00A43446"/>
    <w:rsid w:val="00A43692"/>
    <w:rsid w:val="00A4375D"/>
    <w:rsid w:val="00A43B87"/>
    <w:rsid w:val="00A43C1F"/>
    <w:rsid w:val="00A43E47"/>
    <w:rsid w:val="00A43E7B"/>
    <w:rsid w:val="00A44281"/>
    <w:rsid w:val="00A442D7"/>
    <w:rsid w:val="00A4452B"/>
    <w:rsid w:val="00A4474E"/>
    <w:rsid w:val="00A44894"/>
    <w:rsid w:val="00A44A85"/>
    <w:rsid w:val="00A44B67"/>
    <w:rsid w:val="00A4515D"/>
    <w:rsid w:val="00A4559D"/>
    <w:rsid w:val="00A455AA"/>
    <w:rsid w:val="00A455F6"/>
    <w:rsid w:val="00A45680"/>
    <w:rsid w:val="00A45D96"/>
    <w:rsid w:val="00A45E61"/>
    <w:rsid w:val="00A46C88"/>
    <w:rsid w:val="00A4725F"/>
    <w:rsid w:val="00A47669"/>
    <w:rsid w:val="00A47C08"/>
    <w:rsid w:val="00A47F28"/>
    <w:rsid w:val="00A501A5"/>
    <w:rsid w:val="00A50334"/>
    <w:rsid w:val="00A50698"/>
    <w:rsid w:val="00A507FB"/>
    <w:rsid w:val="00A50EB3"/>
    <w:rsid w:val="00A51252"/>
    <w:rsid w:val="00A512A3"/>
    <w:rsid w:val="00A513E4"/>
    <w:rsid w:val="00A5142F"/>
    <w:rsid w:val="00A519A1"/>
    <w:rsid w:val="00A51F29"/>
    <w:rsid w:val="00A51FB9"/>
    <w:rsid w:val="00A521CC"/>
    <w:rsid w:val="00A524E1"/>
    <w:rsid w:val="00A5269D"/>
    <w:rsid w:val="00A52A0A"/>
    <w:rsid w:val="00A52A17"/>
    <w:rsid w:val="00A52BFD"/>
    <w:rsid w:val="00A52D96"/>
    <w:rsid w:val="00A52F0D"/>
    <w:rsid w:val="00A52F46"/>
    <w:rsid w:val="00A53392"/>
    <w:rsid w:val="00A54120"/>
    <w:rsid w:val="00A54165"/>
    <w:rsid w:val="00A542D4"/>
    <w:rsid w:val="00A5437D"/>
    <w:rsid w:val="00A5450C"/>
    <w:rsid w:val="00A5460B"/>
    <w:rsid w:val="00A54751"/>
    <w:rsid w:val="00A5477E"/>
    <w:rsid w:val="00A54AB1"/>
    <w:rsid w:val="00A54D07"/>
    <w:rsid w:val="00A54E71"/>
    <w:rsid w:val="00A55106"/>
    <w:rsid w:val="00A552B0"/>
    <w:rsid w:val="00A5535F"/>
    <w:rsid w:val="00A55434"/>
    <w:rsid w:val="00A558F9"/>
    <w:rsid w:val="00A55932"/>
    <w:rsid w:val="00A56308"/>
    <w:rsid w:val="00A5635E"/>
    <w:rsid w:val="00A56582"/>
    <w:rsid w:val="00A56722"/>
    <w:rsid w:val="00A5673C"/>
    <w:rsid w:val="00A56D2C"/>
    <w:rsid w:val="00A56D7F"/>
    <w:rsid w:val="00A56EE9"/>
    <w:rsid w:val="00A5711B"/>
    <w:rsid w:val="00A574D7"/>
    <w:rsid w:val="00A57669"/>
    <w:rsid w:val="00A57B20"/>
    <w:rsid w:val="00A57CF1"/>
    <w:rsid w:val="00A600A9"/>
    <w:rsid w:val="00A60274"/>
    <w:rsid w:val="00A60319"/>
    <w:rsid w:val="00A60460"/>
    <w:rsid w:val="00A60800"/>
    <w:rsid w:val="00A60C07"/>
    <w:rsid w:val="00A60CB5"/>
    <w:rsid w:val="00A60DF7"/>
    <w:rsid w:val="00A60E92"/>
    <w:rsid w:val="00A60FA0"/>
    <w:rsid w:val="00A61413"/>
    <w:rsid w:val="00A61A53"/>
    <w:rsid w:val="00A61EB2"/>
    <w:rsid w:val="00A61F28"/>
    <w:rsid w:val="00A621AD"/>
    <w:rsid w:val="00A6264E"/>
    <w:rsid w:val="00A626F7"/>
    <w:rsid w:val="00A62C70"/>
    <w:rsid w:val="00A62CE3"/>
    <w:rsid w:val="00A62E14"/>
    <w:rsid w:val="00A62F6A"/>
    <w:rsid w:val="00A63D79"/>
    <w:rsid w:val="00A63E0E"/>
    <w:rsid w:val="00A643EA"/>
    <w:rsid w:val="00A646E2"/>
    <w:rsid w:val="00A648D6"/>
    <w:rsid w:val="00A64C2F"/>
    <w:rsid w:val="00A64D91"/>
    <w:rsid w:val="00A65961"/>
    <w:rsid w:val="00A659D8"/>
    <w:rsid w:val="00A65D3A"/>
    <w:rsid w:val="00A65DF2"/>
    <w:rsid w:val="00A65E8A"/>
    <w:rsid w:val="00A662BE"/>
    <w:rsid w:val="00A66491"/>
    <w:rsid w:val="00A665F2"/>
    <w:rsid w:val="00A66EFC"/>
    <w:rsid w:val="00A6709C"/>
    <w:rsid w:val="00A70197"/>
    <w:rsid w:val="00A70506"/>
    <w:rsid w:val="00A705CC"/>
    <w:rsid w:val="00A70698"/>
    <w:rsid w:val="00A7072C"/>
    <w:rsid w:val="00A70B31"/>
    <w:rsid w:val="00A70CCC"/>
    <w:rsid w:val="00A70E67"/>
    <w:rsid w:val="00A70F44"/>
    <w:rsid w:val="00A70F56"/>
    <w:rsid w:val="00A71402"/>
    <w:rsid w:val="00A71477"/>
    <w:rsid w:val="00A718F1"/>
    <w:rsid w:val="00A71A43"/>
    <w:rsid w:val="00A71A6D"/>
    <w:rsid w:val="00A71C87"/>
    <w:rsid w:val="00A721F5"/>
    <w:rsid w:val="00A722A4"/>
    <w:rsid w:val="00A726AF"/>
    <w:rsid w:val="00A72FF5"/>
    <w:rsid w:val="00A73211"/>
    <w:rsid w:val="00A7354D"/>
    <w:rsid w:val="00A73680"/>
    <w:rsid w:val="00A737C6"/>
    <w:rsid w:val="00A73A58"/>
    <w:rsid w:val="00A7420A"/>
    <w:rsid w:val="00A742BD"/>
    <w:rsid w:val="00A74A46"/>
    <w:rsid w:val="00A74D39"/>
    <w:rsid w:val="00A74EDB"/>
    <w:rsid w:val="00A74F2E"/>
    <w:rsid w:val="00A74FDB"/>
    <w:rsid w:val="00A75085"/>
    <w:rsid w:val="00A7571E"/>
    <w:rsid w:val="00A75A82"/>
    <w:rsid w:val="00A75CAF"/>
    <w:rsid w:val="00A761D5"/>
    <w:rsid w:val="00A76571"/>
    <w:rsid w:val="00A7667E"/>
    <w:rsid w:val="00A76C00"/>
    <w:rsid w:val="00A76C6A"/>
    <w:rsid w:val="00A76D1C"/>
    <w:rsid w:val="00A77358"/>
    <w:rsid w:val="00A77662"/>
    <w:rsid w:val="00A779A5"/>
    <w:rsid w:val="00A77A2F"/>
    <w:rsid w:val="00A77BBE"/>
    <w:rsid w:val="00A8020F"/>
    <w:rsid w:val="00A8101D"/>
    <w:rsid w:val="00A81176"/>
    <w:rsid w:val="00A81671"/>
    <w:rsid w:val="00A81A0B"/>
    <w:rsid w:val="00A81A10"/>
    <w:rsid w:val="00A81CBA"/>
    <w:rsid w:val="00A81D1B"/>
    <w:rsid w:val="00A81EF3"/>
    <w:rsid w:val="00A82827"/>
    <w:rsid w:val="00A82A32"/>
    <w:rsid w:val="00A82B45"/>
    <w:rsid w:val="00A82CB5"/>
    <w:rsid w:val="00A82F9C"/>
    <w:rsid w:val="00A832D2"/>
    <w:rsid w:val="00A834DD"/>
    <w:rsid w:val="00A8378C"/>
    <w:rsid w:val="00A83C2C"/>
    <w:rsid w:val="00A84797"/>
    <w:rsid w:val="00A8489C"/>
    <w:rsid w:val="00A84DBA"/>
    <w:rsid w:val="00A850FA"/>
    <w:rsid w:val="00A85159"/>
    <w:rsid w:val="00A8614C"/>
    <w:rsid w:val="00A86701"/>
    <w:rsid w:val="00A868EB"/>
    <w:rsid w:val="00A86A0B"/>
    <w:rsid w:val="00A86C32"/>
    <w:rsid w:val="00A86EE7"/>
    <w:rsid w:val="00A86F6D"/>
    <w:rsid w:val="00A872EA"/>
    <w:rsid w:val="00A872F7"/>
    <w:rsid w:val="00A87889"/>
    <w:rsid w:val="00A87A76"/>
    <w:rsid w:val="00A87DE0"/>
    <w:rsid w:val="00A87DF6"/>
    <w:rsid w:val="00A90031"/>
    <w:rsid w:val="00A9065E"/>
    <w:rsid w:val="00A90718"/>
    <w:rsid w:val="00A908A0"/>
    <w:rsid w:val="00A912CE"/>
    <w:rsid w:val="00A91411"/>
    <w:rsid w:val="00A9155B"/>
    <w:rsid w:val="00A915E9"/>
    <w:rsid w:val="00A91822"/>
    <w:rsid w:val="00A91D6B"/>
    <w:rsid w:val="00A91DDB"/>
    <w:rsid w:val="00A91E61"/>
    <w:rsid w:val="00A925D4"/>
    <w:rsid w:val="00A9276D"/>
    <w:rsid w:val="00A92A6C"/>
    <w:rsid w:val="00A92B15"/>
    <w:rsid w:val="00A92BDC"/>
    <w:rsid w:val="00A92C0D"/>
    <w:rsid w:val="00A92D7E"/>
    <w:rsid w:val="00A92DB3"/>
    <w:rsid w:val="00A93478"/>
    <w:rsid w:val="00A935D0"/>
    <w:rsid w:val="00A93636"/>
    <w:rsid w:val="00A93912"/>
    <w:rsid w:val="00A939A0"/>
    <w:rsid w:val="00A93B14"/>
    <w:rsid w:val="00A93EEC"/>
    <w:rsid w:val="00A93F99"/>
    <w:rsid w:val="00A9440C"/>
    <w:rsid w:val="00A944DC"/>
    <w:rsid w:val="00A9464E"/>
    <w:rsid w:val="00A94A2B"/>
    <w:rsid w:val="00A94AC7"/>
    <w:rsid w:val="00A94C39"/>
    <w:rsid w:val="00A94E9D"/>
    <w:rsid w:val="00A95240"/>
    <w:rsid w:val="00A95B8E"/>
    <w:rsid w:val="00A95BA2"/>
    <w:rsid w:val="00A95BCA"/>
    <w:rsid w:val="00A95C0F"/>
    <w:rsid w:val="00A95E97"/>
    <w:rsid w:val="00A966EE"/>
    <w:rsid w:val="00A968D0"/>
    <w:rsid w:val="00A96AF9"/>
    <w:rsid w:val="00A96C79"/>
    <w:rsid w:val="00A96FBE"/>
    <w:rsid w:val="00A9718A"/>
    <w:rsid w:val="00A97B8F"/>
    <w:rsid w:val="00A97C80"/>
    <w:rsid w:val="00A97D24"/>
    <w:rsid w:val="00A97DF3"/>
    <w:rsid w:val="00A97E77"/>
    <w:rsid w:val="00A97FA5"/>
    <w:rsid w:val="00AA00B0"/>
    <w:rsid w:val="00AA03AB"/>
    <w:rsid w:val="00AA04C8"/>
    <w:rsid w:val="00AA0B98"/>
    <w:rsid w:val="00AA0DD6"/>
    <w:rsid w:val="00AA0F97"/>
    <w:rsid w:val="00AA10E9"/>
    <w:rsid w:val="00AA1261"/>
    <w:rsid w:val="00AA1352"/>
    <w:rsid w:val="00AA1438"/>
    <w:rsid w:val="00AA1514"/>
    <w:rsid w:val="00AA19D5"/>
    <w:rsid w:val="00AA19FA"/>
    <w:rsid w:val="00AA2062"/>
    <w:rsid w:val="00AA21B0"/>
    <w:rsid w:val="00AA25E3"/>
    <w:rsid w:val="00AA2A6F"/>
    <w:rsid w:val="00AA2A96"/>
    <w:rsid w:val="00AA2B87"/>
    <w:rsid w:val="00AA2BB4"/>
    <w:rsid w:val="00AA38E3"/>
    <w:rsid w:val="00AA3C5D"/>
    <w:rsid w:val="00AA3D2A"/>
    <w:rsid w:val="00AA4195"/>
    <w:rsid w:val="00AA44B6"/>
    <w:rsid w:val="00AA46B6"/>
    <w:rsid w:val="00AA5308"/>
    <w:rsid w:val="00AA55A7"/>
    <w:rsid w:val="00AA5D32"/>
    <w:rsid w:val="00AA6358"/>
    <w:rsid w:val="00AA68F2"/>
    <w:rsid w:val="00AA6CDC"/>
    <w:rsid w:val="00AA6F3A"/>
    <w:rsid w:val="00AA71B3"/>
    <w:rsid w:val="00AB0089"/>
    <w:rsid w:val="00AB0134"/>
    <w:rsid w:val="00AB0BE1"/>
    <w:rsid w:val="00AB0CAD"/>
    <w:rsid w:val="00AB17CA"/>
    <w:rsid w:val="00AB1AAC"/>
    <w:rsid w:val="00AB1B69"/>
    <w:rsid w:val="00AB1D17"/>
    <w:rsid w:val="00AB1F97"/>
    <w:rsid w:val="00AB207B"/>
    <w:rsid w:val="00AB2633"/>
    <w:rsid w:val="00AB26F6"/>
    <w:rsid w:val="00AB2A61"/>
    <w:rsid w:val="00AB2A7E"/>
    <w:rsid w:val="00AB2ABA"/>
    <w:rsid w:val="00AB2D3A"/>
    <w:rsid w:val="00AB2D48"/>
    <w:rsid w:val="00AB37B1"/>
    <w:rsid w:val="00AB39D1"/>
    <w:rsid w:val="00AB3D39"/>
    <w:rsid w:val="00AB3F54"/>
    <w:rsid w:val="00AB410A"/>
    <w:rsid w:val="00AB4377"/>
    <w:rsid w:val="00AB4567"/>
    <w:rsid w:val="00AB48AC"/>
    <w:rsid w:val="00AB4ACE"/>
    <w:rsid w:val="00AB4B2D"/>
    <w:rsid w:val="00AB4B98"/>
    <w:rsid w:val="00AB4C04"/>
    <w:rsid w:val="00AB4C49"/>
    <w:rsid w:val="00AB4F84"/>
    <w:rsid w:val="00AB51B0"/>
    <w:rsid w:val="00AB5480"/>
    <w:rsid w:val="00AB5C36"/>
    <w:rsid w:val="00AB61CF"/>
    <w:rsid w:val="00AB685B"/>
    <w:rsid w:val="00AB6B1E"/>
    <w:rsid w:val="00AB6CA8"/>
    <w:rsid w:val="00AB6CD8"/>
    <w:rsid w:val="00AB6D02"/>
    <w:rsid w:val="00AB7021"/>
    <w:rsid w:val="00AB71F4"/>
    <w:rsid w:val="00AB734C"/>
    <w:rsid w:val="00AB7446"/>
    <w:rsid w:val="00AB79B0"/>
    <w:rsid w:val="00AB7E5D"/>
    <w:rsid w:val="00AB7F1A"/>
    <w:rsid w:val="00AC0063"/>
    <w:rsid w:val="00AC0524"/>
    <w:rsid w:val="00AC07A6"/>
    <w:rsid w:val="00AC0B74"/>
    <w:rsid w:val="00AC0BBE"/>
    <w:rsid w:val="00AC0E16"/>
    <w:rsid w:val="00AC102A"/>
    <w:rsid w:val="00AC1077"/>
    <w:rsid w:val="00AC135C"/>
    <w:rsid w:val="00AC166B"/>
    <w:rsid w:val="00AC1B59"/>
    <w:rsid w:val="00AC1BA2"/>
    <w:rsid w:val="00AC2D10"/>
    <w:rsid w:val="00AC2F44"/>
    <w:rsid w:val="00AC314B"/>
    <w:rsid w:val="00AC3541"/>
    <w:rsid w:val="00AC3864"/>
    <w:rsid w:val="00AC3934"/>
    <w:rsid w:val="00AC3953"/>
    <w:rsid w:val="00AC3CCF"/>
    <w:rsid w:val="00AC415B"/>
    <w:rsid w:val="00AC44E0"/>
    <w:rsid w:val="00AC4926"/>
    <w:rsid w:val="00AC4A7F"/>
    <w:rsid w:val="00AC50E9"/>
    <w:rsid w:val="00AC51E2"/>
    <w:rsid w:val="00AC53FB"/>
    <w:rsid w:val="00AC54E9"/>
    <w:rsid w:val="00AC5515"/>
    <w:rsid w:val="00AC58A4"/>
    <w:rsid w:val="00AC58B0"/>
    <w:rsid w:val="00AC5ADA"/>
    <w:rsid w:val="00AC5ADD"/>
    <w:rsid w:val="00AC6233"/>
    <w:rsid w:val="00AC62BA"/>
    <w:rsid w:val="00AC6DD5"/>
    <w:rsid w:val="00AC6EE2"/>
    <w:rsid w:val="00AC7597"/>
    <w:rsid w:val="00AC761E"/>
    <w:rsid w:val="00AC769F"/>
    <w:rsid w:val="00AC798D"/>
    <w:rsid w:val="00AC79BE"/>
    <w:rsid w:val="00AC7BAE"/>
    <w:rsid w:val="00AC7DAE"/>
    <w:rsid w:val="00AC7F1C"/>
    <w:rsid w:val="00AD0104"/>
    <w:rsid w:val="00AD0385"/>
    <w:rsid w:val="00AD03AF"/>
    <w:rsid w:val="00AD05D0"/>
    <w:rsid w:val="00AD0846"/>
    <w:rsid w:val="00AD0A98"/>
    <w:rsid w:val="00AD0A9C"/>
    <w:rsid w:val="00AD1285"/>
    <w:rsid w:val="00AD2595"/>
    <w:rsid w:val="00AD2723"/>
    <w:rsid w:val="00AD2A6F"/>
    <w:rsid w:val="00AD3064"/>
    <w:rsid w:val="00AD30AD"/>
    <w:rsid w:val="00AD3260"/>
    <w:rsid w:val="00AD343D"/>
    <w:rsid w:val="00AD371D"/>
    <w:rsid w:val="00AD383F"/>
    <w:rsid w:val="00AD3D10"/>
    <w:rsid w:val="00AD3EA9"/>
    <w:rsid w:val="00AD3FED"/>
    <w:rsid w:val="00AD40A4"/>
    <w:rsid w:val="00AD4285"/>
    <w:rsid w:val="00AD4544"/>
    <w:rsid w:val="00AD4818"/>
    <w:rsid w:val="00AD4845"/>
    <w:rsid w:val="00AD49C8"/>
    <w:rsid w:val="00AD49EA"/>
    <w:rsid w:val="00AD4A3F"/>
    <w:rsid w:val="00AD5002"/>
    <w:rsid w:val="00AD502E"/>
    <w:rsid w:val="00AD5370"/>
    <w:rsid w:val="00AD5480"/>
    <w:rsid w:val="00AD5619"/>
    <w:rsid w:val="00AD5932"/>
    <w:rsid w:val="00AD5936"/>
    <w:rsid w:val="00AD60FE"/>
    <w:rsid w:val="00AD6262"/>
    <w:rsid w:val="00AD6274"/>
    <w:rsid w:val="00AD6409"/>
    <w:rsid w:val="00AD64F4"/>
    <w:rsid w:val="00AD6BA5"/>
    <w:rsid w:val="00AD70C1"/>
    <w:rsid w:val="00AD710B"/>
    <w:rsid w:val="00AD714A"/>
    <w:rsid w:val="00AD7635"/>
    <w:rsid w:val="00AD7B6C"/>
    <w:rsid w:val="00AD7B81"/>
    <w:rsid w:val="00AD7D0F"/>
    <w:rsid w:val="00AD7E4C"/>
    <w:rsid w:val="00AD7EA1"/>
    <w:rsid w:val="00AE02E7"/>
    <w:rsid w:val="00AE092E"/>
    <w:rsid w:val="00AE09F7"/>
    <w:rsid w:val="00AE0EFD"/>
    <w:rsid w:val="00AE17E7"/>
    <w:rsid w:val="00AE1991"/>
    <w:rsid w:val="00AE1AB0"/>
    <w:rsid w:val="00AE2487"/>
    <w:rsid w:val="00AE2638"/>
    <w:rsid w:val="00AE2F42"/>
    <w:rsid w:val="00AE3167"/>
    <w:rsid w:val="00AE320A"/>
    <w:rsid w:val="00AE38ED"/>
    <w:rsid w:val="00AE3B45"/>
    <w:rsid w:val="00AE4028"/>
    <w:rsid w:val="00AE4178"/>
    <w:rsid w:val="00AE41FC"/>
    <w:rsid w:val="00AE422F"/>
    <w:rsid w:val="00AE4304"/>
    <w:rsid w:val="00AE431A"/>
    <w:rsid w:val="00AE45D0"/>
    <w:rsid w:val="00AE4AF9"/>
    <w:rsid w:val="00AE4B40"/>
    <w:rsid w:val="00AE4BE2"/>
    <w:rsid w:val="00AE4DEC"/>
    <w:rsid w:val="00AE5184"/>
    <w:rsid w:val="00AE51DD"/>
    <w:rsid w:val="00AE545C"/>
    <w:rsid w:val="00AE55A7"/>
    <w:rsid w:val="00AE55AE"/>
    <w:rsid w:val="00AE5AE8"/>
    <w:rsid w:val="00AE5D8E"/>
    <w:rsid w:val="00AE5F74"/>
    <w:rsid w:val="00AE65E3"/>
    <w:rsid w:val="00AE67F1"/>
    <w:rsid w:val="00AE68C8"/>
    <w:rsid w:val="00AE6B56"/>
    <w:rsid w:val="00AE6D54"/>
    <w:rsid w:val="00AE6DB1"/>
    <w:rsid w:val="00AE6F63"/>
    <w:rsid w:val="00AE6FC5"/>
    <w:rsid w:val="00AE70BF"/>
    <w:rsid w:val="00AE72A4"/>
    <w:rsid w:val="00AE72CD"/>
    <w:rsid w:val="00AF011F"/>
    <w:rsid w:val="00AF02C1"/>
    <w:rsid w:val="00AF0526"/>
    <w:rsid w:val="00AF0D46"/>
    <w:rsid w:val="00AF0F3D"/>
    <w:rsid w:val="00AF0FBC"/>
    <w:rsid w:val="00AF123A"/>
    <w:rsid w:val="00AF14D8"/>
    <w:rsid w:val="00AF1870"/>
    <w:rsid w:val="00AF18E2"/>
    <w:rsid w:val="00AF193D"/>
    <w:rsid w:val="00AF1951"/>
    <w:rsid w:val="00AF227F"/>
    <w:rsid w:val="00AF23E9"/>
    <w:rsid w:val="00AF285B"/>
    <w:rsid w:val="00AF288E"/>
    <w:rsid w:val="00AF295A"/>
    <w:rsid w:val="00AF3372"/>
    <w:rsid w:val="00AF370E"/>
    <w:rsid w:val="00AF3717"/>
    <w:rsid w:val="00AF3720"/>
    <w:rsid w:val="00AF3813"/>
    <w:rsid w:val="00AF407A"/>
    <w:rsid w:val="00AF410D"/>
    <w:rsid w:val="00AF47BE"/>
    <w:rsid w:val="00AF4A74"/>
    <w:rsid w:val="00AF54F5"/>
    <w:rsid w:val="00AF5524"/>
    <w:rsid w:val="00AF5527"/>
    <w:rsid w:val="00AF5773"/>
    <w:rsid w:val="00AF59E1"/>
    <w:rsid w:val="00AF5CC4"/>
    <w:rsid w:val="00AF638C"/>
    <w:rsid w:val="00AF6787"/>
    <w:rsid w:val="00AF6C6A"/>
    <w:rsid w:val="00AF6E77"/>
    <w:rsid w:val="00AF7230"/>
    <w:rsid w:val="00AF7476"/>
    <w:rsid w:val="00AF769C"/>
    <w:rsid w:val="00AF7BA0"/>
    <w:rsid w:val="00AF7BFB"/>
    <w:rsid w:val="00AF7CEC"/>
    <w:rsid w:val="00AF7E22"/>
    <w:rsid w:val="00B0005F"/>
    <w:rsid w:val="00B009BB"/>
    <w:rsid w:val="00B009CB"/>
    <w:rsid w:val="00B00A92"/>
    <w:rsid w:val="00B00DBF"/>
    <w:rsid w:val="00B010CD"/>
    <w:rsid w:val="00B012F6"/>
    <w:rsid w:val="00B017C5"/>
    <w:rsid w:val="00B01A14"/>
    <w:rsid w:val="00B01B05"/>
    <w:rsid w:val="00B01B59"/>
    <w:rsid w:val="00B01D42"/>
    <w:rsid w:val="00B01DA6"/>
    <w:rsid w:val="00B01F11"/>
    <w:rsid w:val="00B026B8"/>
    <w:rsid w:val="00B02DA3"/>
    <w:rsid w:val="00B030B9"/>
    <w:rsid w:val="00B03106"/>
    <w:rsid w:val="00B03562"/>
    <w:rsid w:val="00B0364F"/>
    <w:rsid w:val="00B03882"/>
    <w:rsid w:val="00B03F3A"/>
    <w:rsid w:val="00B0461C"/>
    <w:rsid w:val="00B04804"/>
    <w:rsid w:val="00B048EF"/>
    <w:rsid w:val="00B04A84"/>
    <w:rsid w:val="00B04E96"/>
    <w:rsid w:val="00B05097"/>
    <w:rsid w:val="00B055C8"/>
    <w:rsid w:val="00B05753"/>
    <w:rsid w:val="00B059C0"/>
    <w:rsid w:val="00B05A89"/>
    <w:rsid w:val="00B05D66"/>
    <w:rsid w:val="00B05EA7"/>
    <w:rsid w:val="00B05FBC"/>
    <w:rsid w:val="00B05FC0"/>
    <w:rsid w:val="00B067B2"/>
    <w:rsid w:val="00B06912"/>
    <w:rsid w:val="00B06A27"/>
    <w:rsid w:val="00B07171"/>
    <w:rsid w:val="00B07379"/>
    <w:rsid w:val="00B078F4"/>
    <w:rsid w:val="00B07ECC"/>
    <w:rsid w:val="00B1085B"/>
    <w:rsid w:val="00B1102B"/>
    <w:rsid w:val="00B1114C"/>
    <w:rsid w:val="00B111AF"/>
    <w:rsid w:val="00B116BF"/>
    <w:rsid w:val="00B11853"/>
    <w:rsid w:val="00B11FC6"/>
    <w:rsid w:val="00B1258D"/>
    <w:rsid w:val="00B12668"/>
    <w:rsid w:val="00B12B12"/>
    <w:rsid w:val="00B13729"/>
    <w:rsid w:val="00B13D0A"/>
    <w:rsid w:val="00B13F92"/>
    <w:rsid w:val="00B14989"/>
    <w:rsid w:val="00B14C61"/>
    <w:rsid w:val="00B153D0"/>
    <w:rsid w:val="00B15DD2"/>
    <w:rsid w:val="00B15DFD"/>
    <w:rsid w:val="00B15EEC"/>
    <w:rsid w:val="00B15F5C"/>
    <w:rsid w:val="00B1609B"/>
    <w:rsid w:val="00B162EE"/>
    <w:rsid w:val="00B1638F"/>
    <w:rsid w:val="00B16AB6"/>
    <w:rsid w:val="00B17092"/>
    <w:rsid w:val="00B1742C"/>
    <w:rsid w:val="00B179F8"/>
    <w:rsid w:val="00B17B2E"/>
    <w:rsid w:val="00B17C10"/>
    <w:rsid w:val="00B17D43"/>
    <w:rsid w:val="00B17F4A"/>
    <w:rsid w:val="00B20299"/>
    <w:rsid w:val="00B20388"/>
    <w:rsid w:val="00B20478"/>
    <w:rsid w:val="00B20B76"/>
    <w:rsid w:val="00B20DA8"/>
    <w:rsid w:val="00B20F51"/>
    <w:rsid w:val="00B2115D"/>
    <w:rsid w:val="00B212E8"/>
    <w:rsid w:val="00B217F3"/>
    <w:rsid w:val="00B21D8E"/>
    <w:rsid w:val="00B2201B"/>
    <w:rsid w:val="00B22310"/>
    <w:rsid w:val="00B226FF"/>
    <w:rsid w:val="00B22BA8"/>
    <w:rsid w:val="00B22F9E"/>
    <w:rsid w:val="00B23113"/>
    <w:rsid w:val="00B23323"/>
    <w:rsid w:val="00B23AA6"/>
    <w:rsid w:val="00B23CE6"/>
    <w:rsid w:val="00B24087"/>
    <w:rsid w:val="00B24138"/>
    <w:rsid w:val="00B24165"/>
    <w:rsid w:val="00B2448C"/>
    <w:rsid w:val="00B245E8"/>
    <w:rsid w:val="00B247DF"/>
    <w:rsid w:val="00B24A25"/>
    <w:rsid w:val="00B24BAF"/>
    <w:rsid w:val="00B24E11"/>
    <w:rsid w:val="00B24F57"/>
    <w:rsid w:val="00B25C34"/>
    <w:rsid w:val="00B25E95"/>
    <w:rsid w:val="00B26431"/>
    <w:rsid w:val="00B2649D"/>
    <w:rsid w:val="00B2719E"/>
    <w:rsid w:val="00B273E9"/>
    <w:rsid w:val="00B27714"/>
    <w:rsid w:val="00B27B75"/>
    <w:rsid w:val="00B27BC1"/>
    <w:rsid w:val="00B27E86"/>
    <w:rsid w:val="00B300FF"/>
    <w:rsid w:val="00B3010E"/>
    <w:rsid w:val="00B30191"/>
    <w:rsid w:val="00B303D2"/>
    <w:rsid w:val="00B30431"/>
    <w:rsid w:val="00B3101F"/>
    <w:rsid w:val="00B31211"/>
    <w:rsid w:val="00B313AD"/>
    <w:rsid w:val="00B315A4"/>
    <w:rsid w:val="00B31AF1"/>
    <w:rsid w:val="00B31B71"/>
    <w:rsid w:val="00B31CD6"/>
    <w:rsid w:val="00B31EA6"/>
    <w:rsid w:val="00B31F0C"/>
    <w:rsid w:val="00B31F2D"/>
    <w:rsid w:val="00B32039"/>
    <w:rsid w:val="00B320CA"/>
    <w:rsid w:val="00B32147"/>
    <w:rsid w:val="00B32559"/>
    <w:rsid w:val="00B3288D"/>
    <w:rsid w:val="00B3299E"/>
    <w:rsid w:val="00B32AC5"/>
    <w:rsid w:val="00B32BF1"/>
    <w:rsid w:val="00B32C08"/>
    <w:rsid w:val="00B32C29"/>
    <w:rsid w:val="00B3314D"/>
    <w:rsid w:val="00B33266"/>
    <w:rsid w:val="00B33281"/>
    <w:rsid w:val="00B332F5"/>
    <w:rsid w:val="00B3330D"/>
    <w:rsid w:val="00B3375D"/>
    <w:rsid w:val="00B339B5"/>
    <w:rsid w:val="00B340AB"/>
    <w:rsid w:val="00B34899"/>
    <w:rsid w:val="00B34E1A"/>
    <w:rsid w:val="00B356B4"/>
    <w:rsid w:val="00B357FE"/>
    <w:rsid w:val="00B35FA7"/>
    <w:rsid w:val="00B35FAB"/>
    <w:rsid w:val="00B365F7"/>
    <w:rsid w:val="00B365FD"/>
    <w:rsid w:val="00B36665"/>
    <w:rsid w:val="00B3680C"/>
    <w:rsid w:val="00B3688D"/>
    <w:rsid w:val="00B36CD6"/>
    <w:rsid w:val="00B36CEB"/>
    <w:rsid w:val="00B37246"/>
    <w:rsid w:val="00B377A1"/>
    <w:rsid w:val="00B4029D"/>
    <w:rsid w:val="00B40451"/>
    <w:rsid w:val="00B40659"/>
    <w:rsid w:val="00B4083B"/>
    <w:rsid w:val="00B40B88"/>
    <w:rsid w:val="00B4114E"/>
    <w:rsid w:val="00B412C9"/>
    <w:rsid w:val="00B41409"/>
    <w:rsid w:val="00B41D10"/>
    <w:rsid w:val="00B41E6B"/>
    <w:rsid w:val="00B421D6"/>
    <w:rsid w:val="00B4225D"/>
    <w:rsid w:val="00B4226D"/>
    <w:rsid w:val="00B42314"/>
    <w:rsid w:val="00B42F91"/>
    <w:rsid w:val="00B4333D"/>
    <w:rsid w:val="00B4349D"/>
    <w:rsid w:val="00B434AC"/>
    <w:rsid w:val="00B438B5"/>
    <w:rsid w:val="00B43963"/>
    <w:rsid w:val="00B43972"/>
    <w:rsid w:val="00B439DB"/>
    <w:rsid w:val="00B43CB7"/>
    <w:rsid w:val="00B44236"/>
    <w:rsid w:val="00B4434F"/>
    <w:rsid w:val="00B4441B"/>
    <w:rsid w:val="00B44F1C"/>
    <w:rsid w:val="00B44FEA"/>
    <w:rsid w:val="00B4505D"/>
    <w:rsid w:val="00B4516B"/>
    <w:rsid w:val="00B4535C"/>
    <w:rsid w:val="00B456B8"/>
    <w:rsid w:val="00B45CBE"/>
    <w:rsid w:val="00B4603B"/>
    <w:rsid w:val="00B461D8"/>
    <w:rsid w:val="00B462F6"/>
    <w:rsid w:val="00B46420"/>
    <w:rsid w:val="00B46673"/>
    <w:rsid w:val="00B46A43"/>
    <w:rsid w:val="00B46ACE"/>
    <w:rsid w:val="00B46C6A"/>
    <w:rsid w:val="00B47336"/>
    <w:rsid w:val="00B473FF"/>
    <w:rsid w:val="00B47788"/>
    <w:rsid w:val="00B478AD"/>
    <w:rsid w:val="00B4798B"/>
    <w:rsid w:val="00B47A33"/>
    <w:rsid w:val="00B47DE1"/>
    <w:rsid w:val="00B50260"/>
    <w:rsid w:val="00B506E6"/>
    <w:rsid w:val="00B50D55"/>
    <w:rsid w:val="00B50D76"/>
    <w:rsid w:val="00B51127"/>
    <w:rsid w:val="00B512AA"/>
    <w:rsid w:val="00B515F8"/>
    <w:rsid w:val="00B51D7C"/>
    <w:rsid w:val="00B52060"/>
    <w:rsid w:val="00B52351"/>
    <w:rsid w:val="00B52369"/>
    <w:rsid w:val="00B5297A"/>
    <w:rsid w:val="00B52A51"/>
    <w:rsid w:val="00B52D81"/>
    <w:rsid w:val="00B53068"/>
    <w:rsid w:val="00B53094"/>
    <w:rsid w:val="00B5334D"/>
    <w:rsid w:val="00B53378"/>
    <w:rsid w:val="00B53591"/>
    <w:rsid w:val="00B53B86"/>
    <w:rsid w:val="00B53E09"/>
    <w:rsid w:val="00B54162"/>
    <w:rsid w:val="00B54180"/>
    <w:rsid w:val="00B545F6"/>
    <w:rsid w:val="00B546A6"/>
    <w:rsid w:val="00B54700"/>
    <w:rsid w:val="00B554C9"/>
    <w:rsid w:val="00B55560"/>
    <w:rsid w:val="00B567A3"/>
    <w:rsid w:val="00B56B60"/>
    <w:rsid w:val="00B5732F"/>
    <w:rsid w:val="00B57439"/>
    <w:rsid w:val="00B575F1"/>
    <w:rsid w:val="00B578DD"/>
    <w:rsid w:val="00B57BAF"/>
    <w:rsid w:val="00B57C06"/>
    <w:rsid w:val="00B57D26"/>
    <w:rsid w:val="00B57E68"/>
    <w:rsid w:val="00B57EE6"/>
    <w:rsid w:val="00B57FD4"/>
    <w:rsid w:val="00B6054C"/>
    <w:rsid w:val="00B60D41"/>
    <w:rsid w:val="00B61260"/>
    <w:rsid w:val="00B616EC"/>
    <w:rsid w:val="00B61C11"/>
    <w:rsid w:val="00B61C88"/>
    <w:rsid w:val="00B61D81"/>
    <w:rsid w:val="00B62173"/>
    <w:rsid w:val="00B62420"/>
    <w:rsid w:val="00B625CC"/>
    <w:rsid w:val="00B62B9C"/>
    <w:rsid w:val="00B62CAD"/>
    <w:rsid w:val="00B62D4E"/>
    <w:rsid w:val="00B62E85"/>
    <w:rsid w:val="00B62F29"/>
    <w:rsid w:val="00B630ED"/>
    <w:rsid w:val="00B6322B"/>
    <w:rsid w:val="00B6358B"/>
    <w:rsid w:val="00B6371D"/>
    <w:rsid w:val="00B6394A"/>
    <w:rsid w:val="00B63B4F"/>
    <w:rsid w:val="00B640D0"/>
    <w:rsid w:val="00B641DC"/>
    <w:rsid w:val="00B6468E"/>
    <w:rsid w:val="00B647C0"/>
    <w:rsid w:val="00B64815"/>
    <w:rsid w:val="00B64B45"/>
    <w:rsid w:val="00B64B80"/>
    <w:rsid w:val="00B65581"/>
    <w:rsid w:val="00B655BB"/>
    <w:rsid w:val="00B655CE"/>
    <w:rsid w:val="00B6569F"/>
    <w:rsid w:val="00B65827"/>
    <w:rsid w:val="00B65D6E"/>
    <w:rsid w:val="00B65E19"/>
    <w:rsid w:val="00B65E80"/>
    <w:rsid w:val="00B665C3"/>
    <w:rsid w:val="00B669DA"/>
    <w:rsid w:val="00B66A0A"/>
    <w:rsid w:val="00B6722F"/>
    <w:rsid w:val="00B67325"/>
    <w:rsid w:val="00B67838"/>
    <w:rsid w:val="00B67A38"/>
    <w:rsid w:val="00B67FF8"/>
    <w:rsid w:val="00B70076"/>
    <w:rsid w:val="00B700E3"/>
    <w:rsid w:val="00B70767"/>
    <w:rsid w:val="00B709E1"/>
    <w:rsid w:val="00B70D26"/>
    <w:rsid w:val="00B70F25"/>
    <w:rsid w:val="00B7165C"/>
    <w:rsid w:val="00B716DF"/>
    <w:rsid w:val="00B71732"/>
    <w:rsid w:val="00B71796"/>
    <w:rsid w:val="00B718AF"/>
    <w:rsid w:val="00B71C85"/>
    <w:rsid w:val="00B71F90"/>
    <w:rsid w:val="00B720C6"/>
    <w:rsid w:val="00B724DE"/>
    <w:rsid w:val="00B72825"/>
    <w:rsid w:val="00B72845"/>
    <w:rsid w:val="00B72CE5"/>
    <w:rsid w:val="00B72DAE"/>
    <w:rsid w:val="00B72DE9"/>
    <w:rsid w:val="00B7358B"/>
    <w:rsid w:val="00B73A00"/>
    <w:rsid w:val="00B73AA1"/>
    <w:rsid w:val="00B73B41"/>
    <w:rsid w:val="00B73CBC"/>
    <w:rsid w:val="00B741F0"/>
    <w:rsid w:val="00B7456C"/>
    <w:rsid w:val="00B74699"/>
    <w:rsid w:val="00B7488C"/>
    <w:rsid w:val="00B74EF1"/>
    <w:rsid w:val="00B7503F"/>
    <w:rsid w:val="00B75164"/>
    <w:rsid w:val="00B756FE"/>
    <w:rsid w:val="00B75BF0"/>
    <w:rsid w:val="00B75D17"/>
    <w:rsid w:val="00B75EF4"/>
    <w:rsid w:val="00B762AD"/>
    <w:rsid w:val="00B765EC"/>
    <w:rsid w:val="00B765F0"/>
    <w:rsid w:val="00B765FC"/>
    <w:rsid w:val="00B767FB"/>
    <w:rsid w:val="00B77297"/>
    <w:rsid w:val="00B773DC"/>
    <w:rsid w:val="00B77484"/>
    <w:rsid w:val="00B7794E"/>
    <w:rsid w:val="00B77C9B"/>
    <w:rsid w:val="00B77E93"/>
    <w:rsid w:val="00B800B4"/>
    <w:rsid w:val="00B8037E"/>
    <w:rsid w:val="00B803FA"/>
    <w:rsid w:val="00B80B21"/>
    <w:rsid w:val="00B80B4F"/>
    <w:rsid w:val="00B80E77"/>
    <w:rsid w:val="00B81790"/>
    <w:rsid w:val="00B81C92"/>
    <w:rsid w:val="00B81FFF"/>
    <w:rsid w:val="00B820D8"/>
    <w:rsid w:val="00B82736"/>
    <w:rsid w:val="00B828EB"/>
    <w:rsid w:val="00B82B6B"/>
    <w:rsid w:val="00B82BC3"/>
    <w:rsid w:val="00B83259"/>
    <w:rsid w:val="00B833F2"/>
    <w:rsid w:val="00B836D8"/>
    <w:rsid w:val="00B83778"/>
    <w:rsid w:val="00B83980"/>
    <w:rsid w:val="00B83DB3"/>
    <w:rsid w:val="00B83F7D"/>
    <w:rsid w:val="00B840A7"/>
    <w:rsid w:val="00B845CD"/>
    <w:rsid w:val="00B84654"/>
    <w:rsid w:val="00B84A0F"/>
    <w:rsid w:val="00B84A68"/>
    <w:rsid w:val="00B84CF5"/>
    <w:rsid w:val="00B85422"/>
    <w:rsid w:val="00B854FE"/>
    <w:rsid w:val="00B863FF"/>
    <w:rsid w:val="00B866B8"/>
    <w:rsid w:val="00B86A60"/>
    <w:rsid w:val="00B86A6A"/>
    <w:rsid w:val="00B86BCB"/>
    <w:rsid w:val="00B86D0A"/>
    <w:rsid w:val="00B86D6F"/>
    <w:rsid w:val="00B86F4A"/>
    <w:rsid w:val="00B873B8"/>
    <w:rsid w:val="00B87620"/>
    <w:rsid w:val="00B87966"/>
    <w:rsid w:val="00B879DD"/>
    <w:rsid w:val="00B87A6B"/>
    <w:rsid w:val="00B87B38"/>
    <w:rsid w:val="00B87D33"/>
    <w:rsid w:val="00B87F8A"/>
    <w:rsid w:val="00B90059"/>
    <w:rsid w:val="00B90257"/>
    <w:rsid w:val="00B904A0"/>
    <w:rsid w:val="00B904C6"/>
    <w:rsid w:val="00B90713"/>
    <w:rsid w:val="00B90876"/>
    <w:rsid w:val="00B90A51"/>
    <w:rsid w:val="00B90B02"/>
    <w:rsid w:val="00B90C1B"/>
    <w:rsid w:val="00B90CFD"/>
    <w:rsid w:val="00B90D4C"/>
    <w:rsid w:val="00B91516"/>
    <w:rsid w:val="00B91C7C"/>
    <w:rsid w:val="00B91C96"/>
    <w:rsid w:val="00B91E7B"/>
    <w:rsid w:val="00B920FB"/>
    <w:rsid w:val="00B92638"/>
    <w:rsid w:val="00B9268D"/>
    <w:rsid w:val="00B9292E"/>
    <w:rsid w:val="00B92AAB"/>
    <w:rsid w:val="00B92B25"/>
    <w:rsid w:val="00B92F78"/>
    <w:rsid w:val="00B93308"/>
    <w:rsid w:val="00B93EFF"/>
    <w:rsid w:val="00B93FEB"/>
    <w:rsid w:val="00B949CC"/>
    <w:rsid w:val="00B94E25"/>
    <w:rsid w:val="00B9524A"/>
    <w:rsid w:val="00B95301"/>
    <w:rsid w:val="00B95392"/>
    <w:rsid w:val="00B9583F"/>
    <w:rsid w:val="00B95FDE"/>
    <w:rsid w:val="00B9602F"/>
    <w:rsid w:val="00B9608C"/>
    <w:rsid w:val="00B961C5"/>
    <w:rsid w:val="00B9658C"/>
    <w:rsid w:val="00B96B41"/>
    <w:rsid w:val="00B96BE6"/>
    <w:rsid w:val="00B96CF7"/>
    <w:rsid w:val="00B9710E"/>
    <w:rsid w:val="00B974C7"/>
    <w:rsid w:val="00B97A90"/>
    <w:rsid w:val="00B97BAC"/>
    <w:rsid w:val="00B97DC9"/>
    <w:rsid w:val="00B97F53"/>
    <w:rsid w:val="00B97F83"/>
    <w:rsid w:val="00BA001F"/>
    <w:rsid w:val="00BA0299"/>
    <w:rsid w:val="00BA06ED"/>
    <w:rsid w:val="00BA0800"/>
    <w:rsid w:val="00BA0CD1"/>
    <w:rsid w:val="00BA0D16"/>
    <w:rsid w:val="00BA0D2C"/>
    <w:rsid w:val="00BA0E23"/>
    <w:rsid w:val="00BA0E8D"/>
    <w:rsid w:val="00BA11E1"/>
    <w:rsid w:val="00BA1389"/>
    <w:rsid w:val="00BA2006"/>
    <w:rsid w:val="00BA217C"/>
    <w:rsid w:val="00BA23CB"/>
    <w:rsid w:val="00BA278C"/>
    <w:rsid w:val="00BA2A57"/>
    <w:rsid w:val="00BA2B17"/>
    <w:rsid w:val="00BA2C4E"/>
    <w:rsid w:val="00BA31D8"/>
    <w:rsid w:val="00BA31ED"/>
    <w:rsid w:val="00BA3890"/>
    <w:rsid w:val="00BA3989"/>
    <w:rsid w:val="00BA3B1E"/>
    <w:rsid w:val="00BA3D5F"/>
    <w:rsid w:val="00BA40E0"/>
    <w:rsid w:val="00BA42A5"/>
    <w:rsid w:val="00BA446C"/>
    <w:rsid w:val="00BA494A"/>
    <w:rsid w:val="00BA4B81"/>
    <w:rsid w:val="00BA4F45"/>
    <w:rsid w:val="00BA5189"/>
    <w:rsid w:val="00BA5215"/>
    <w:rsid w:val="00BA548C"/>
    <w:rsid w:val="00BA58EC"/>
    <w:rsid w:val="00BA6189"/>
    <w:rsid w:val="00BA620C"/>
    <w:rsid w:val="00BA6B99"/>
    <w:rsid w:val="00BA6D97"/>
    <w:rsid w:val="00BA6F1F"/>
    <w:rsid w:val="00BA6F71"/>
    <w:rsid w:val="00BA7475"/>
    <w:rsid w:val="00BA79CB"/>
    <w:rsid w:val="00BA7EF4"/>
    <w:rsid w:val="00BB021E"/>
    <w:rsid w:val="00BB065F"/>
    <w:rsid w:val="00BB0B27"/>
    <w:rsid w:val="00BB14AD"/>
    <w:rsid w:val="00BB14FC"/>
    <w:rsid w:val="00BB199E"/>
    <w:rsid w:val="00BB29CB"/>
    <w:rsid w:val="00BB2B75"/>
    <w:rsid w:val="00BB3154"/>
    <w:rsid w:val="00BB32C7"/>
    <w:rsid w:val="00BB363C"/>
    <w:rsid w:val="00BB3C64"/>
    <w:rsid w:val="00BB3EA7"/>
    <w:rsid w:val="00BB411E"/>
    <w:rsid w:val="00BB4659"/>
    <w:rsid w:val="00BB4838"/>
    <w:rsid w:val="00BB4BE5"/>
    <w:rsid w:val="00BB4BFA"/>
    <w:rsid w:val="00BB4E3C"/>
    <w:rsid w:val="00BB5968"/>
    <w:rsid w:val="00BB59EA"/>
    <w:rsid w:val="00BB5B7B"/>
    <w:rsid w:val="00BB5E7C"/>
    <w:rsid w:val="00BB65B5"/>
    <w:rsid w:val="00BB6787"/>
    <w:rsid w:val="00BB6B99"/>
    <w:rsid w:val="00BB71C3"/>
    <w:rsid w:val="00BB74BB"/>
    <w:rsid w:val="00BB77A7"/>
    <w:rsid w:val="00BB77B6"/>
    <w:rsid w:val="00BB780B"/>
    <w:rsid w:val="00BB7DB7"/>
    <w:rsid w:val="00BB7F8C"/>
    <w:rsid w:val="00BC00A3"/>
    <w:rsid w:val="00BC0253"/>
    <w:rsid w:val="00BC0529"/>
    <w:rsid w:val="00BC0668"/>
    <w:rsid w:val="00BC0A1B"/>
    <w:rsid w:val="00BC0D1D"/>
    <w:rsid w:val="00BC0FA4"/>
    <w:rsid w:val="00BC100F"/>
    <w:rsid w:val="00BC1053"/>
    <w:rsid w:val="00BC1115"/>
    <w:rsid w:val="00BC1137"/>
    <w:rsid w:val="00BC131A"/>
    <w:rsid w:val="00BC18CD"/>
    <w:rsid w:val="00BC1B17"/>
    <w:rsid w:val="00BC1E2E"/>
    <w:rsid w:val="00BC227C"/>
    <w:rsid w:val="00BC2572"/>
    <w:rsid w:val="00BC260C"/>
    <w:rsid w:val="00BC2974"/>
    <w:rsid w:val="00BC2A60"/>
    <w:rsid w:val="00BC2A8C"/>
    <w:rsid w:val="00BC2F80"/>
    <w:rsid w:val="00BC30BE"/>
    <w:rsid w:val="00BC38B8"/>
    <w:rsid w:val="00BC3E76"/>
    <w:rsid w:val="00BC3F59"/>
    <w:rsid w:val="00BC5378"/>
    <w:rsid w:val="00BC5602"/>
    <w:rsid w:val="00BC57BB"/>
    <w:rsid w:val="00BC5E96"/>
    <w:rsid w:val="00BC5EC8"/>
    <w:rsid w:val="00BC5F32"/>
    <w:rsid w:val="00BC608A"/>
    <w:rsid w:val="00BC613C"/>
    <w:rsid w:val="00BC644F"/>
    <w:rsid w:val="00BC65B2"/>
    <w:rsid w:val="00BC6B28"/>
    <w:rsid w:val="00BC6E66"/>
    <w:rsid w:val="00BC754F"/>
    <w:rsid w:val="00BC7899"/>
    <w:rsid w:val="00BD039D"/>
    <w:rsid w:val="00BD045F"/>
    <w:rsid w:val="00BD076F"/>
    <w:rsid w:val="00BD0A91"/>
    <w:rsid w:val="00BD0B8F"/>
    <w:rsid w:val="00BD108F"/>
    <w:rsid w:val="00BD123A"/>
    <w:rsid w:val="00BD1432"/>
    <w:rsid w:val="00BD15AF"/>
    <w:rsid w:val="00BD1A41"/>
    <w:rsid w:val="00BD1D67"/>
    <w:rsid w:val="00BD1DC1"/>
    <w:rsid w:val="00BD24F1"/>
    <w:rsid w:val="00BD250E"/>
    <w:rsid w:val="00BD2AE2"/>
    <w:rsid w:val="00BD2CEF"/>
    <w:rsid w:val="00BD2E97"/>
    <w:rsid w:val="00BD2F90"/>
    <w:rsid w:val="00BD3023"/>
    <w:rsid w:val="00BD315F"/>
    <w:rsid w:val="00BD38EA"/>
    <w:rsid w:val="00BD39AE"/>
    <w:rsid w:val="00BD3BA3"/>
    <w:rsid w:val="00BD3F9F"/>
    <w:rsid w:val="00BD405F"/>
    <w:rsid w:val="00BD4389"/>
    <w:rsid w:val="00BD43C2"/>
    <w:rsid w:val="00BD4521"/>
    <w:rsid w:val="00BD452F"/>
    <w:rsid w:val="00BD45C7"/>
    <w:rsid w:val="00BD45F3"/>
    <w:rsid w:val="00BD4600"/>
    <w:rsid w:val="00BD46CA"/>
    <w:rsid w:val="00BD4AB5"/>
    <w:rsid w:val="00BD4AB8"/>
    <w:rsid w:val="00BD50A7"/>
    <w:rsid w:val="00BD516B"/>
    <w:rsid w:val="00BD566F"/>
    <w:rsid w:val="00BD5BB9"/>
    <w:rsid w:val="00BD639E"/>
    <w:rsid w:val="00BD657D"/>
    <w:rsid w:val="00BD67FE"/>
    <w:rsid w:val="00BD692A"/>
    <w:rsid w:val="00BD69BB"/>
    <w:rsid w:val="00BD702E"/>
    <w:rsid w:val="00BD722B"/>
    <w:rsid w:val="00BD7782"/>
    <w:rsid w:val="00BD77D7"/>
    <w:rsid w:val="00BD78A4"/>
    <w:rsid w:val="00BD78A5"/>
    <w:rsid w:val="00BD7A71"/>
    <w:rsid w:val="00BD7F6F"/>
    <w:rsid w:val="00BE0304"/>
    <w:rsid w:val="00BE0EE7"/>
    <w:rsid w:val="00BE13BC"/>
    <w:rsid w:val="00BE1893"/>
    <w:rsid w:val="00BE20CF"/>
    <w:rsid w:val="00BE217A"/>
    <w:rsid w:val="00BE23B2"/>
    <w:rsid w:val="00BE2554"/>
    <w:rsid w:val="00BE27AF"/>
    <w:rsid w:val="00BE29ED"/>
    <w:rsid w:val="00BE2A3B"/>
    <w:rsid w:val="00BE2B5A"/>
    <w:rsid w:val="00BE2BBD"/>
    <w:rsid w:val="00BE2D2E"/>
    <w:rsid w:val="00BE3093"/>
    <w:rsid w:val="00BE3102"/>
    <w:rsid w:val="00BE32E8"/>
    <w:rsid w:val="00BE350B"/>
    <w:rsid w:val="00BE3530"/>
    <w:rsid w:val="00BE3A57"/>
    <w:rsid w:val="00BE40A2"/>
    <w:rsid w:val="00BE4343"/>
    <w:rsid w:val="00BE44CE"/>
    <w:rsid w:val="00BE4728"/>
    <w:rsid w:val="00BE4A53"/>
    <w:rsid w:val="00BE54DC"/>
    <w:rsid w:val="00BE55FD"/>
    <w:rsid w:val="00BE5913"/>
    <w:rsid w:val="00BE5975"/>
    <w:rsid w:val="00BE6AED"/>
    <w:rsid w:val="00BE6BCD"/>
    <w:rsid w:val="00BE7619"/>
    <w:rsid w:val="00BE76C2"/>
    <w:rsid w:val="00BE76DC"/>
    <w:rsid w:val="00BE78D7"/>
    <w:rsid w:val="00BE78EC"/>
    <w:rsid w:val="00BE7BC5"/>
    <w:rsid w:val="00BE7C98"/>
    <w:rsid w:val="00BE7F35"/>
    <w:rsid w:val="00BE7FA7"/>
    <w:rsid w:val="00BF009F"/>
    <w:rsid w:val="00BF02D2"/>
    <w:rsid w:val="00BF0378"/>
    <w:rsid w:val="00BF045A"/>
    <w:rsid w:val="00BF07E7"/>
    <w:rsid w:val="00BF0992"/>
    <w:rsid w:val="00BF0A11"/>
    <w:rsid w:val="00BF0A52"/>
    <w:rsid w:val="00BF0B30"/>
    <w:rsid w:val="00BF0BAB"/>
    <w:rsid w:val="00BF12F5"/>
    <w:rsid w:val="00BF138E"/>
    <w:rsid w:val="00BF15C1"/>
    <w:rsid w:val="00BF1657"/>
    <w:rsid w:val="00BF1A38"/>
    <w:rsid w:val="00BF24A6"/>
    <w:rsid w:val="00BF26CD"/>
    <w:rsid w:val="00BF285F"/>
    <w:rsid w:val="00BF2915"/>
    <w:rsid w:val="00BF2A2A"/>
    <w:rsid w:val="00BF2AEC"/>
    <w:rsid w:val="00BF2F52"/>
    <w:rsid w:val="00BF3050"/>
    <w:rsid w:val="00BF30F8"/>
    <w:rsid w:val="00BF386F"/>
    <w:rsid w:val="00BF3DD4"/>
    <w:rsid w:val="00BF3FD0"/>
    <w:rsid w:val="00BF4014"/>
    <w:rsid w:val="00BF4BCA"/>
    <w:rsid w:val="00BF4EBA"/>
    <w:rsid w:val="00BF4FB4"/>
    <w:rsid w:val="00BF5587"/>
    <w:rsid w:val="00BF5689"/>
    <w:rsid w:val="00BF58F2"/>
    <w:rsid w:val="00BF5CB5"/>
    <w:rsid w:val="00BF5DCD"/>
    <w:rsid w:val="00BF609B"/>
    <w:rsid w:val="00BF60DC"/>
    <w:rsid w:val="00BF6258"/>
    <w:rsid w:val="00BF655C"/>
    <w:rsid w:val="00BF657A"/>
    <w:rsid w:val="00BF685F"/>
    <w:rsid w:val="00BF6974"/>
    <w:rsid w:val="00BF6DFE"/>
    <w:rsid w:val="00BF7296"/>
    <w:rsid w:val="00BF7320"/>
    <w:rsid w:val="00BF77FF"/>
    <w:rsid w:val="00BF7987"/>
    <w:rsid w:val="00BF7B88"/>
    <w:rsid w:val="00BF7BAA"/>
    <w:rsid w:val="00BF7D89"/>
    <w:rsid w:val="00C00018"/>
    <w:rsid w:val="00C00333"/>
    <w:rsid w:val="00C00580"/>
    <w:rsid w:val="00C0067C"/>
    <w:rsid w:val="00C00843"/>
    <w:rsid w:val="00C00B20"/>
    <w:rsid w:val="00C00D6D"/>
    <w:rsid w:val="00C00F5A"/>
    <w:rsid w:val="00C01021"/>
    <w:rsid w:val="00C010DD"/>
    <w:rsid w:val="00C013D9"/>
    <w:rsid w:val="00C01BAC"/>
    <w:rsid w:val="00C01BCD"/>
    <w:rsid w:val="00C01C45"/>
    <w:rsid w:val="00C01EC2"/>
    <w:rsid w:val="00C0225A"/>
    <w:rsid w:val="00C028CB"/>
    <w:rsid w:val="00C02F62"/>
    <w:rsid w:val="00C02FCF"/>
    <w:rsid w:val="00C030F1"/>
    <w:rsid w:val="00C03195"/>
    <w:rsid w:val="00C032C9"/>
    <w:rsid w:val="00C0339C"/>
    <w:rsid w:val="00C0352E"/>
    <w:rsid w:val="00C0385C"/>
    <w:rsid w:val="00C03D61"/>
    <w:rsid w:val="00C03E2E"/>
    <w:rsid w:val="00C040A5"/>
    <w:rsid w:val="00C04605"/>
    <w:rsid w:val="00C047E5"/>
    <w:rsid w:val="00C04A32"/>
    <w:rsid w:val="00C04D79"/>
    <w:rsid w:val="00C050B6"/>
    <w:rsid w:val="00C050BD"/>
    <w:rsid w:val="00C055F0"/>
    <w:rsid w:val="00C059CD"/>
    <w:rsid w:val="00C05A2B"/>
    <w:rsid w:val="00C063D5"/>
    <w:rsid w:val="00C0667B"/>
    <w:rsid w:val="00C06791"/>
    <w:rsid w:val="00C067AE"/>
    <w:rsid w:val="00C06958"/>
    <w:rsid w:val="00C06CF0"/>
    <w:rsid w:val="00C0700A"/>
    <w:rsid w:val="00C07618"/>
    <w:rsid w:val="00C07C10"/>
    <w:rsid w:val="00C07D9A"/>
    <w:rsid w:val="00C07F04"/>
    <w:rsid w:val="00C07FEA"/>
    <w:rsid w:val="00C101A3"/>
    <w:rsid w:val="00C1027D"/>
    <w:rsid w:val="00C102F5"/>
    <w:rsid w:val="00C10735"/>
    <w:rsid w:val="00C1073A"/>
    <w:rsid w:val="00C1074C"/>
    <w:rsid w:val="00C10755"/>
    <w:rsid w:val="00C10B23"/>
    <w:rsid w:val="00C1185E"/>
    <w:rsid w:val="00C11876"/>
    <w:rsid w:val="00C119BE"/>
    <w:rsid w:val="00C119E5"/>
    <w:rsid w:val="00C12095"/>
    <w:rsid w:val="00C1248D"/>
    <w:rsid w:val="00C12771"/>
    <w:rsid w:val="00C128D6"/>
    <w:rsid w:val="00C12B1B"/>
    <w:rsid w:val="00C12B6D"/>
    <w:rsid w:val="00C12C1E"/>
    <w:rsid w:val="00C132E8"/>
    <w:rsid w:val="00C136BD"/>
    <w:rsid w:val="00C136BE"/>
    <w:rsid w:val="00C13A37"/>
    <w:rsid w:val="00C13BC2"/>
    <w:rsid w:val="00C14104"/>
    <w:rsid w:val="00C141E6"/>
    <w:rsid w:val="00C1455E"/>
    <w:rsid w:val="00C146D1"/>
    <w:rsid w:val="00C14D26"/>
    <w:rsid w:val="00C152B2"/>
    <w:rsid w:val="00C1573C"/>
    <w:rsid w:val="00C15FEC"/>
    <w:rsid w:val="00C1600D"/>
    <w:rsid w:val="00C16202"/>
    <w:rsid w:val="00C16A4B"/>
    <w:rsid w:val="00C16D11"/>
    <w:rsid w:val="00C16D4B"/>
    <w:rsid w:val="00C1722D"/>
    <w:rsid w:val="00C17356"/>
    <w:rsid w:val="00C173E5"/>
    <w:rsid w:val="00C174FC"/>
    <w:rsid w:val="00C17646"/>
    <w:rsid w:val="00C177E3"/>
    <w:rsid w:val="00C17847"/>
    <w:rsid w:val="00C17920"/>
    <w:rsid w:val="00C17B6E"/>
    <w:rsid w:val="00C2003A"/>
    <w:rsid w:val="00C203FC"/>
    <w:rsid w:val="00C205FD"/>
    <w:rsid w:val="00C20F21"/>
    <w:rsid w:val="00C2107D"/>
    <w:rsid w:val="00C21086"/>
    <w:rsid w:val="00C211DB"/>
    <w:rsid w:val="00C2153F"/>
    <w:rsid w:val="00C21D14"/>
    <w:rsid w:val="00C221CB"/>
    <w:rsid w:val="00C224DB"/>
    <w:rsid w:val="00C22627"/>
    <w:rsid w:val="00C22AD6"/>
    <w:rsid w:val="00C22B6D"/>
    <w:rsid w:val="00C22C66"/>
    <w:rsid w:val="00C22C6A"/>
    <w:rsid w:val="00C232D6"/>
    <w:rsid w:val="00C235B3"/>
    <w:rsid w:val="00C238F0"/>
    <w:rsid w:val="00C23D12"/>
    <w:rsid w:val="00C24611"/>
    <w:rsid w:val="00C2461D"/>
    <w:rsid w:val="00C2471A"/>
    <w:rsid w:val="00C248E3"/>
    <w:rsid w:val="00C24C47"/>
    <w:rsid w:val="00C254F5"/>
    <w:rsid w:val="00C2570B"/>
    <w:rsid w:val="00C257C3"/>
    <w:rsid w:val="00C2616C"/>
    <w:rsid w:val="00C26230"/>
    <w:rsid w:val="00C2656B"/>
    <w:rsid w:val="00C268C0"/>
    <w:rsid w:val="00C26BE7"/>
    <w:rsid w:val="00C27250"/>
    <w:rsid w:val="00C272D6"/>
    <w:rsid w:val="00C272D9"/>
    <w:rsid w:val="00C27835"/>
    <w:rsid w:val="00C2791C"/>
    <w:rsid w:val="00C2791E"/>
    <w:rsid w:val="00C27AB8"/>
    <w:rsid w:val="00C27B28"/>
    <w:rsid w:val="00C301FF"/>
    <w:rsid w:val="00C30ADA"/>
    <w:rsid w:val="00C30BB8"/>
    <w:rsid w:val="00C30BF8"/>
    <w:rsid w:val="00C3102C"/>
    <w:rsid w:val="00C31277"/>
    <w:rsid w:val="00C31415"/>
    <w:rsid w:val="00C319AB"/>
    <w:rsid w:val="00C31DB5"/>
    <w:rsid w:val="00C32616"/>
    <w:rsid w:val="00C327C4"/>
    <w:rsid w:val="00C32ABA"/>
    <w:rsid w:val="00C32CC0"/>
    <w:rsid w:val="00C33114"/>
    <w:rsid w:val="00C334D1"/>
    <w:rsid w:val="00C3362C"/>
    <w:rsid w:val="00C33BD4"/>
    <w:rsid w:val="00C34210"/>
    <w:rsid w:val="00C346CF"/>
    <w:rsid w:val="00C346EB"/>
    <w:rsid w:val="00C3492E"/>
    <w:rsid w:val="00C34933"/>
    <w:rsid w:val="00C34942"/>
    <w:rsid w:val="00C34AB8"/>
    <w:rsid w:val="00C34BA5"/>
    <w:rsid w:val="00C34BE4"/>
    <w:rsid w:val="00C350EF"/>
    <w:rsid w:val="00C35779"/>
    <w:rsid w:val="00C357D0"/>
    <w:rsid w:val="00C358ED"/>
    <w:rsid w:val="00C3595E"/>
    <w:rsid w:val="00C3625F"/>
    <w:rsid w:val="00C36864"/>
    <w:rsid w:val="00C36F5D"/>
    <w:rsid w:val="00C36FDE"/>
    <w:rsid w:val="00C37015"/>
    <w:rsid w:val="00C3753D"/>
    <w:rsid w:val="00C377FD"/>
    <w:rsid w:val="00C37803"/>
    <w:rsid w:val="00C37850"/>
    <w:rsid w:val="00C37B55"/>
    <w:rsid w:val="00C37E75"/>
    <w:rsid w:val="00C40054"/>
    <w:rsid w:val="00C40A99"/>
    <w:rsid w:val="00C40B63"/>
    <w:rsid w:val="00C41373"/>
    <w:rsid w:val="00C4252F"/>
    <w:rsid w:val="00C425C0"/>
    <w:rsid w:val="00C4285F"/>
    <w:rsid w:val="00C42929"/>
    <w:rsid w:val="00C435EE"/>
    <w:rsid w:val="00C44139"/>
    <w:rsid w:val="00C44361"/>
    <w:rsid w:val="00C44376"/>
    <w:rsid w:val="00C4469E"/>
    <w:rsid w:val="00C44B33"/>
    <w:rsid w:val="00C44E8C"/>
    <w:rsid w:val="00C44ED5"/>
    <w:rsid w:val="00C45054"/>
    <w:rsid w:val="00C4524A"/>
    <w:rsid w:val="00C45D5D"/>
    <w:rsid w:val="00C45DDE"/>
    <w:rsid w:val="00C4610C"/>
    <w:rsid w:val="00C46309"/>
    <w:rsid w:val="00C46871"/>
    <w:rsid w:val="00C468D4"/>
    <w:rsid w:val="00C4694C"/>
    <w:rsid w:val="00C47057"/>
    <w:rsid w:val="00C47592"/>
    <w:rsid w:val="00C505D2"/>
    <w:rsid w:val="00C5069D"/>
    <w:rsid w:val="00C50881"/>
    <w:rsid w:val="00C50C36"/>
    <w:rsid w:val="00C5105C"/>
    <w:rsid w:val="00C513BB"/>
    <w:rsid w:val="00C5161A"/>
    <w:rsid w:val="00C52080"/>
    <w:rsid w:val="00C521E8"/>
    <w:rsid w:val="00C527FC"/>
    <w:rsid w:val="00C531EE"/>
    <w:rsid w:val="00C532C3"/>
    <w:rsid w:val="00C53B6E"/>
    <w:rsid w:val="00C53C5D"/>
    <w:rsid w:val="00C53C62"/>
    <w:rsid w:val="00C547DE"/>
    <w:rsid w:val="00C5481C"/>
    <w:rsid w:val="00C54DDD"/>
    <w:rsid w:val="00C55046"/>
    <w:rsid w:val="00C550B3"/>
    <w:rsid w:val="00C552AC"/>
    <w:rsid w:val="00C55324"/>
    <w:rsid w:val="00C5581B"/>
    <w:rsid w:val="00C55831"/>
    <w:rsid w:val="00C55B7A"/>
    <w:rsid w:val="00C55B8A"/>
    <w:rsid w:val="00C55C26"/>
    <w:rsid w:val="00C56551"/>
    <w:rsid w:val="00C5658C"/>
    <w:rsid w:val="00C5684B"/>
    <w:rsid w:val="00C56E1F"/>
    <w:rsid w:val="00C56E7D"/>
    <w:rsid w:val="00C579DA"/>
    <w:rsid w:val="00C603A3"/>
    <w:rsid w:val="00C605E0"/>
    <w:rsid w:val="00C6082C"/>
    <w:rsid w:val="00C609C4"/>
    <w:rsid w:val="00C609FA"/>
    <w:rsid w:val="00C60BE6"/>
    <w:rsid w:val="00C60C1B"/>
    <w:rsid w:val="00C6147B"/>
    <w:rsid w:val="00C61A00"/>
    <w:rsid w:val="00C61AEC"/>
    <w:rsid w:val="00C61B6C"/>
    <w:rsid w:val="00C61BD6"/>
    <w:rsid w:val="00C61DD4"/>
    <w:rsid w:val="00C61E66"/>
    <w:rsid w:val="00C61E6D"/>
    <w:rsid w:val="00C623F5"/>
    <w:rsid w:val="00C6242B"/>
    <w:rsid w:val="00C62498"/>
    <w:rsid w:val="00C624B1"/>
    <w:rsid w:val="00C62538"/>
    <w:rsid w:val="00C62627"/>
    <w:rsid w:val="00C628E8"/>
    <w:rsid w:val="00C62D39"/>
    <w:rsid w:val="00C62DE4"/>
    <w:rsid w:val="00C62E83"/>
    <w:rsid w:val="00C63481"/>
    <w:rsid w:val="00C63884"/>
    <w:rsid w:val="00C639AE"/>
    <w:rsid w:val="00C639D2"/>
    <w:rsid w:val="00C63BE1"/>
    <w:rsid w:val="00C63D9A"/>
    <w:rsid w:val="00C63F2F"/>
    <w:rsid w:val="00C640CD"/>
    <w:rsid w:val="00C6437D"/>
    <w:rsid w:val="00C64E97"/>
    <w:rsid w:val="00C65228"/>
    <w:rsid w:val="00C6577E"/>
    <w:rsid w:val="00C657C8"/>
    <w:rsid w:val="00C65C38"/>
    <w:rsid w:val="00C65D01"/>
    <w:rsid w:val="00C65D93"/>
    <w:rsid w:val="00C65E37"/>
    <w:rsid w:val="00C65EDA"/>
    <w:rsid w:val="00C660B5"/>
    <w:rsid w:val="00C661D4"/>
    <w:rsid w:val="00C6691C"/>
    <w:rsid w:val="00C66A48"/>
    <w:rsid w:val="00C66CB0"/>
    <w:rsid w:val="00C66D90"/>
    <w:rsid w:val="00C66DA2"/>
    <w:rsid w:val="00C66EAF"/>
    <w:rsid w:val="00C67264"/>
    <w:rsid w:val="00C67493"/>
    <w:rsid w:val="00C678C7"/>
    <w:rsid w:val="00C679DF"/>
    <w:rsid w:val="00C67ADC"/>
    <w:rsid w:val="00C67C0C"/>
    <w:rsid w:val="00C67C36"/>
    <w:rsid w:val="00C67F22"/>
    <w:rsid w:val="00C70235"/>
    <w:rsid w:val="00C70304"/>
    <w:rsid w:val="00C70B1A"/>
    <w:rsid w:val="00C70D8F"/>
    <w:rsid w:val="00C71256"/>
    <w:rsid w:val="00C719D3"/>
    <w:rsid w:val="00C71CED"/>
    <w:rsid w:val="00C72016"/>
    <w:rsid w:val="00C721A6"/>
    <w:rsid w:val="00C725DB"/>
    <w:rsid w:val="00C72B4E"/>
    <w:rsid w:val="00C731CA"/>
    <w:rsid w:val="00C731D7"/>
    <w:rsid w:val="00C73263"/>
    <w:rsid w:val="00C73519"/>
    <w:rsid w:val="00C73689"/>
    <w:rsid w:val="00C7395F"/>
    <w:rsid w:val="00C73E1E"/>
    <w:rsid w:val="00C74557"/>
    <w:rsid w:val="00C74BE9"/>
    <w:rsid w:val="00C74E98"/>
    <w:rsid w:val="00C751BB"/>
    <w:rsid w:val="00C75272"/>
    <w:rsid w:val="00C7546D"/>
    <w:rsid w:val="00C7570F"/>
    <w:rsid w:val="00C757DE"/>
    <w:rsid w:val="00C75824"/>
    <w:rsid w:val="00C75902"/>
    <w:rsid w:val="00C759C4"/>
    <w:rsid w:val="00C75AF7"/>
    <w:rsid w:val="00C75AF8"/>
    <w:rsid w:val="00C75CA7"/>
    <w:rsid w:val="00C75D5A"/>
    <w:rsid w:val="00C7614D"/>
    <w:rsid w:val="00C7628D"/>
    <w:rsid w:val="00C766CA"/>
    <w:rsid w:val="00C76EE3"/>
    <w:rsid w:val="00C76FE9"/>
    <w:rsid w:val="00C771E5"/>
    <w:rsid w:val="00C77561"/>
    <w:rsid w:val="00C77FA9"/>
    <w:rsid w:val="00C800B4"/>
    <w:rsid w:val="00C8075F"/>
    <w:rsid w:val="00C80C67"/>
    <w:rsid w:val="00C81142"/>
    <w:rsid w:val="00C819EC"/>
    <w:rsid w:val="00C81A2B"/>
    <w:rsid w:val="00C81C4B"/>
    <w:rsid w:val="00C82041"/>
    <w:rsid w:val="00C8233E"/>
    <w:rsid w:val="00C82861"/>
    <w:rsid w:val="00C82B64"/>
    <w:rsid w:val="00C831EF"/>
    <w:rsid w:val="00C83326"/>
    <w:rsid w:val="00C839AE"/>
    <w:rsid w:val="00C83E7F"/>
    <w:rsid w:val="00C84157"/>
    <w:rsid w:val="00C841AF"/>
    <w:rsid w:val="00C841B1"/>
    <w:rsid w:val="00C842F7"/>
    <w:rsid w:val="00C8473D"/>
    <w:rsid w:val="00C8499E"/>
    <w:rsid w:val="00C849A5"/>
    <w:rsid w:val="00C849BA"/>
    <w:rsid w:val="00C84A24"/>
    <w:rsid w:val="00C84BD7"/>
    <w:rsid w:val="00C84E30"/>
    <w:rsid w:val="00C850EA"/>
    <w:rsid w:val="00C85C45"/>
    <w:rsid w:val="00C85DCC"/>
    <w:rsid w:val="00C85E0C"/>
    <w:rsid w:val="00C8605B"/>
    <w:rsid w:val="00C860AA"/>
    <w:rsid w:val="00C86A9E"/>
    <w:rsid w:val="00C86AB3"/>
    <w:rsid w:val="00C86BB6"/>
    <w:rsid w:val="00C86F1F"/>
    <w:rsid w:val="00C87102"/>
    <w:rsid w:val="00C871E4"/>
    <w:rsid w:val="00C877D8"/>
    <w:rsid w:val="00C87DAC"/>
    <w:rsid w:val="00C87F15"/>
    <w:rsid w:val="00C90604"/>
    <w:rsid w:val="00C90773"/>
    <w:rsid w:val="00C9087C"/>
    <w:rsid w:val="00C90DD2"/>
    <w:rsid w:val="00C90EE4"/>
    <w:rsid w:val="00C9102F"/>
    <w:rsid w:val="00C91140"/>
    <w:rsid w:val="00C91163"/>
    <w:rsid w:val="00C91182"/>
    <w:rsid w:val="00C91828"/>
    <w:rsid w:val="00C91AB3"/>
    <w:rsid w:val="00C91E50"/>
    <w:rsid w:val="00C91F6B"/>
    <w:rsid w:val="00C92739"/>
    <w:rsid w:val="00C9291F"/>
    <w:rsid w:val="00C92C0A"/>
    <w:rsid w:val="00C93273"/>
    <w:rsid w:val="00C93BFD"/>
    <w:rsid w:val="00C93CE8"/>
    <w:rsid w:val="00C93F48"/>
    <w:rsid w:val="00C940B0"/>
    <w:rsid w:val="00C9489B"/>
    <w:rsid w:val="00C94B85"/>
    <w:rsid w:val="00C94B87"/>
    <w:rsid w:val="00C94D56"/>
    <w:rsid w:val="00C94EDA"/>
    <w:rsid w:val="00C95333"/>
    <w:rsid w:val="00C953C5"/>
    <w:rsid w:val="00C9667D"/>
    <w:rsid w:val="00C96A7D"/>
    <w:rsid w:val="00C96E9B"/>
    <w:rsid w:val="00C96F71"/>
    <w:rsid w:val="00C97055"/>
    <w:rsid w:val="00C9708D"/>
    <w:rsid w:val="00C97101"/>
    <w:rsid w:val="00C97258"/>
    <w:rsid w:val="00C9736E"/>
    <w:rsid w:val="00C97803"/>
    <w:rsid w:val="00C97B0A"/>
    <w:rsid w:val="00C97DA5"/>
    <w:rsid w:val="00C97DE5"/>
    <w:rsid w:val="00CA01F0"/>
    <w:rsid w:val="00CA026A"/>
    <w:rsid w:val="00CA0389"/>
    <w:rsid w:val="00CA0403"/>
    <w:rsid w:val="00CA065F"/>
    <w:rsid w:val="00CA0812"/>
    <w:rsid w:val="00CA09E0"/>
    <w:rsid w:val="00CA128D"/>
    <w:rsid w:val="00CA16ED"/>
    <w:rsid w:val="00CA17D5"/>
    <w:rsid w:val="00CA183D"/>
    <w:rsid w:val="00CA1BC7"/>
    <w:rsid w:val="00CA1FD0"/>
    <w:rsid w:val="00CA20D2"/>
    <w:rsid w:val="00CA2238"/>
    <w:rsid w:val="00CA2349"/>
    <w:rsid w:val="00CA2773"/>
    <w:rsid w:val="00CA2B7D"/>
    <w:rsid w:val="00CA2D08"/>
    <w:rsid w:val="00CA308B"/>
    <w:rsid w:val="00CA31EB"/>
    <w:rsid w:val="00CA35E5"/>
    <w:rsid w:val="00CA3CE5"/>
    <w:rsid w:val="00CA41B0"/>
    <w:rsid w:val="00CA41B6"/>
    <w:rsid w:val="00CA432B"/>
    <w:rsid w:val="00CA434E"/>
    <w:rsid w:val="00CA4BF6"/>
    <w:rsid w:val="00CA5536"/>
    <w:rsid w:val="00CA5631"/>
    <w:rsid w:val="00CA56BA"/>
    <w:rsid w:val="00CA5804"/>
    <w:rsid w:val="00CA5ABB"/>
    <w:rsid w:val="00CA610A"/>
    <w:rsid w:val="00CA643F"/>
    <w:rsid w:val="00CA65DC"/>
    <w:rsid w:val="00CA669D"/>
    <w:rsid w:val="00CA68F4"/>
    <w:rsid w:val="00CA6C8D"/>
    <w:rsid w:val="00CA6F93"/>
    <w:rsid w:val="00CA70AE"/>
    <w:rsid w:val="00CA72E1"/>
    <w:rsid w:val="00CA75B4"/>
    <w:rsid w:val="00CA789F"/>
    <w:rsid w:val="00CA7ADA"/>
    <w:rsid w:val="00CA7DC0"/>
    <w:rsid w:val="00CB017C"/>
    <w:rsid w:val="00CB031E"/>
    <w:rsid w:val="00CB08C8"/>
    <w:rsid w:val="00CB0A94"/>
    <w:rsid w:val="00CB0B0A"/>
    <w:rsid w:val="00CB0C83"/>
    <w:rsid w:val="00CB0E7D"/>
    <w:rsid w:val="00CB14F6"/>
    <w:rsid w:val="00CB1C22"/>
    <w:rsid w:val="00CB1E8C"/>
    <w:rsid w:val="00CB229A"/>
    <w:rsid w:val="00CB278B"/>
    <w:rsid w:val="00CB286E"/>
    <w:rsid w:val="00CB287D"/>
    <w:rsid w:val="00CB2905"/>
    <w:rsid w:val="00CB2B4C"/>
    <w:rsid w:val="00CB2D1A"/>
    <w:rsid w:val="00CB2EAF"/>
    <w:rsid w:val="00CB302D"/>
    <w:rsid w:val="00CB30D7"/>
    <w:rsid w:val="00CB3768"/>
    <w:rsid w:val="00CB39AB"/>
    <w:rsid w:val="00CB3EA9"/>
    <w:rsid w:val="00CB3EF5"/>
    <w:rsid w:val="00CB4265"/>
    <w:rsid w:val="00CB48F4"/>
    <w:rsid w:val="00CB4C8C"/>
    <w:rsid w:val="00CB4CD8"/>
    <w:rsid w:val="00CB5007"/>
    <w:rsid w:val="00CB5721"/>
    <w:rsid w:val="00CB57CE"/>
    <w:rsid w:val="00CB59FD"/>
    <w:rsid w:val="00CB5B92"/>
    <w:rsid w:val="00CB5EF4"/>
    <w:rsid w:val="00CB62E9"/>
    <w:rsid w:val="00CB6362"/>
    <w:rsid w:val="00CB6791"/>
    <w:rsid w:val="00CB695A"/>
    <w:rsid w:val="00CB6B18"/>
    <w:rsid w:val="00CB6B6F"/>
    <w:rsid w:val="00CB7276"/>
    <w:rsid w:val="00CB72BD"/>
    <w:rsid w:val="00CB73DF"/>
    <w:rsid w:val="00CB7916"/>
    <w:rsid w:val="00CB7D22"/>
    <w:rsid w:val="00CB7D98"/>
    <w:rsid w:val="00CB7DA1"/>
    <w:rsid w:val="00CB7DC0"/>
    <w:rsid w:val="00CB7E8A"/>
    <w:rsid w:val="00CB7FE7"/>
    <w:rsid w:val="00CC0184"/>
    <w:rsid w:val="00CC060F"/>
    <w:rsid w:val="00CC0752"/>
    <w:rsid w:val="00CC0839"/>
    <w:rsid w:val="00CC0981"/>
    <w:rsid w:val="00CC0AC0"/>
    <w:rsid w:val="00CC0AED"/>
    <w:rsid w:val="00CC16AF"/>
    <w:rsid w:val="00CC1CDB"/>
    <w:rsid w:val="00CC2153"/>
    <w:rsid w:val="00CC219B"/>
    <w:rsid w:val="00CC27E6"/>
    <w:rsid w:val="00CC2904"/>
    <w:rsid w:val="00CC2AC2"/>
    <w:rsid w:val="00CC2BBE"/>
    <w:rsid w:val="00CC2D1B"/>
    <w:rsid w:val="00CC31B8"/>
    <w:rsid w:val="00CC3404"/>
    <w:rsid w:val="00CC357F"/>
    <w:rsid w:val="00CC36DF"/>
    <w:rsid w:val="00CC3980"/>
    <w:rsid w:val="00CC3CF9"/>
    <w:rsid w:val="00CC4100"/>
    <w:rsid w:val="00CC4672"/>
    <w:rsid w:val="00CC4958"/>
    <w:rsid w:val="00CC4A02"/>
    <w:rsid w:val="00CC4E79"/>
    <w:rsid w:val="00CC521B"/>
    <w:rsid w:val="00CC527D"/>
    <w:rsid w:val="00CC5625"/>
    <w:rsid w:val="00CC576F"/>
    <w:rsid w:val="00CC62A7"/>
    <w:rsid w:val="00CC63EA"/>
    <w:rsid w:val="00CC6545"/>
    <w:rsid w:val="00CC6CB3"/>
    <w:rsid w:val="00CC6D1A"/>
    <w:rsid w:val="00CC6EC4"/>
    <w:rsid w:val="00CC6EFF"/>
    <w:rsid w:val="00CC7181"/>
    <w:rsid w:val="00CC7872"/>
    <w:rsid w:val="00CC7A36"/>
    <w:rsid w:val="00CC7B58"/>
    <w:rsid w:val="00CC7FF2"/>
    <w:rsid w:val="00CD0297"/>
    <w:rsid w:val="00CD0304"/>
    <w:rsid w:val="00CD03BB"/>
    <w:rsid w:val="00CD0488"/>
    <w:rsid w:val="00CD0689"/>
    <w:rsid w:val="00CD084E"/>
    <w:rsid w:val="00CD0995"/>
    <w:rsid w:val="00CD14EA"/>
    <w:rsid w:val="00CD14FB"/>
    <w:rsid w:val="00CD1AD4"/>
    <w:rsid w:val="00CD1B1F"/>
    <w:rsid w:val="00CD25EC"/>
    <w:rsid w:val="00CD2771"/>
    <w:rsid w:val="00CD2A51"/>
    <w:rsid w:val="00CD2A9F"/>
    <w:rsid w:val="00CD2B43"/>
    <w:rsid w:val="00CD319E"/>
    <w:rsid w:val="00CD3296"/>
    <w:rsid w:val="00CD3397"/>
    <w:rsid w:val="00CD34E2"/>
    <w:rsid w:val="00CD3589"/>
    <w:rsid w:val="00CD3676"/>
    <w:rsid w:val="00CD3A34"/>
    <w:rsid w:val="00CD3D5B"/>
    <w:rsid w:val="00CD3F81"/>
    <w:rsid w:val="00CD4255"/>
    <w:rsid w:val="00CD4489"/>
    <w:rsid w:val="00CD4983"/>
    <w:rsid w:val="00CD49C7"/>
    <w:rsid w:val="00CD4D87"/>
    <w:rsid w:val="00CD4DFC"/>
    <w:rsid w:val="00CD5137"/>
    <w:rsid w:val="00CD54D4"/>
    <w:rsid w:val="00CD67A9"/>
    <w:rsid w:val="00CD67E8"/>
    <w:rsid w:val="00CD6937"/>
    <w:rsid w:val="00CD6975"/>
    <w:rsid w:val="00CD7676"/>
    <w:rsid w:val="00CD7998"/>
    <w:rsid w:val="00CD7B51"/>
    <w:rsid w:val="00CD7F60"/>
    <w:rsid w:val="00CE030B"/>
    <w:rsid w:val="00CE065A"/>
    <w:rsid w:val="00CE08A9"/>
    <w:rsid w:val="00CE095F"/>
    <w:rsid w:val="00CE0AC6"/>
    <w:rsid w:val="00CE0B7B"/>
    <w:rsid w:val="00CE0E02"/>
    <w:rsid w:val="00CE1069"/>
    <w:rsid w:val="00CE1211"/>
    <w:rsid w:val="00CE12E8"/>
    <w:rsid w:val="00CE16D2"/>
    <w:rsid w:val="00CE16F8"/>
    <w:rsid w:val="00CE1C55"/>
    <w:rsid w:val="00CE222B"/>
    <w:rsid w:val="00CE24B4"/>
    <w:rsid w:val="00CE24C1"/>
    <w:rsid w:val="00CE27A4"/>
    <w:rsid w:val="00CE291D"/>
    <w:rsid w:val="00CE2A36"/>
    <w:rsid w:val="00CE2D4D"/>
    <w:rsid w:val="00CE3594"/>
    <w:rsid w:val="00CE35D3"/>
    <w:rsid w:val="00CE4022"/>
    <w:rsid w:val="00CE4248"/>
    <w:rsid w:val="00CE45D2"/>
    <w:rsid w:val="00CE4670"/>
    <w:rsid w:val="00CE4673"/>
    <w:rsid w:val="00CE4712"/>
    <w:rsid w:val="00CE49D1"/>
    <w:rsid w:val="00CE4C04"/>
    <w:rsid w:val="00CE4F23"/>
    <w:rsid w:val="00CE5197"/>
    <w:rsid w:val="00CE51D9"/>
    <w:rsid w:val="00CE5202"/>
    <w:rsid w:val="00CE5334"/>
    <w:rsid w:val="00CE546F"/>
    <w:rsid w:val="00CE55DE"/>
    <w:rsid w:val="00CE57A8"/>
    <w:rsid w:val="00CE5860"/>
    <w:rsid w:val="00CE5921"/>
    <w:rsid w:val="00CE5AD4"/>
    <w:rsid w:val="00CE5B6F"/>
    <w:rsid w:val="00CE5EE2"/>
    <w:rsid w:val="00CE5F2E"/>
    <w:rsid w:val="00CE6625"/>
    <w:rsid w:val="00CE702C"/>
    <w:rsid w:val="00CE779D"/>
    <w:rsid w:val="00CE79F0"/>
    <w:rsid w:val="00CE7B33"/>
    <w:rsid w:val="00CE7BD2"/>
    <w:rsid w:val="00CE7C41"/>
    <w:rsid w:val="00CE7C4A"/>
    <w:rsid w:val="00CE7D84"/>
    <w:rsid w:val="00CE7FF3"/>
    <w:rsid w:val="00CF083F"/>
    <w:rsid w:val="00CF0FB8"/>
    <w:rsid w:val="00CF1533"/>
    <w:rsid w:val="00CF1629"/>
    <w:rsid w:val="00CF22EA"/>
    <w:rsid w:val="00CF2FDA"/>
    <w:rsid w:val="00CF2FF6"/>
    <w:rsid w:val="00CF30F5"/>
    <w:rsid w:val="00CF3487"/>
    <w:rsid w:val="00CF39A3"/>
    <w:rsid w:val="00CF3A60"/>
    <w:rsid w:val="00CF3B44"/>
    <w:rsid w:val="00CF3DC7"/>
    <w:rsid w:val="00CF4495"/>
    <w:rsid w:val="00CF4AE7"/>
    <w:rsid w:val="00CF4BEF"/>
    <w:rsid w:val="00CF4E5B"/>
    <w:rsid w:val="00CF4F46"/>
    <w:rsid w:val="00CF5075"/>
    <w:rsid w:val="00CF59A1"/>
    <w:rsid w:val="00CF5E6C"/>
    <w:rsid w:val="00CF5F18"/>
    <w:rsid w:val="00CF659D"/>
    <w:rsid w:val="00CF66E6"/>
    <w:rsid w:val="00CF6DC6"/>
    <w:rsid w:val="00CF74D4"/>
    <w:rsid w:val="00CF7AB2"/>
    <w:rsid w:val="00CF7C9E"/>
    <w:rsid w:val="00CF7DDF"/>
    <w:rsid w:val="00CF7DF4"/>
    <w:rsid w:val="00D00A51"/>
    <w:rsid w:val="00D00FB5"/>
    <w:rsid w:val="00D01098"/>
    <w:rsid w:val="00D011FA"/>
    <w:rsid w:val="00D01695"/>
    <w:rsid w:val="00D01878"/>
    <w:rsid w:val="00D01995"/>
    <w:rsid w:val="00D01BDE"/>
    <w:rsid w:val="00D0294F"/>
    <w:rsid w:val="00D02A16"/>
    <w:rsid w:val="00D02E2E"/>
    <w:rsid w:val="00D038CD"/>
    <w:rsid w:val="00D03ABC"/>
    <w:rsid w:val="00D03C51"/>
    <w:rsid w:val="00D04230"/>
    <w:rsid w:val="00D043AD"/>
    <w:rsid w:val="00D04473"/>
    <w:rsid w:val="00D0451B"/>
    <w:rsid w:val="00D045B2"/>
    <w:rsid w:val="00D04609"/>
    <w:rsid w:val="00D04FDE"/>
    <w:rsid w:val="00D051E4"/>
    <w:rsid w:val="00D052E5"/>
    <w:rsid w:val="00D056F5"/>
    <w:rsid w:val="00D05890"/>
    <w:rsid w:val="00D058F5"/>
    <w:rsid w:val="00D05932"/>
    <w:rsid w:val="00D05CFE"/>
    <w:rsid w:val="00D064DD"/>
    <w:rsid w:val="00D065CC"/>
    <w:rsid w:val="00D066A8"/>
    <w:rsid w:val="00D0673B"/>
    <w:rsid w:val="00D06AE6"/>
    <w:rsid w:val="00D06B01"/>
    <w:rsid w:val="00D07284"/>
    <w:rsid w:val="00D07300"/>
    <w:rsid w:val="00D07550"/>
    <w:rsid w:val="00D075F5"/>
    <w:rsid w:val="00D07808"/>
    <w:rsid w:val="00D078ED"/>
    <w:rsid w:val="00D07AEA"/>
    <w:rsid w:val="00D07B0B"/>
    <w:rsid w:val="00D07DE7"/>
    <w:rsid w:val="00D07F7A"/>
    <w:rsid w:val="00D1023E"/>
    <w:rsid w:val="00D106E2"/>
    <w:rsid w:val="00D10893"/>
    <w:rsid w:val="00D10AFE"/>
    <w:rsid w:val="00D10BA8"/>
    <w:rsid w:val="00D10D2B"/>
    <w:rsid w:val="00D10F83"/>
    <w:rsid w:val="00D10FCB"/>
    <w:rsid w:val="00D1180B"/>
    <w:rsid w:val="00D1195D"/>
    <w:rsid w:val="00D11E20"/>
    <w:rsid w:val="00D11EC3"/>
    <w:rsid w:val="00D11FC4"/>
    <w:rsid w:val="00D12009"/>
    <w:rsid w:val="00D122DA"/>
    <w:rsid w:val="00D1231B"/>
    <w:rsid w:val="00D128CD"/>
    <w:rsid w:val="00D129E8"/>
    <w:rsid w:val="00D13090"/>
    <w:rsid w:val="00D13373"/>
    <w:rsid w:val="00D1351B"/>
    <w:rsid w:val="00D13797"/>
    <w:rsid w:val="00D137FD"/>
    <w:rsid w:val="00D138B5"/>
    <w:rsid w:val="00D13961"/>
    <w:rsid w:val="00D13F7E"/>
    <w:rsid w:val="00D13FE3"/>
    <w:rsid w:val="00D1400B"/>
    <w:rsid w:val="00D14011"/>
    <w:rsid w:val="00D14389"/>
    <w:rsid w:val="00D1458A"/>
    <w:rsid w:val="00D1485D"/>
    <w:rsid w:val="00D14A91"/>
    <w:rsid w:val="00D14C01"/>
    <w:rsid w:val="00D14D1E"/>
    <w:rsid w:val="00D1519F"/>
    <w:rsid w:val="00D152E7"/>
    <w:rsid w:val="00D15375"/>
    <w:rsid w:val="00D1545A"/>
    <w:rsid w:val="00D15739"/>
    <w:rsid w:val="00D158E3"/>
    <w:rsid w:val="00D15AD3"/>
    <w:rsid w:val="00D15F2F"/>
    <w:rsid w:val="00D16063"/>
    <w:rsid w:val="00D16413"/>
    <w:rsid w:val="00D16451"/>
    <w:rsid w:val="00D165BB"/>
    <w:rsid w:val="00D167BE"/>
    <w:rsid w:val="00D168EA"/>
    <w:rsid w:val="00D16AC8"/>
    <w:rsid w:val="00D16B8A"/>
    <w:rsid w:val="00D16DFB"/>
    <w:rsid w:val="00D170E1"/>
    <w:rsid w:val="00D17132"/>
    <w:rsid w:val="00D17392"/>
    <w:rsid w:val="00D174AD"/>
    <w:rsid w:val="00D17620"/>
    <w:rsid w:val="00D17C7C"/>
    <w:rsid w:val="00D17D36"/>
    <w:rsid w:val="00D17FCC"/>
    <w:rsid w:val="00D20007"/>
    <w:rsid w:val="00D20983"/>
    <w:rsid w:val="00D20B1E"/>
    <w:rsid w:val="00D20C45"/>
    <w:rsid w:val="00D21499"/>
    <w:rsid w:val="00D2159E"/>
    <w:rsid w:val="00D21E76"/>
    <w:rsid w:val="00D22180"/>
    <w:rsid w:val="00D22357"/>
    <w:rsid w:val="00D2242D"/>
    <w:rsid w:val="00D226AB"/>
    <w:rsid w:val="00D2301C"/>
    <w:rsid w:val="00D23074"/>
    <w:rsid w:val="00D237DF"/>
    <w:rsid w:val="00D23830"/>
    <w:rsid w:val="00D238FF"/>
    <w:rsid w:val="00D23BE8"/>
    <w:rsid w:val="00D241E9"/>
    <w:rsid w:val="00D2422E"/>
    <w:rsid w:val="00D24277"/>
    <w:rsid w:val="00D245E2"/>
    <w:rsid w:val="00D24CAB"/>
    <w:rsid w:val="00D24CD6"/>
    <w:rsid w:val="00D24D50"/>
    <w:rsid w:val="00D250C2"/>
    <w:rsid w:val="00D25143"/>
    <w:rsid w:val="00D25383"/>
    <w:rsid w:val="00D253D9"/>
    <w:rsid w:val="00D2549D"/>
    <w:rsid w:val="00D25585"/>
    <w:rsid w:val="00D25706"/>
    <w:rsid w:val="00D259F0"/>
    <w:rsid w:val="00D25AC1"/>
    <w:rsid w:val="00D25EFA"/>
    <w:rsid w:val="00D25FFB"/>
    <w:rsid w:val="00D262E3"/>
    <w:rsid w:val="00D2695C"/>
    <w:rsid w:val="00D26983"/>
    <w:rsid w:val="00D26BA1"/>
    <w:rsid w:val="00D26FD1"/>
    <w:rsid w:val="00D27472"/>
    <w:rsid w:val="00D27E34"/>
    <w:rsid w:val="00D27F59"/>
    <w:rsid w:val="00D30494"/>
    <w:rsid w:val="00D3053F"/>
    <w:rsid w:val="00D305B5"/>
    <w:rsid w:val="00D30B92"/>
    <w:rsid w:val="00D30CD5"/>
    <w:rsid w:val="00D311B5"/>
    <w:rsid w:val="00D311D3"/>
    <w:rsid w:val="00D3139D"/>
    <w:rsid w:val="00D3194B"/>
    <w:rsid w:val="00D31D2D"/>
    <w:rsid w:val="00D3244C"/>
    <w:rsid w:val="00D324FF"/>
    <w:rsid w:val="00D32569"/>
    <w:rsid w:val="00D32B53"/>
    <w:rsid w:val="00D32BD6"/>
    <w:rsid w:val="00D32EF6"/>
    <w:rsid w:val="00D32FBC"/>
    <w:rsid w:val="00D33CB8"/>
    <w:rsid w:val="00D341D5"/>
    <w:rsid w:val="00D34411"/>
    <w:rsid w:val="00D35A49"/>
    <w:rsid w:val="00D35ED3"/>
    <w:rsid w:val="00D35EE4"/>
    <w:rsid w:val="00D3618A"/>
    <w:rsid w:val="00D36344"/>
    <w:rsid w:val="00D36389"/>
    <w:rsid w:val="00D3668E"/>
    <w:rsid w:val="00D366D9"/>
    <w:rsid w:val="00D36865"/>
    <w:rsid w:val="00D369E3"/>
    <w:rsid w:val="00D36BB5"/>
    <w:rsid w:val="00D37098"/>
    <w:rsid w:val="00D37128"/>
    <w:rsid w:val="00D37224"/>
    <w:rsid w:val="00D379C4"/>
    <w:rsid w:val="00D37B5C"/>
    <w:rsid w:val="00D37EBA"/>
    <w:rsid w:val="00D4025F"/>
    <w:rsid w:val="00D40563"/>
    <w:rsid w:val="00D40570"/>
    <w:rsid w:val="00D405A2"/>
    <w:rsid w:val="00D409BB"/>
    <w:rsid w:val="00D40C51"/>
    <w:rsid w:val="00D40C8D"/>
    <w:rsid w:val="00D40D5C"/>
    <w:rsid w:val="00D40F49"/>
    <w:rsid w:val="00D4103E"/>
    <w:rsid w:val="00D415B1"/>
    <w:rsid w:val="00D41752"/>
    <w:rsid w:val="00D4185A"/>
    <w:rsid w:val="00D419F1"/>
    <w:rsid w:val="00D41C8E"/>
    <w:rsid w:val="00D41D0D"/>
    <w:rsid w:val="00D42841"/>
    <w:rsid w:val="00D429D2"/>
    <w:rsid w:val="00D42BFD"/>
    <w:rsid w:val="00D42CEC"/>
    <w:rsid w:val="00D42E34"/>
    <w:rsid w:val="00D431CE"/>
    <w:rsid w:val="00D431F0"/>
    <w:rsid w:val="00D4324C"/>
    <w:rsid w:val="00D433CA"/>
    <w:rsid w:val="00D43448"/>
    <w:rsid w:val="00D43618"/>
    <w:rsid w:val="00D436F8"/>
    <w:rsid w:val="00D439D6"/>
    <w:rsid w:val="00D43D02"/>
    <w:rsid w:val="00D43FEA"/>
    <w:rsid w:val="00D444F8"/>
    <w:rsid w:val="00D44663"/>
    <w:rsid w:val="00D44776"/>
    <w:rsid w:val="00D44B53"/>
    <w:rsid w:val="00D45032"/>
    <w:rsid w:val="00D45172"/>
    <w:rsid w:val="00D4592E"/>
    <w:rsid w:val="00D45A75"/>
    <w:rsid w:val="00D460A9"/>
    <w:rsid w:val="00D460C8"/>
    <w:rsid w:val="00D461D6"/>
    <w:rsid w:val="00D46366"/>
    <w:rsid w:val="00D46443"/>
    <w:rsid w:val="00D46586"/>
    <w:rsid w:val="00D46696"/>
    <w:rsid w:val="00D46E62"/>
    <w:rsid w:val="00D46F83"/>
    <w:rsid w:val="00D4716B"/>
    <w:rsid w:val="00D4756A"/>
    <w:rsid w:val="00D476FC"/>
    <w:rsid w:val="00D4788C"/>
    <w:rsid w:val="00D479C7"/>
    <w:rsid w:val="00D47B2E"/>
    <w:rsid w:val="00D47D86"/>
    <w:rsid w:val="00D500BF"/>
    <w:rsid w:val="00D503F8"/>
    <w:rsid w:val="00D50660"/>
    <w:rsid w:val="00D5088C"/>
    <w:rsid w:val="00D514FD"/>
    <w:rsid w:val="00D51560"/>
    <w:rsid w:val="00D51568"/>
    <w:rsid w:val="00D51AE4"/>
    <w:rsid w:val="00D51D90"/>
    <w:rsid w:val="00D524B7"/>
    <w:rsid w:val="00D52703"/>
    <w:rsid w:val="00D53053"/>
    <w:rsid w:val="00D533F3"/>
    <w:rsid w:val="00D534D2"/>
    <w:rsid w:val="00D5352C"/>
    <w:rsid w:val="00D5404B"/>
    <w:rsid w:val="00D540BD"/>
    <w:rsid w:val="00D5442A"/>
    <w:rsid w:val="00D5458C"/>
    <w:rsid w:val="00D549FF"/>
    <w:rsid w:val="00D54B69"/>
    <w:rsid w:val="00D54CA1"/>
    <w:rsid w:val="00D54D90"/>
    <w:rsid w:val="00D54F43"/>
    <w:rsid w:val="00D55469"/>
    <w:rsid w:val="00D558E1"/>
    <w:rsid w:val="00D55A91"/>
    <w:rsid w:val="00D55B25"/>
    <w:rsid w:val="00D56268"/>
    <w:rsid w:val="00D56DC5"/>
    <w:rsid w:val="00D57040"/>
    <w:rsid w:val="00D57836"/>
    <w:rsid w:val="00D578CD"/>
    <w:rsid w:val="00D5793B"/>
    <w:rsid w:val="00D6038F"/>
    <w:rsid w:val="00D6046A"/>
    <w:rsid w:val="00D60A97"/>
    <w:rsid w:val="00D61343"/>
    <w:rsid w:val="00D6169F"/>
    <w:rsid w:val="00D61B4E"/>
    <w:rsid w:val="00D61D2F"/>
    <w:rsid w:val="00D61E4E"/>
    <w:rsid w:val="00D62253"/>
    <w:rsid w:val="00D62506"/>
    <w:rsid w:val="00D626B7"/>
    <w:rsid w:val="00D626E7"/>
    <w:rsid w:val="00D62A9A"/>
    <w:rsid w:val="00D62D3C"/>
    <w:rsid w:val="00D62D90"/>
    <w:rsid w:val="00D62F5B"/>
    <w:rsid w:val="00D6310B"/>
    <w:rsid w:val="00D632A3"/>
    <w:rsid w:val="00D6346D"/>
    <w:rsid w:val="00D634CF"/>
    <w:rsid w:val="00D63675"/>
    <w:rsid w:val="00D6389D"/>
    <w:rsid w:val="00D63C76"/>
    <w:rsid w:val="00D63D8E"/>
    <w:rsid w:val="00D63F5A"/>
    <w:rsid w:val="00D640DA"/>
    <w:rsid w:val="00D64216"/>
    <w:rsid w:val="00D64431"/>
    <w:rsid w:val="00D6443F"/>
    <w:rsid w:val="00D64841"/>
    <w:rsid w:val="00D64E23"/>
    <w:rsid w:val="00D65244"/>
    <w:rsid w:val="00D6684D"/>
    <w:rsid w:val="00D669FA"/>
    <w:rsid w:val="00D66C68"/>
    <w:rsid w:val="00D66FE8"/>
    <w:rsid w:val="00D67004"/>
    <w:rsid w:val="00D67530"/>
    <w:rsid w:val="00D67713"/>
    <w:rsid w:val="00D67B71"/>
    <w:rsid w:val="00D67CE3"/>
    <w:rsid w:val="00D67EC9"/>
    <w:rsid w:val="00D70A4E"/>
    <w:rsid w:val="00D70BEA"/>
    <w:rsid w:val="00D70D78"/>
    <w:rsid w:val="00D71439"/>
    <w:rsid w:val="00D71804"/>
    <w:rsid w:val="00D718D9"/>
    <w:rsid w:val="00D71A14"/>
    <w:rsid w:val="00D71F46"/>
    <w:rsid w:val="00D720AF"/>
    <w:rsid w:val="00D72614"/>
    <w:rsid w:val="00D726F4"/>
    <w:rsid w:val="00D72827"/>
    <w:rsid w:val="00D72881"/>
    <w:rsid w:val="00D728E5"/>
    <w:rsid w:val="00D7298C"/>
    <w:rsid w:val="00D72C6B"/>
    <w:rsid w:val="00D72F6D"/>
    <w:rsid w:val="00D72F96"/>
    <w:rsid w:val="00D732D2"/>
    <w:rsid w:val="00D73321"/>
    <w:rsid w:val="00D7359F"/>
    <w:rsid w:val="00D73714"/>
    <w:rsid w:val="00D738FF"/>
    <w:rsid w:val="00D73C72"/>
    <w:rsid w:val="00D73E61"/>
    <w:rsid w:val="00D73F58"/>
    <w:rsid w:val="00D7432A"/>
    <w:rsid w:val="00D743EE"/>
    <w:rsid w:val="00D74576"/>
    <w:rsid w:val="00D747FD"/>
    <w:rsid w:val="00D74816"/>
    <w:rsid w:val="00D748AF"/>
    <w:rsid w:val="00D748D9"/>
    <w:rsid w:val="00D74AA2"/>
    <w:rsid w:val="00D74DB6"/>
    <w:rsid w:val="00D74EC6"/>
    <w:rsid w:val="00D74FD5"/>
    <w:rsid w:val="00D754BF"/>
    <w:rsid w:val="00D758FF"/>
    <w:rsid w:val="00D75FB1"/>
    <w:rsid w:val="00D77190"/>
    <w:rsid w:val="00D772A9"/>
    <w:rsid w:val="00D772C6"/>
    <w:rsid w:val="00D774C9"/>
    <w:rsid w:val="00D7779F"/>
    <w:rsid w:val="00D7785B"/>
    <w:rsid w:val="00D77C1B"/>
    <w:rsid w:val="00D77DE6"/>
    <w:rsid w:val="00D77EB1"/>
    <w:rsid w:val="00D80282"/>
    <w:rsid w:val="00D8028D"/>
    <w:rsid w:val="00D802BA"/>
    <w:rsid w:val="00D80458"/>
    <w:rsid w:val="00D807D4"/>
    <w:rsid w:val="00D80A55"/>
    <w:rsid w:val="00D80CDD"/>
    <w:rsid w:val="00D80E3E"/>
    <w:rsid w:val="00D80F27"/>
    <w:rsid w:val="00D8151B"/>
    <w:rsid w:val="00D820B2"/>
    <w:rsid w:val="00D820B9"/>
    <w:rsid w:val="00D82742"/>
    <w:rsid w:val="00D82A17"/>
    <w:rsid w:val="00D82B00"/>
    <w:rsid w:val="00D83406"/>
    <w:rsid w:val="00D83501"/>
    <w:rsid w:val="00D83960"/>
    <w:rsid w:val="00D839CC"/>
    <w:rsid w:val="00D83A07"/>
    <w:rsid w:val="00D83AC6"/>
    <w:rsid w:val="00D846D7"/>
    <w:rsid w:val="00D8470F"/>
    <w:rsid w:val="00D847CD"/>
    <w:rsid w:val="00D84B0F"/>
    <w:rsid w:val="00D84EC1"/>
    <w:rsid w:val="00D854B2"/>
    <w:rsid w:val="00D85939"/>
    <w:rsid w:val="00D85BDD"/>
    <w:rsid w:val="00D85D33"/>
    <w:rsid w:val="00D85FB4"/>
    <w:rsid w:val="00D8613B"/>
    <w:rsid w:val="00D8691B"/>
    <w:rsid w:val="00D86D00"/>
    <w:rsid w:val="00D87114"/>
    <w:rsid w:val="00D8717D"/>
    <w:rsid w:val="00D874F0"/>
    <w:rsid w:val="00D874F3"/>
    <w:rsid w:val="00D875FF"/>
    <w:rsid w:val="00D87BD6"/>
    <w:rsid w:val="00D87FEC"/>
    <w:rsid w:val="00D9091C"/>
    <w:rsid w:val="00D90959"/>
    <w:rsid w:val="00D90C03"/>
    <w:rsid w:val="00D90DCF"/>
    <w:rsid w:val="00D90F7F"/>
    <w:rsid w:val="00D9100B"/>
    <w:rsid w:val="00D91175"/>
    <w:rsid w:val="00D9135A"/>
    <w:rsid w:val="00D91A6F"/>
    <w:rsid w:val="00D91B84"/>
    <w:rsid w:val="00D91C21"/>
    <w:rsid w:val="00D91DAD"/>
    <w:rsid w:val="00D91F04"/>
    <w:rsid w:val="00D91F08"/>
    <w:rsid w:val="00D92218"/>
    <w:rsid w:val="00D922FD"/>
    <w:rsid w:val="00D9259D"/>
    <w:rsid w:val="00D925CD"/>
    <w:rsid w:val="00D9285E"/>
    <w:rsid w:val="00D929BE"/>
    <w:rsid w:val="00D92B37"/>
    <w:rsid w:val="00D93350"/>
    <w:rsid w:val="00D9347C"/>
    <w:rsid w:val="00D9379F"/>
    <w:rsid w:val="00D937EF"/>
    <w:rsid w:val="00D93948"/>
    <w:rsid w:val="00D93E25"/>
    <w:rsid w:val="00D93EEC"/>
    <w:rsid w:val="00D9438C"/>
    <w:rsid w:val="00D9515D"/>
    <w:rsid w:val="00D9566E"/>
    <w:rsid w:val="00D95B06"/>
    <w:rsid w:val="00D9614B"/>
    <w:rsid w:val="00D962BD"/>
    <w:rsid w:val="00D9643B"/>
    <w:rsid w:val="00D9653C"/>
    <w:rsid w:val="00D965C2"/>
    <w:rsid w:val="00D968C7"/>
    <w:rsid w:val="00D96A4E"/>
    <w:rsid w:val="00D96B33"/>
    <w:rsid w:val="00D9727B"/>
    <w:rsid w:val="00D9745E"/>
    <w:rsid w:val="00D97519"/>
    <w:rsid w:val="00D9754A"/>
    <w:rsid w:val="00D9754B"/>
    <w:rsid w:val="00D97B3F"/>
    <w:rsid w:val="00D97F83"/>
    <w:rsid w:val="00DA01B5"/>
    <w:rsid w:val="00DA0388"/>
    <w:rsid w:val="00DA0CF3"/>
    <w:rsid w:val="00DA0E98"/>
    <w:rsid w:val="00DA1053"/>
    <w:rsid w:val="00DA12B6"/>
    <w:rsid w:val="00DA1487"/>
    <w:rsid w:val="00DA15DA"/>
    <w:rsid w:val="00DA1651"/>
    <w:rsid w:val="00DA2057"/>
    <w:rsid w:val="00DA24B7"/>
    <w:rsid w:val="00DA25DB"/>
    <w:rsid w:val="00DA2660"/>
    <w:rsid w:val="00DA2748"/>
    <w:rsid w:val="00DA2E9B"/>
    <w:rsid w:val="00DA33C4"/>
    <w:rsid w:val="00DA33DC"/>
    <w:rsid w:val="00DA369A"/>
    <w:rsid w:val="00DA3DC1"/>
    <w:rsid w:val="00DA416A"/>
    <w:rsid w:val="00DA41F2"/>
    <w:rsid w:val="00DA4731"/>
    <w:rsid w:val="00DA4797"/>
    <w:rsid w:val="00DA4BE3"/>
    <w:rsid w:val="00DA4D75"/>
    <w:rsid w:val="00DA5706"/>
    <w:rsid w:val="00DA572C"/>
    <w:rsid w:val="00DA5CAD"/>
    <w:rsid w:val="00DA5F84"/>
    <w:rsid w:val="00DA6BD5"/>
    <w:rsid w:val="00DA6CCF"/>
    <w:rsid w:val="00DA6D9E"/>
    <w:rsid w:val="00DA6FAA"/>
    <w:rsid w:val="00DA74C0"/>
    <w:rsid w:val="00DA79F1"/>
    <w:rsid w:val="00DA7D68"/>
    <w:rsid w:val="00DA7D6C"/>
    <w:rsid w:val="00DA7E0A"/>
    <w:rsid w:val="00DA7E8A"/>
    <w:rsid w:val="00DA7E8F"/>
    <w:rsid w:val="00DA7F1A"/>
    <w:rsid w:val="00DB013B"/>
    <w:rsid w:val="00DB057B"/>
    <w:rsid w:val="00DB072C"/>
    <w:rsid w:val="00DB0870"/>
    <w:rsid w:val="00DB08E4"/>
    <w:rsid w:val="00DB0B7E"/>
    <w:rsid w:val="00DB0FCE"/>
    <w:rsid w:val="00DB1444"/>
    <w:rsid w:val="00DB14E6"/>
    <w:rsid w:val="00DB162A"/>
    <w:rsid w:val="00DB1931"/>
    <w:rsid w:val="00DB19CE"/>
    <w:rsid w:val="00DB1F81"/>
    <w:rsid w:val="00DB1FDD"/>
    <w:rsid w:val="00DB2403"/>
    <w:rsid w:val="00DB26C5"/>
    <w:rsid w:val="00DB2926"/>
    <w:rsid w:val="00DB2A8A"/>
    <w:rsid w:val="00DB2C40"/>
    <w:rsid w:val="00DB2CF3"/>
    <w:rsid w:val="00DB2FFE"/>
    <w:rsid w:val="00DB321E"/>
    <w:rsid w:val="00DB36EF"/>
    <w:rsid w:val="00DB3703"/>
    <w:rsid w:val="00DB3746"/>
    <w:rsid w:val="00DB3752"/>
    <w:rsid w:val="00DB39DD"/>
    <w:rsid w:val="00DB3AB4"/>
    <w:rsid w:val="00DB3D5D"/>
    <w:rsid w:val="00DB40E9"/>
    <w:rsid w:val="00DB47F1"/>
    <w:rsid w:val="00DB4909"/>
    <w:rsid w:val="00DB4B56"/>
    <w:rsid w:val="00DB51EB"/>
    <w:rsid w:val="00DB5382"/>
    <w:rsid w:val="00DB567A"/>
    <w:rsid w:val="00DB5914"/>
    <w:rsid w:val="00DB5B60"/>
    <w:rsid w:val="00DB5BD4"/>
    <w:rsid w:val="00DB5D9A"/>
    <w:rsid w:val="00DB601F"/>
    <w:rsid w:val="00DB61BE"/>
    <w:rsid w:val="00DB65DE"/>
    <w:rsid w:val="00DB6990"/>
    <w:rsid w:val="00DB6ACB"/>
    <w:rsid w:val="00DB7009"/>
    <w:rsid w:val="00DB739C"/>
    <w:rsid w:val="00DB73D7"/>
    <w:rsid w:val="00DB7484"/>
    <w:rsid w:val="00DB754E"/>
    <w:rsid w:val="00DB7878"/>
    <w:rsid w:val="00DB795A"/>
    <w:rsid w:val="00DB7CF0"/>
    <w:rsid w:val="00DC0A77"/>
    <w:rsid w:val="00DC0EEC"/>
    <w:rsid w:val="00DC11D8"/>
    <w:rsid w:val="00DC1694"/>
    <w:rsid w:val="00DC17DB"/>
    <w:rsid w:val="00DC1A5C"/>
    <w:rsid w:val="00DC1FA5"/>
    <w:rsid w:val="00DC250C"/>
    <w:rsid w:val="00DC2583"/>
    <w:rsid w:val="00DC2719"/>
    <w:rsid w:val="00DC271A"/>
    <w:rsid w:val="00DC2E71"/>
    <w:rsid w:val="00DC3061"/>
    <w:rsid w:val="00DC39C8"/>
    <w:rsid w:val="00DC3C8F"/>
    <w:rsid w:val="00DC3D0D"/>
    <w:rsid w:val="00DC3D4F"/>
    <w:rsid w:val="00DC4078"/>
    <w:rsid w:val="00DC439B"/>
    <w:rsid w:val="00DC4482"/>
    <w:rsid w:val="00DC4D01"/>
    <w:rsid w:val="00DC507A"/>
    <w:rsid w:val="00DC51D8"/>
    <w:rsid w:val="00DC5B22"/>
    <w:rsid w:val="00DC5B38"/>
    <w:rsid w:val="00DC5F7C"/>
    <w:rsid w:val="00DC5FF9"/>
    <w:rsid w:val="00DC6435"/>
    <w:rsid w:val="00DC6461"/>
    <w:rsid w:val="00DC67B0"/>
    <w:rsid w:val="00DC6E9E"/>
    <w:rsid w:val="00DC70F3"/>
    <w:rsid w:val="00DC7810"/>
    <w:rsid w:val="00DC7943"/>
    <w:rsid w:val="00DC7D2C"/>
    <w:rsid w:val="00DC7D9F"/>
    <w:rsid w:val="00DD00B0"/>
    <w:rsid w:val="00DD027A"/>
    <w:rsid w:val="00DD054A"/>
    <w:rsid w:val="00DD0B28"/>
    <w:rsid w:val="00DD0C56"/>
    <w:rsid w:val="00DD0D02"/>
    <w:rsid w:val="00DD0E0C"/>
    <w:rsid w:val="00DD15CE"/>
    <w:rsid w:val="00DD16E3"/>
    <w:rsid w:val="00DD18A0"/>
    <w:rsid w:val="00DD1BFE"/>
    <w:rsid w:val="00DD21AA"/>
    <w:rsid w:val="00DD21B0"/>
    <w:rsid w:val="00DD2434"/>
    <w:rsid w:val="00DD2E0B"/>
    <w:rsid w:val="00DD2F14"/>
    <w:rsid w:val="00DD2F5E"/>
    <w:rsid w:val="00DD2F79"/>
    <w:rsid w:val="00DD3960"/>
    <w:rsid w:val="00DD3B6E"/>
    <w:rsid w:val="00DD3C0B"/>
    <w:rsid w:val="00DD3E2D"/>
    <w:rsid w:val="00DD3F0D"/>
    <w:rsid w:val="00DD4194"/>
    <w:rsid w:val="00DD466A"/>
    <w:rsid w:val="00DD466B"/>
    <w:rsid w:val="00DD468F"/>
    <w:rsid w:val="00DD4809"/>
    <w:rsid w:val="00DD4986"/>
    <w:rsid w:val="00DD4B50"/>
    <w:rsid w:val="00DD4BA9"/>
    <w:rsid w:val="00DD4F31"/>
    <w:rsid w:val="00DD52E9"/>
    <w:rsid w:val="00DD5341"/>
    <w:rsid w:val="00DD5946"/>
    <w:rsid w:val="00DD5C0D"/>
    <w:rsid w:val="00DD63F4"/>
    <w:rsid w:val="00DD649A"/>
    <w:rsid w:val="00DD6955"/>
    <w:rsid w:val="00DD6B0F"/>
    <w:rsid w:val="00DD6B4C"/>
    <w:rsid w:val="00DD6BD0"/>
    <w:rsid w:val="00DD6F82"/>
    <w:rsid w:val="00DD70E3"/>
    <w:rsid w:val="00DD7BD4"/>
    <w:rsid w:val="00DD7C52"/>
    <w:rsid w:val="00DD7EF1"/>
    <w:rsid w:val="00DE02B8"/>
    <w:rsid w:val="00DE064B"/>
    <w:rsid w:val="00DE07C3"/>
    <w:rsid w:val="00DE087F"/>
    <w:rsid w:val="00DE0BBC"/>
    <w:rsid w:val="00DE0BD2"/>
    <w:rsid w:val="00DE0CC3"/>
    <w:rsid w:val="00DE143D"/>
    <w:rsid w:val="00DE1918"/>
    <w:rsid w:val="00DE1A7E"/>
    <w:rsid w:val="00DE1F67"/>
    <w:rsid w:val="00DE207B"/>
    <w:rsid w:val="00DE23FA"/>
    <w:rsid w:val="00DE2503"/>
    <w:rsid w:val="00DE2740"/>
    <w:rsid w:val="00DE2B1F"/>
    <w:rsid w:val="00DE2B6B"/>
    <w:rsid w:val="00DE2C61"/>
    <w:rsid w:val="00DE2F85"/>
    <w:rsid w:val="00DE32FD"/>
    <w:rsid w:val="00DE371D"/>
    <w:rsid w:val="00DE3AEB"/>
    <w:rsid w:val="00DE3AFD"/>
    <w:rsid w:val="00DE3B65"/>
    <w:rsid w:val="00DE3F36"/>
    <w:rsid w:val="00DE4111"/>
    <w:rsid w:val="00DE4303"/>
    <w:rsid w:val="00DE47D2"/>
    <w:rsid w:val="00DE4F33"/>
    <w:rsid w:val="00DE530D"/>
    <w:rsid w:val="00DE56A6"/>
    <w:rsid w:val="00DE57A1"/>
    <w:rsid w:val="00DE6161"/>
    <w:rsid w:val="00DE63A2"/>
    <w:rsid w:val="00DE6504"/>
    <w:rsid w:val="00DE6A1E"/>
    <w:rsid w:val="00DE6C50"/>
    <w:rsid w:val="00DE6DE2"/>
    <w:rsid w:val="00DE7235"/>
    <w:rsid w:val="00DE7525"/>
    <w:rsid w:val="00DF0181"/>
    <w:rsid w:val="00DF0268"/>
    <w:rsid w:val="00DF02A3"/>
    <w:rsid w:val="00DF03C6"/>
    <w:rsid w:val="00DF07CF"/>
    <w:rsid w:val="00DF0D66"/>
    <w:rsid w:val="00DF0F1A"/>
    <w:rsid w:val="00DF1063"/>
    <w:rsid w:val="00DF1184"/>
    <w:rsid w:val="00DF13A5"/>
    <w:rsid w:val="00DF196B"/>
    <w:rsid w:val="00DF1BF8"/>
    <w:rsid w:val="00DF1C4F"/>
    <w:rsid w:val="00DF1FB6"/>
    <w:rsid w:val="00DF2171"/>
    <w:rsid w:val="00DF24BD"/>
    <w:rsid w:val="00DF25DC"/>
    <w:rsid w:val="00DF2631"/>
    <w:rsid w:val="00DF319B"/>
    <w:rsid w:val="00DF3674"/>
    <w:rsid w:val="00DF383F"/>
    <w:rsid w:val="00DF3B6F"/>
    <w:rsid w:val="00DF45D6"/>
    <w:rsid w:val="00DF48D4"/>
    <w:rsid w:val="00DF4D07"/>
    <w:rsid w:val="00DF4DD8"/>
    <w:rsid w:val="00DF4E8A"/>
    <w:rsid w:val="00DF5C40"/>
    <w:rsid w:val="00DF613E"/>
    <w:rsid w:val="00DF6EB3"/>
    <w:rsid w:val="00DF70DD"/>
    <w:rsid w:val="00DF71A6"/>
    <w:rsid w:val="00DF721E"/>
    <w:rsid w:val="00DF723F"/>
    <w:rsid w:val="00DF7466"/>
    <w:rsid w:val="00DF751D"/>
    <w:rsid w:val="00DF7626"/>
    <w:rsid w:val="00DF7778"/>
    <w:rsid w:val="00DF77FE"/>
    <w:rsid w:val="00DF7B96"/>
    <w:rsid w:val="00E002D9"/>
    <w:rsid w:val="00E00372"/>
    <w:rsid w:val="00E00741"/>
    <w:rsid w:val="00E00B07"/>
    <w:rsid w:val="00E00CF6"/>
    <w:rsid w:val="00E011BA"/>
    <w:rsid w:val="00E012A2"/>
    <w:rsid w:val="00E01829"/>
    <w:rsid w:val="00E0194D"/>
    <w:rsid w:val="00E01FF0"/>
    <w:rsid w:val="00E024FC"/>
    <w:rsid w:val="00E025CD"/>
    <w:rsid w:val="00E02796"/>
    <w:rsid w:val="00E0291B"/>
    <w:rsid w:val="00E02B4D"/>
    <w:rsid w:val="00E02E46"/>
    <w:rsid w:val="00E034AB"/>
    <w:rsid w:val="00E0378F"/>
    <w:rsid w:val="00E03812"/>
    <w:rsid w:val="00E03AF8"/>
    <w:rsid w:val="00E03D16"/>
    <w:rsid w:val="00E03D51"/>
    <w:rsid w:val="00E0405E"/>
    <w:rsid w:val="00E04257"/>
    <w:rsid w:val="00E04477"/>
    <w:rsid w:val="00E04C01"/>
    <w:rsid w:val="00E04DE5"/>
    <w:rsid w:val="00E0514A"/>
    <w:rsid w:val="00E054A3"/>
    <w:rsid w:val="00E05E9C"/>
    <w:rsid w:val="00E05E9F"/>
    <w:rsid w:val="00E05EBC"/>
    <w:rsid w:val="00E06C14"/>
    <w:rsid w:val="00E071F8"/>
    <w:rsid w:val="00E07202"/>
    <w:rsid w:val="00E07229"/>
    <w:rsid w:val="00E0731E"/>
    <w:rsid w:val="00E074B5"/>
    <w:rsid w:val="00E07918"/>
    <w:rsid w:val="00E07950"/>
    <w:rsid w:val="00E07A8B"/>
    <w:rsid w:val="00E07AA3"/>
    <w:rsid w:val="00E07D87"/>
    <w:rsid w:val="00E07E48"/>
    <w:rsid w:val="00E10C31"/>
    <w:rsid w:val="00E1101F"/>
    <w:rsid w:val="00E11371"/>
    <w:rsid w:val="00E11DBA"/>
    <w:rsid w:val="00E11FEA"/>
    <w:rsid w:val="00E126E7"/>
    <w:rsid w:val="00E127B0"/>
    <w:rsid w:val="00E1285F"/>
    <w:rsid w:val="00E12877"/>
    <w:rsid w:val="00E1289F"/>
    <w:rsid w:val="00E12AC0"/>
    <w:rsid w:val="00E12C30"/>
    <w:rsid w:val="00E12D30"/>
    <w:rsid w:val="00E12DEA"/>
    <w:rsid w:val="00E13183"/>
    <w:rsid w:val="00E1349B"/>
    <w:rsid w:val="00E137AB"/>
    <w:rsid w:val="00E13B3F"/>
    <w:rsid w:val="00E13EAA"/>
    <w:rsid w:val="00E146A3"/>
    <w:rsid w:val="00E148C2"/>
    <w:rsid w:val="00E14CA2"/>
    <w:rsid w:val="00E14D70"/>
    <w:rsid w:val="00E152F1"/>
    <w:rsid w:val="00E153CE"/>
    <w:rsid w:val="00E15A1C"/>
    <w:rsid w:val="00E15E60"/>
    <w:rsid w:val="00E15EF7"/>
    <w:rsid w:val="00E15F18"/>
    <w:rsid w:val="00E15FEF"/>
    <w:rsid w:val="00E1603A"/>
    <w:rsid w:val="00E1645C"/>
    <w:rsid w:val="00E164F9"/>
    <w:rsid w:val="00E167CC"/>
    <w:rsid w:val="00E169DE"/>
    <w:rsid w:val="00E16A01"/>
    <w:rsid w:val="00E16C87"/>
    <w:rsid w:val="00E16E45"/>
    <w:rsid w:val="00E1742D"/>
    <w:rsid w:val="00E17497"/>
    <w:rsid w:val="00E17B9F"/>
    <w:rsid w:val="00E17CB7"/>
    <w:rsid w:val="00E17FB7"/>
    <w:rsid w:val="00E2008C"/>
    <w:rsid w:val="00E20234"/>
    <w:rsid w:val="00E20268"/>
    <w:rsid w:val="00E205B2"/>
    <w:rsid w:val="00E209B8"/>
    <w:rsid w:val="00E20ADD"/>
    <w:rsid w:val="00E20D11"/>
    <w:rsid w:val="00E210ED"/>
    <w:rsid w:val="00E22320"/>
    <w:rsid w:val="00E223D8"/>
    <w:rsid w:val="00E22741"/>
    <w:rsid w:val="00E22C66"/>
    <w:rsid w:val="00E2327D"/>
    <w:rsid w:val="00E233B0"/>
    <w:rsid w:val="00E23457"/>
    <w:rsid w:val="00E2345B"/>
    <w:rsid w:val="00E234C0"/>
    <w:rsid w:val="00E237E7"/>
    <w:rsid w:val="00E23DA9"/>
    <w:rsid w:val="00E2414C"/>
    <w:rsid w:val="00E241B5"/>
    <w:rsid w:val="00E241F1"/>
    <w:rsid w:val="00E242F0"/>
    <w:rsid w:val="00E24D7E"/>
    <w:rsid w:val="00E24E78"/>
    <w:rsid w:val="00E24F0E"/>
    <w:rsid w:val="00E25239"/>
    <w:rsid w:val="00E254D8"/>
    <w:rsid w:val="00E254F0"/>
    <w:rsid w:val="00E256A8"/>
    <w:rsid w:val="00E25828"/>
    <w:rsid w:val="00E258E7"/>
    <w:rsid w:val="00E25B88"/>
    <w:rsid w:val="00E25F1D"/>
    <w:rsid w:val="00E264D7"/>
    <w:rsid w:val="00E2664D"/>
    <w:rsid w:val="00E26714"/>
    <w:rsid w:val="00E26769"/>
    <w:rsid w:val="00E26A26"/>
    <w:rsid w:val="00E26E0B"/>
    <w:rsid w:val="00E26E49"/>
    <w:rsid w:val="00E26F4F"/>
    <w:rsid w:val="00E270E2"/>
    <w:rsid w:val="00E27156"/>
    <w:rsid w:val="00E2722A"/>
    <w:rsid w:val="00E2746A"/>
    <w:rsid w:val="00E27583"/>
    <w:rsid w:val="00E27586"/>
    <w:rsid w:val="00E27706"/>
    <w:rsid w:val="00E27B03"/>
    <w:rsid w:val="00E27C00"/>
    <w:rsid w:val="00E27C06"/>
    <w:rsid w:val="00E27CDB"/>
    <w:rsid w:val="00E27CE6"/>
    <w:rsid w:val="00E3059F"/>
    <w:rsid w:val="00E30758"/>
    <w:rsid w:val="00E30BA8"/>
    <w:rsid w:val="00E311D1"/>
    <w:rsid w:val="00E3163B"/>
    <w:rsid w:val="00E316EB"/>
    <w:rsid w:val="00E3179F"/>
    <w:rsid w:val="00E31A84"/>
    <w:rsid w:val="00E31C9E"/>
    <w:rsid w:val="00E31CC5"/>
    <w:rsid w:val="00E31D79"/>
    <w:rsid w:val="00E32BAD"/>
    <w:rsid w:val="00E32CA5"/>
    <w:rsid w:val="00E32D09"/>
    <w:rsid w:val="00E33101"/>
    <w:rsid w:val="00E33224"/>
    <w:rsid w:val="00E33225"/>
    <w:rsid w:val="00E33511"/>
    <w:rsid w:val="00E337A2"/>
    <w:rsid w:val="00E33B29"/>
    <w:rsid w:val="00E3465D"/>
    <w:rsid w:val="00E34B83"/>
    <w:rsid w:val="00E34BE7"/>
    <w:rsid w:val="00E354B8"/>
    <w:rsid w:val="00E3558A"/>
    <w:rsid w:val="00E35ADF"/>
    <w:rsid w:val="00E35CA1"/>
    <w:rsid w:val="00E35D6C"/>
    <w:rsid w:val="00E35F5B"/>
    <w:rsid w:val="00E36657"/>
    <w:rsid w:val="00E36D1E"/>
    <w:rsid w:val="00E36F60"/>
    <w:rsid w:val="00E37F08"/>
    <w:rsid w:val="00E400D8"/>
    <w:rsid w:val="00E40942"/>
    <w:rsid w:val="00E40C95"/>
    <w:rsid w:val="00E40F6A"/>
    <w:rsid w:val="00E4130B"/>
    <w:rsid w:val="00E417AD"/>
    <w:rsid w:val="00E41875"/>
    <w:rsid w:val="00E41B65"/>
    <w:rsid w:val="00E41BA3"/>
    <w:rsid w:val="00E41E83"/>
    <w:rsid w:val="00E41EBF"/>
    <w:rsid w:val="00E42260"/>
    <w:rsid w:val="00E4275D"/>
    <w:rsid w:val="00E42B4C"/>
    <w:rsid w:val="00E42BA4"/>
    <w:rsid w:val="00E43E19"/>
    <w:rsid w:val="00E44038"/>
    <w:rsid w:val="00E440CE"/>
    <w:rsid w:val="00E441A0"/>
    <w:rsid w:val="00E441D9"/>
    <w:rsid w:val="00E44200"/>
    <w:rsid w:val="00E44350"/>
    <w:rsid w:val="00E445F3"/>
    <w:rsid w:val="00E44675"/>
    <w:rsid w:val="00E44B3B"/>
    <w:rsid w:val="00E44C1B"/>
    <w:rsid w:val="00E44C48"/>
    <w:rsid w:val="00E44DE5"/>
    <w:rsid w:val="00E4500F"/>
    <w:rsid w:val="00E45203"/>
    <w:rsid w:val="00E45618"/>
    <w:rsid w:val="00E456E8"/>
    <w:rsid w:val="00E4590F"/>
    <w:rsid w:val="00E45ED3"/>
    <w:rsid w:val="00E460C3"/>
    <w:rsid w:val="00E460DC"/>
    <w:rsid w:val="00E468AB"/>
    <w:rsid w:val="00E469A4"/>
    <w:rsid w:val="00E469D1"/>
    <w:rsid w:val="00E46E8F"/>
    <w:rsid w:val="00E46F24"/>
    <w:rsid w:val="00E47914"/>
    <w:rsid w:val="00E47D70"/>
    <w:rsid w:val="00E509FA"/>
    <w:rsid w:val="00E50A1A"/>
    <w:rsid w:val="00E50F00"/>
    <w:rsid w:val="00E50F3A"/>
    <w:rsid w:val="00E5164E"/>
    <w:rsid w:val="00E516B3"/>
    <w:rsid w:val="00E5190E"/>
    <w:rsid w:val="00E519B5"/>
    <w:rsid w:val="00E51AB7"/>
    <w:rsid w:val="00E51C4F"/>
    <w:rsid w:val="00E52DA9"/>
    <w:rsid w:val="00E53185"/>
    <w:rsid w:val="00E532D5"/>
    <w:rsid w:val="00E535C2"/>
    <w:rsid w:val="00E53651"/>
    <w:rsid w:val="00E53A28"/>
    <w:rsid w:val="00E53F04"/>
    <w:rsid w:val="00E54022"/>
    <w:rsid w:val="00E5454C"/>
    <w:rsid w:val="00E548BE"/>
    <w:rsid w:val="00E548E5"/>
    <w:rsid w:val="00E549EC"/>
    <w:rsid w:val="00E54A6D"/>
    <w:rsid w:val="00E54B82"/>
    <w:rsid w:val="00E54EF3"/>
    <w:rsid w:val="00E55814"/>
    <w:rsid w:val="00E55841"/>
    <w:rsid w:val="00E55902"/>
    <w:rsid w:val="00E55A6D"/>
    <w:rsid w:val="00E55CB4"/>
    <w:rsid w:val="00E55E16"/>
    <w:rsid w:val="00E55F67"/>
    <w:rsid w:val="00E56006"/>
    <w:rsid w:val="00E56024"/>
    <w:rsid w:val="00E560AE"/>
    <w:rsid w:val="00E560F6"/>
    <w:rsid w:val="00E56649"/>
    <w:rsid w:val="00E566FA"/>
    <w:rsid w:val="00E567E4"/>
    <w:rsid w:val="00E56C69"/>
    <w:rsid w:val="00E56DC5"/>
    <w:rsid w:val="00E571F0"/>
    <w:rsid w:val="00E573CC"/>
    <w:rsid w:val="00E57566"/>
    <w:rsid w:val="00E57742"/>
    <w:rsid w:val="00E57A3F"/>
    <w:rsid w:val="00E57A80"/>
    <w:rsid w:val="00E57D33"/>
    <w:rsid w:val="00E60048"/>
    <w:rsid w:val="00E60412"/>
    <w:rsid w:val="00E606C8"/>
    <w:rsid w:val="00E60888"/>
    <w:rsid w:val="00E60AF1"/>
    <w:rsid w:val="00E60C03"/>
    <w:rsid w:val="00E60F8B"/>
    <w:rsid w:val="00E61048"/>
    <w:rsid w:val="00E613C3"/>
    <w:rsid w:val="00E61532"/>
    <w:rsid w:val="00E616D3"/>
    <w:rsid w:val="00E61E8D"/>
    <w:rsid w:val="00E61EEE"/>
    <w:rsid w:val="00E62091"/>
    <w:rsid w:val="00E621B5"/>
    <w:rsid w:val="00E62505"/>
    <w:rsid w:val="00E625BD"/>
    <w:rsid w:val="00E62644"/>
    <w:rsid w:val="00E62830"/>
    <w:rsid w:val="00E62916"/>
    <w:rsid w:val="00E629AF"/>
    <w:rsid w:val="00E62DE9"/>
    <w:rsid w:val="00E62F39"/>
    <w:rsid w:val="00E632BE"/>
    <w:rsid w:val="00E63BA7"/>
    <w:rsid w:val="00E63D1C"/>
    <w:rsid w:val="00E63DF1"/>
    <w:rsid w:val="00E63F33"/>
    <w:rsid w:val="00E640E5"/>
    <w:rsid w:val="00E640E9"/>
    <w:rsid w:val="00E64224"/>
    <w:rsid w:val="00E642D4"/>
    <w:rsid w:val="00E642FB"/>
    <w:rsid w:val="00E643B1"/>
    <w:rsid w:val="00E64508"/>
    <w:rsid w:val="00E64526"/>
    <w:rsid w:val="00E646F0"/>
    <w:rsid w:val="00E647A4"/>
    <w:rsid w:val="00E64C38"/>
    <w:rsid w:val="00E64D72"/>
    <w:rsid w:val="00E64DA1"/>
    <w:rsid w:val="00E6559A"/>
    <w:rsid w:val="00E656D0"/>
    <w:rsid w:val="00E656EC"/>
    <w:rsid w:val="00E6572E"/>
    <w:rsid w:val="00E657B5"/>
    <w:rsid w:val="00E659BD"/>
    <w:rsid w:val="00E65B06"/>
    <w:rsid w:val="00E65E94"/>
    <w:rsid w:val="00E6605F"/>
    <w:rsid w:val="00E66144"/>
    <w:rsid w:val="00E6632F"/>
    <w:rsid w:val="00E664F4"/>
    <w:rsid w:val="00E665C8"/>
    <w:rsid w:val="00E667B6"/>
    <w:rsid w:val="00E66AF9"/>
    <w:rsid w:val="00E66DBC"/>
    <w:rsid w:val="00E67081"/>
    <w:rsid w:val="00E6715E"/>
    <w:rsid w:val="00E67285"/>
    <w:rsid w:val="00E67802"/>
    <w:rsid w:val="00E67F53"/>
    <w:rsid w:val="00E70C35"/>
    <w:rsid w:val="00E70E5B"/>
    <w:rsid w:val="00E70F54"/>
    <w:rsid w:val="00E7114B"/>
    <w:rsid w:val="00E71266"/>
    <w:rsid w:val="00E715A3"/>
    <w:rsid w:val="00E718DB"/>
    <w:rsid w:val="00E71AD1"/>
    <w:rsid w:val="00E71DC9"/>
    <w:rsid w:val="00E71F19"/>
    <w:rsid w:val="00E720AE"/>
    <w:rsid w:val="00E721DE"/>
    <w:rsid w:val="00E72304"/>
    <w:rsid w:val="00E724B8"/>
    <w:rsid w:val="00E7277A"/>
    <w:rsid w:val="00E72E8A"/>
    <w:rsid w:val="00E72EF4"/>
    <w:rsid w:val="00E73351"/>
    <w:rsid w:val="00E733DF"/>
    <w:rsid w:val="00E73877"/>
    <w:rsid w:val="00E73D0B"/>
    <w:rsid w:val="00E73EE6"/>
    <w:rsid w:val="00E741CE"/>
    <w:rsid w:val="00E74CF3"/>
    <w:rsid w:val="00E74E43"/>
    <w:rsid w:val="00E74EFB"/>
    <w:rsid w:val="00E74FC4"/>
    <w:rsid w:val="00E75654"/>
    <w:rsid w:val="00E75906"/>
    <w:rsid w:val="00E75F7B"/>
    <w:rsid w:val="00E7620E"/>
    <w:rsid w:val="00E76217"/>
    <w:rsid w:val="00E763C3"/>
    <w:rsid w:val="00E7666F"/>
    <w:rsid w:val="00E7696E"/>
    <w:rsid w:val="00E76BEC"/>
    <w:rsid w:val="00E76D1D"/>
    <w:rsid w:val="00E7713B"/>
    <w:rsid w:val="00E77228"/>
    <w:rsid w:val="00E77A1E"/>
    <w:rsid w:val="00E77C93"/>
    <w:rsid w:val="00E80874"/>
    <w:rsid w:val="00E80BF7"/>
    <w:rsid w:val="00E813EB"/>
    <w:rsid w:val="00E8199F"/>
    <w:rsid w:val="00E81C08"/>
    <w:rsid w:val="00E81D2D"/>
    <w:rsid w:val="00E821EF"/>
    <w:rsid w:val="00E8220D"/>
    <w:rsid w:val="00E822DA"/>
    <w:rsid w:val="00E823E8"/>
    <w:rsid w:val="00E82988"/>
    <w:rsid w:val="00E83599"/>
    <w:rsid w:val="00E835F0"/>
    <w:rsid w:val="00E83829"/>
    <w:rsid w:val="00E839BF"/>
    <w:rsid w:val="00E83D4A"/>
    <w:rsid w:val="00E83D51"/>
    <w:rsid w:val="00E83D61"/>
    <w:rsid w:val="00E84086"/>
    <w:rsid w:val="00E840DC"/>
    <w:rsid w:val="00E84295"/>
    <w:rsid w:val="00E842A4"/>
    <w:rsid w:val="00E8484E"/>
    <w:rsid w:val="00E84966"/>
    <w:rsid w:val="00E84DAA"/>
    <w:rsid w:val="00E85318"/>
    <w:rsid w:val="00E85530"/>
    <w:rsid w:val="00E85A44"/>
    <w:rsid w:val="00E86458"/>
    <w:rsid w:val="00E86963"/>
    <w:rsid w:val="00E869DC"/>
    <w:rsid w:val="00E86E75"/>
    <w:rsid w:val="00E86F62"/>
    <w:rsid w:val="00E87127"/>
    <w:rsid w:val="00E87373"/>
    <w:rsid w:val="00E8779A"/>
    <w:rsid w:val="00E87F41"/>
    <w:rsid w:val="00E87FA0"/>
    <w:rsid w:val="00E902A7"/>
    <w:rsid w:val="00E90717"/>
    <w:rsid w:val="00E9094A"/>
    <w:rsid w:val="00E90C1A"/>
    <w:rsid w:val="00E91028"/>
    <w:rsid w:val="00E9148A"/>
    <w:rsid w:val="00E9155A"/>
    <w:rsid w:val="00E91893"/>
    <w:rsid w:val="00E91B29"/>
    <w:rsid w:val="00E92059"/>
    <w:rsid w:val="00E920B2"/>
    <w:rsid w:val="00E925AE"/>
    <w:rsid w:val="00E928DA"/>
    <w:rsid w:val="00E92FE1"/>
    <w:rsid w:val="00E936E8"/>
    <w:rsid w:val="00E93A3E"/>
    <w:rsid w:val="00E94092"/>
    <w:rsid w:val="00E9440D"/>
    <w:rsid w:val="00E94BE5"/>
    <w:rsid w:val="00E94D0F"/>
    <w:rsid w:val="00E94D6D"/>
    <w:rsid w:val="00E94EC4"/>
    <w:rsid w:val="00E94F8A"/>
    <w:rsid w:val="00E94FB2"/>
    <w:rsid w:val="00E9530C"/>
    <w:rsid w:val="00E9539B"/>
    <w:rsid w:val="00E95505"/>
    <w:rsid w:val="00E95C4B"/>
    <w:rsid w:val="00E95D08"/>
    <w:rsid w:val="00E95D29"/>
    <w:rsid w:val="00E96023"/>
    <w:rsid w:val="00E9650F"/>
    <w:rsid w:val="00E9690B"/>
    <w:rsid w:val="00E9696C"/>
    <w:rsid w:val="00E96BDC"/>
    <w:rsid w:val="00E97486"/>
    <w:rsid w:val="00EA0125"/>
    <w:rsid w:val="00EA0525"/>
    <w:rsid w:val="00EA0579"/>
    <w:rsid w:val="00EA0671"/>
    <w:rsid w:val="00EA0BA1"/>
    <w:rsid w:val="00EA107A"/>
    <w:rsid w:val="00EA182A"/>
    <w:rsid w:val="00EA1872"/>
    <w:rsid w:val="00EA1A77"/>
    <w:rsid w:val="00EA1B1D"/>
    <w:rsid w:val="00EA215C"/>
    <w:rsid w:val="00EA223D"/>
    <w:rsid w:val="00EA238A"/>
    <w:rsid w:val="00EA2DA2"/>
    <w:rsid w:val="00EA2DBA"/>
    <w:rsid w:val="00EA3303"/>
    <w:rsid w:val="00EA3A82"/>
    <w:rsid w:val="00EA3C89"/>
    <w:rsid w:val="00EA3F5F"/>
    <w:rsid w:val="00EA4106"/>
    <w:rsid w:val="00EA426F"/>
    <w:rsid w:val="00EA44D5"/>
    <w:rsid w:val="00EA4653"/>
    <w:rsid w:val="00EA48A7"/>
    <w:rsid w:val="00EA4E7A"/>
    <w:rsid w:val="00EA4F02"/>
    <w:rsid w:val="00EA59A5"/>
    <w:rsid w:val="00EA5B4D"/>
    <w:rsid w:val="00EA5C17"/>
    <w:rsid w:val="00EA61BD"/>
    <w:rsid w:val="00EA6AA0"/>
    <w:rsid w:val="00EA6C31"/>
    <w:rsid w:val="00EA706E"/>
    <w:rsid w:val="00EA71A1"/>
    <w:rsid w:val="00EA732B"/>
    <w:rsid w:val="00EA7644"/>
    <w:rsid w:val="00EA76F6"/>
    <w:rsid w:val="00EA782D"/>
    <w:rsid w:val="00EA7950"/>
    <w:rsid w:val="00EA7D64"/>
    <w:rsid w:val="00EB0658"/>
    <w:rsid w:val="00EB0C8B"/>
    <w:rsid w:val="00EB0EE0"/>
    <w:rsid w:val="00EB12AB"/>
    <w:rsid w:val="00EB1360"/>
    <w:rsid w:val="00EB13EF"/>
    <w:rsid w:val="00EB1454"/>
    <w:rsid w:val="00EB1669"/>
    <w:rsid w:val="00EB17F6"/>
    <w:rsid w:val="00EB1803"/>
    <w:rsid w:val="00EB193D"/>
    <w:rsid w:val="00EB1C4D"/>
    <w:rsid w:val="00EB239D"/>
    <w:rsid w:val="00EB2945"/>
    <w:rsid w:val="00EB2D9D"/>
    <w:rsid w:val="00EB343C"/>
    <w:rsid w:val="00EB3597"/>
    <w:rsid w:val="00EB3605"/>
    <w:rsid w:val="00EB36AD"/>
    <w:rsid w:val="00EB36B4"/>
    <w:rsid w:val="00EB3820"/>
    <w:rsid w:val="00EB3893"/>
    <w:rsid w:val="00EB3AE9"/>
    <w:rsid w:val="00EB3C04"/>
    <w:rsid w:val="00EB3F48"/>
    <w:rsid w:val="00EB404B"/>
    <w:rsid w:val="00EB4F32"/>
    <w:rsid w:val="00EB4F94"/>
    <w:rsid w:val="00EB5CE6"/>
    <w:rsid w:val="00EB5DB2"/>
    <w:rsid w:val="00EB62A5"/>
    <w:rsid w:val="00EB66AE"/>
    <w:rsid w:val="00EB6ECB"/>
    <w:rsid w:val="00EB700F"/>
    <w:rsid w:val="00EB70E8"/>
    <w:rsid w:val="00EB7388"/>
    <w:rsid w:val="00EB73C6"/>
    <w:rsid w:val="00EB778F"/>
    <w:rsid w:val="00EB7940"/>
    <w:rsid w:val="00EB7BE1"/>
    <w:rsid w:val="00EB7E38"/>
    <w:rsid w:val="00EB7F66"/>
    <w:rsid w:val="00EC04BB"/>
    <w:rsid w:val="00EC0839"/>
    <w:rsid w:val="00EC08C7"/>
    <w:rsid w:val="00EC0B07"/>
    <w:rsid w:val="00EC0D77"/>
    <w:rsid w:val="00EC1718"/>
    <w:rsid w:val="00EC1874"/>
    <w:rsid w:val="00EC1AE1"/>
    <w:rsid w:val="00EC1C6C"/>
    <w:rsid w:val="00EC1C76"/>
    <w:rsid w:val="00EC2004"/>
    <w:rsid w:val="00EC281C"/>
    <w:rsid w:val="00EC2B4A"/>
    <w:rsid w:val="00EC35F3"/>
    <w:rsid w:val="00EC368D"/>
    <w:rsid w:val="00EC39EE"/>
    <w:rsid w:val="00EC3CFE"/>
    <w:rsid w:val="00EC3D3F"/>
    <w:rsid w:val="00EC3E57"/>
    <w:rsid w:val="00EC438A"/>
    <w:rsid w:val="00EC47AA"/>
    <w:rsid w:val="00EC4AF9"/>
    <w:rsid w:val="00EC4F50"/>
    <w:rsid w:val="00EC504E"/>
    <w:rsid w:val="00EC5133"/>
    <w:rsid w:val="00EC5277"/>
    <w:rsid w:val="00EC5F4A"/>
    <w:rsid w:val="00EC62B6"/>
    <w:rsid w:val="00EC62D3"/>
    <w:rsid w:val="00EC680A"/>
    <w:rsid w:val="00EC6B21"/>
    <w:rsid w:val="00EC6DD2"/>
    <w:rsid w:val="00EC6EF1"/>
    <w:rsid w:val="00EC740A"/>
    <w:rsid w:val="00EC75F1"/>
    <w:rsid w:val="00EC7826"/>
    <w:rsid w:val="00EC7A31"/>
    <w:rsid w:val="00EC7CD8"/>
    <w:rsid w:val="00EC7DE4"/>
    <w:rsid w:val="00EC7F64"/>
    <w:rsid w:val="00ED0A03"/>
    <w:rsid w:val="00ED0A0E"/>
    <w:rsid w:val="00ED0AD8"/>
    <w:rsid w:val="00ED0FAB"/>
    <w:rsid w:val="00ED118E"/>
    <w:rsid w:val="00ED1234"/>
    <w:rsid w:val="00ED13A6"/>
    <w:rsid w:val="00ED1531"/>
    <w:rsid w:val="00ED20B0"/>
    <w:rsid w:val="00ED210C"/>
    <w:rsid w:val="00ED2233"/>
    <w:rsid w:val="00ED225B"/>
    <w:rsid w:val="00ED245E"/>
    <w:rsid w:val="00ED2823"/>
    <w:rsid w:val="00ED2957"/>
    <w:rsid w:val="00ED312A"/>
    <w:rsid w:val="00ED315D"/>
    <w:rsid w:val="00ED3539"/>
    <w:rsid w:val="00ED39A8"/>
    <w:rsid w:val="00ED39EB"/>
    <w:rsid w:val="00ED3BE2"/>
    <w:rsid w:val="00ED3C61"/>
    <w:rsid w:val="00ED44DF"/>
    <w:rsid w:val="00ED4699"/>
    <w:rsid w:val="00ED481B"/>
    <w:rsid w:val="00ED483D"/>
    <w:rsid w:val="00ED5357"/>
    <w:rsid w:val="00ED5452"/>
    <w:rsid w:val="00ED5AE2"/>
    <w:rsid w:val="00ED5B49"/>
    <w:rsid w:val="00ED611F"/>
    <w:rsid w:val="00ED6283"/>
    <w:rsid w:val="00ED69CB"/>
    <w:rsid w:val="00ED6C36"/>
    <w:rsid w:val="00ED71FD"/>
    <w:rsid w:val="00ED73AE"/>
    <w:rsid w:val="00ED74D3"/>
    <w:rsid w:val="00ED7603"/>
    <w:rsid w:val="00ED7C93"/>
    <w:rsid w:val="00ED7DE0"/>
    <w:rsid w:val="00EE05A3"/>
    <w:rsid w:val="00EE0778"/>
    <w:rsid w:val="00EE07D2"/>
    <w:rsid w:val="00EE0F2A"/>
    <w:rsid w:val="00EE0FA8"/>
    <w:rsid w:val="00EE107E"/>
    <w:rsid w:val="00EE1ACE"/>
    <w:rsid w:val="00EE1C63"/>
    <w:rsid w:val="00EE2755"/>
    <w:rsid w:val="00EE2A6D"/>
    <w:rsid w:val="00EE2B91"/>
    <w:rsid w:val="00EE2DB9"/>
    <w:rsid w:val="00EE2FA3"/>
    <w:rsid w:val="00EE32C2"/>
    <w:rsid w:val="00EE3448"/>
    <w:rsid w:val="00EE3708"/>
    <w:rsid w:val="00EE3826"/>
    <w:rsid w:val="00EE3898"/>
    <w:rsid w:val="00EE3CCE"/>
    <w:rsid w:val="00EE42CD"/>
    <w:rsid w:val="00EE462C"/>
    <w:rsid w:val="00EE46A6"/>
    <w:rsid w:val="00EE4B49"/>
    <w:rsid w:val="00EE4E7A"/>
    <w:rsid w:val="00EE4F76"/>
    <w:rsid w:val="00EE5290"/>
    <w:rsid w:val="00EE53E9"/>
    <w:rsid w:val="00EE5847"/>
    <w:rsid w:val="00EE5CC8"/>
    <w:rsid w:val="00EE5CF9"/>
    <w:rsid w:val="00EE686C"/>
    <w:rsid w:val="00EE68FD"/>
    <w:rsid w:val="00EE69BC"/>
    <w:rsid w:val="00EE6C32"/>
    <w:rsid w:val="00EE6C8E"/>
    <w:rsid w:val="00EE6E4F"/>
    <w:rsid w:val="00EE756A"/>
    <w:rsid w:val="00EE79D4"/>
    <w:rsid w:val="00EE7ABD"/>
    <w:rsid w:val="00EE7B74"/>
    <w:rsid w:val="00EE7BB2"/>
    <w:rsid w:val="00EE7BBC"/>
    <w:rsid w:val="00EE7D59"/>
    <w:rsid w:val="00EF00DD"/>
    <w:rsid w:val="00EF02C5"/>
    <w:rsid w:val="00EF036D"/>
    <w:rsid w:val="00EF0399"/>
    <w:rsid w:val="00EF03FF"/>
    <w:rsid w:val="00EF06BD"/>
    <w:rsid w:val="00EF0890"/>
    <w:rsid w:val="00EF08A5"/>
    <w:rsid w:val="00EF0B04"/>
    <w:rsid w:val="00EF0D86"/>
    <w:rsid w:val="00EF12BA"/>
    <w:rsid w:val="00EF185F"/>
    <w:rsid w:val="00EF1865"/>
    <w:rsid w:val="00EF198D"/>
    <w:rsid w:val="00EF1A27"/>
    <w:rsid w:val="00EF1FBB"/>
    <w:rsid w:val="00EF20BB"/>
    <w:rsid w:val="00EF22D3"/>
    <w:rsid w:val="00EF2E3E"/>
    <w:rsid w:val="00EF2F8A"/>
    <w:rsid w:val="00EF32DA"/>
    <w:rsid w:val="00EF331F"/>
    <w:rsid w:val="00EF3711"/>
    <w:rsid w:val="00EF39DA"/>
    <w:rsid w:val="00EF3B23"/>
    <w:rsid w:val="00EF3BE0"/>
    <w:rsid w:val="00EF3D23"/>
    <w:rsid w:val="00EF3DC2"/>
    <w:rsid w:val="00EF3E87"/>
    <w:rsid w:val="00EF4206"/>
    <w:rsid w:val="00EF42A5"/>
    <w:rsid w:val="00EF42C0"/>
    <w:rsid w:val="00EF49A5"/>
    <w:rsid w:val="00EF49EC"/>
    <w:rsid w:val="00EF4CDC"/>
    <w:rsid w:val="00EF4F28"/>
    <w:rsid w:val="00EF50DD"/>
    <w:rsid w:val="00EF53BE"/>
    <w:rsid w:val="00EF5452"/>
    <w:rsid w:val="00EF580F"/>
    <w:rsid w:val="00EF5969"/>
    <w:rsid w:val="00EF5F82"/>
    <w:rsid w:val="00EF6206"/>
    <w:rsid w:val="00EF6222"/>
    <w:rsid w:val="00EF64E8"/>
    <w:rsid w:val="00EF64FA"/>
    <w:rsid w:val="00EF6760"/>
    <w:rsid w:val="00EF6901"/>
    <w:rsid w:val="00EF6D16"/>
    <w:rsid w:val="00EF6D60"/>
    <w:rsid w:val="00EF6FAE"/>
    <w:rsid w:val="00EF7142"/>
    <w:rsid w:val="00EF75EC"/>
    <w:rsid w:val="00EF7774"/>
    <w:rsid w:val="00EF78CE"/>
    <w:rsid w:val="00EF7ACA"/>
    <w:rsid w:val="00F000CD"/>
    <w:rsid w:val="00F0037C"/>
    <w:rsid w:val="00F00C0F"/>
    <w:rsid w:val="00F00F60"/>
    <w:rsid w:val="00F00F76"/>
    <w:rsid w:val="00F015B3"/>
    <w:rsid w:val="00F018D9"/>
    <w:rsid w:val="00F01B80"/>
    <w:rsid w:val="00F01BFE"/>
    <w:rsid w:val="00F01E1E"/>
    <w:rsid w:val="00F01EF8"/>
    <w:rsid w:val="00F01FE4"/>
    <w:rsid w:val="00F024A4"/>
    <w:rsid w:val="00F025B6"/>
    <w:rsid w:val="00F025CA"/>
    <w:rsid w:val="00F026B3"/>
    <w:rsid w:val="00F02E1F"/>
    <w:rsid w:val="00F03577"/>
    <w:rsid w:val="00F03706"/>
    <w:rsid w:val="00F0393F"/>
    <w:rsid w:val="00F03B0F"/>
    <w:rsid w:val="00F03D73"/>
    <w:rsid w:val="00F03E09"/>
    <w:rsid w:val="00F041ED"/>
    <w:rsid w:val="00F04255"/>
    <w:rsid w:val="00F0437D"/>
    <w:rsid w:val="00F043B9"/>
    <w:rsid w:val="00F04AB8"/>
    <w:rsid w:val="00F04C11"/>
    <w:rsid w:val="00F04CF5"/>
    <w:rsid w:val="00F04E45"/>
    <w:rsid w:val="00F05109"/>
    <w:rsid w:val="00F05181"/>
    <w:rsid w:val="00F05330"/>
    <w:rsid w:val="00F05B6E"/>
    <w:rsid w:val="00F05D5C"/>
    <w:rsid w:val="00F05F77"/>
    <w:rsid w:val="00F05FC9"/>
    <w:rsid w:val="00F06064"/>
    <w:rsid w:val="00F0617B"/>
    <w:rsid w:val="00F063E4"/>
    <w:rsid w:val="00F0649C"/>
    <w:rsid w:val="00F06543"/>
    <w:rsid w:val="00F0673E"/>
    <w:rsid w:val="00F067A5"/>
    <w:rsid w:val="00F06917"/>
    <w:rsid w:val="00F06D4F"/>
    <w:rsid w:val="00F06ED3"/>
    <w:rsid w:val="00F0701F"/>
    <w:rsid w:val="00F070BE"/>
    <w:rsid w:val="00F074CE"/>
    <w:rsid w:val="00F07638"/>
    <w:rsid w:val="00F07B00"/>
    <w:rsid w:val="00F07D61"/>
    <w:rsid w:val="00F07FD9"/>
    <w:rsid w:val="00F07FE2"/>
    <w:rsid w:val="00F10070"/>
    <w:rsid w:val="00F1018B"/>
    <w:rsid w:val="00F104AE"/>
    <w:rsid w:val="00F10B9C"/>
    <w:rsid w:val="00F11272"/>
    <w:rsid w:val="00F11302"/>
    <w:rsid w:val="00F1164C"/>
    <w:rsid w:val="00F116A8"/>
    <w:rsid w:val="00F11731"/>
    <w:rsid w:val="00F118A3"/>
    <w:rsid w:val="00F118EB"/>
    <w:rsid w:val="00F119AB"/>
    <w:rsid w:val="00F11AD3"/>
    <w:rsid w:val="00F11B4D"/>
    <w:rsid w:val="00F12580"/>
    <w:rsid w:val="00F126AB"/>
    <w:rsid w:val="00F126E1"/>
    <w:rsid w:val="00F12B84"/>
    <w:rsid w:val="00F12F35"/>
    <w:rsid w:val="00F13347"/>
    <w:rsid w:val="00F133B8"/>
    <w:rsid w:val="00F13634"/>
    <w:rsid w:val="00F138D9"/>
    <w:rsid w:val="00F13C4B"/>
    <w:rsid w:val="00F13D2C"/>
    <w:rsid w:val="00F14385"/>
    <w:rsid w:val="00F146F2"/>
    <w:rsid w:val="00F14C10"/>
    <w:rsid w:val="00F14E1C"/>
    <w:rsid w:val="00F154EC"/>
    <w:rsid w:val="00F1553F"/>
    <w:rsid w:val="00F1562A"/>
    <w:rsid w:val="00F15E39"/>
    <w:rsid w:val="00F15E7E"/>
    <w:rsid w:val="00F1613B"/>
    <w:rsid w:val="00F16186"/>
    <w:rsid w:val="00F168A4"/>
    <w:rsid w:val="00F16991"/>
    <w:rsid w:val="00F169A4"/>
    <w:rsid w:val="00F17433"/>
    <w:rsid w:val="00F17532"/>
    <w:rsid w:val="00F1790D"/>
    <w:rsid w:val="00F17CD0"/>
    <w:rsid w:val="00F207C2"/>
    <w:rsid w:val="00F20A83"/>
    <w:rsid w:val="00F2116F"/>
    <w:rsid w:val="00F21402"/>
    <w:rsid w:val="00F21893"/>
    <w:rsid w:val="00F219C4"/>
    <w:rsid w:val="00F21C20"/>
    <w:rsid w:val="00F21E33"/>
    <w:rsid w:val="00F2234D"/>
    <w:rsid w:val="00F224BC"/>
    <w:rsid w:val="00F227BB"/>
    <w:rsid w:val="00F22C89"/>
    <w:rsid w:val="00F233B7"/>
    <w:rsid w:val="00F23663"/>
    <w:rsid w:val="00F237EC"/>
    <w:rsid w:val="00F239A5"/>
    <w:rsid w:val="00F24130"/>
    <w:rsid w:val="00F24B14"/>
    <w:rsid w:val="00F24CFF"/>
    <w:rsid w:val="00F25F05"/>
    <w:rsid w:val="00F26183"/>
    <w:rsid w:val="00F26522"/>
    <w:rsid w:val="00F2655A"/>
    <w:rsid w:val="00F265FA"/>
    <w:rsid w:val="00F268F9"/>
    <w:rsid w:val="00F26924"/>
    <w:rsid w:val="00F26B64"/>
    <w:rsid w:val="00F26DC5"/>
    <w:rsid w:val="00F26E25"/>
    <w:rsid w:val="00F26F3E"/>
    <w:rsid w:val="00F26FCC"/>
    <w:rsid w:val="00F27187"/>
    <w:rsid w:val="00F272CB"/>
    <w:rsid w:val="00F2735A"/>
    <w:rsid w:val="00F273EF"/>
    <w:rsid w:val="00F276BA"/>
    <w:rsid w:val="00F27BD7"/>
    <w:rsid w:val="00F27D7E"/>
    <w:rsid w:val="00F27E64"/>
    <w:rsid w:val="00F303AD"/>
    <w:rsid w:val="00F30B37"/>
    <w:rsid w:val="00F30CAF"/>
    <w:rsid w:val="00F30D91"/>
    <w:rsid w:val="00F310F1"/>
    <w:rsid w:val="00F312FD"/>
    <w:rsid w:val="00F31746"/>
    <w:rsid w:val="00F3176A"/>
    <w:rsid w:val="00F317F0"/>
    <w:rsid w:val="00F318A6"/>
    <w:rsid w:val="00F319B8"/>
    <w:rsid w:val="00F31AC5"/>
    <w:rsid w:val="00F31C25"/>
    <w:rsid w:val="00F320DD"/>
    <w:rsid w:val="00F32559"/>
    <w:rsid w:val="00F32B39"/>
    <w:rsid w:val="00F32E6D"/>
    <w:rsid w:val="00F32ED8"/>
    <w:rsid w:val="00F33122"/>
    <w:rsid w:val="00F33158"/>
    <w:rsid w:val="00F3355A"/>
    <w:rsid w:val="00F3361A"/>
    <w:rsid w:val="00F34074"/>
    <w:rsid w:val="00F34125"/>
    <w:rsid w:val="00F345CA"/>
    <w:rsid w:val="00F34604"/>
    <w:rsid w:val="00F34765"/>
    <w:rsid w:val="00F34D80"/>
    <w:rsid w:val="00F3530C"/>
    <w:rsid w:val="00F354C0"/>
    <w:rsid w:val="00F3599A"/>
    <w:rsid w:val="00F35DC2"/>
    <w:rsid w:val="00F37423"/>
    <w:rsid w:val="00F3749C"/>
    <w:rsid w:val="00F379D9"/>
    <w:rsid w:val="00F37A17"/>
    <w:rsid w:val="00F37A3B"/>
    <w:rsid w:val="00F37C5D"/>
    <w:rsid w:val="00F37DEC"/>
    <w:rsid w:val="00F40114"/>
    <w:rsid w:val="00F40394"/>
    <w:rsid w:val="00F405D9"/>
    <w:rsid w:val="00F405DC"/>
    <w:rsid w:val="00F40BAB"/>
    <w:rsid w:val="00F40C8A"/>
    <w:rsid w:val="00F40CA8"/>
    <w:rsid w:val="00F411F9"/>
    <w:rsid w:val="00F41201"/>
    <w:rsid w:val="00F41597"/>
    <w:rsid w:val="00F416B1"/>
    <w:rsid w:val="00F41EB7"/>
    <w:rsid w:val="00F4279F"/>
    <w:rsid w:val="00F42C0B"/>
    <w:rsid w:val="00F430E5"/>
    <w:rsid w:val="00F43493"/>
    <w:rsid w:val="00F438B2"/>
    <w:rsid w:val="00F43D5C"/>
    <w:rsid w:val="00F43D72"/>
    <w:rsid w:val="00F43EEC"/>
    <w:rsid w:val="00F43F55"/>
    <w:rsid w:val="00F4436B"/>
    <w:rsid w:val="00F44405"/>
    <w:rsid w:val="00F447F6"/>
    <w:rsid w:val="00F44B29"/>
    <w:rsid w:val="00F44C6D"/>
    <w:rsid w:val="00F44FBE"/>
    <w:rsid w:val="00F45002"/>
    <w:rsid w:val="00F45391"/>
    <w:rsid w:val="00F45730"/>
    <w:rsid w:val="00F45C05"/>
    <w:rsid w:val="00F46AE0"/>
    <w:rsid w:val="00F473F0"/>
    <w:rsid w:val="00F4754D"/>
    <w:rsid w:val="00F47A6C"/>
    <w:rsid w:val="00F47C06"/>
    <w:rsid w:val="00F47F69"/>
    <w:rsid w:val="00F503C1"/>
    <w:rsid w:val="00F50518"/>
    <w:rsid w:val="00F507CC"/>
    <w:rsid w:val="00F50B3D"/>
    <w:rsid w:val="00F5159E"/>
    <w:rsid w:val="00F51B07"/>
    <w:rsid w:val="00F51C39"/>
    <w:rsid w:val="00F51D19"/>
    <w:rsid w:val="00F51DE7"/>
    <w:rsid w:val="00F52047"/>
    <w:rsid w:val="00F524F0"/>
    <w:rsid w:val="00F52709"/>
    <w:rsid w:val="00F52879"/>
    <w:rsid w:val="00F52D77"/>
    <w:rsid w:val="00F53020"/>
    <w:rsid w:val="00F53442"/>
    <w:rsid w:val="00F535BE"/>
    <w:rsid w:val="00F536E3"/>
    <w:rsid w:val="00F54367"/>
    <w:rsid w:val="00F54421"/>
    <w:rsid w:val="00F544A5"/>
    <w:rsid w:val="00F545C2"/>
    <w:rsid w:val="00F54A0D"/>
    <w:rsid w:val="00F5508C"/>
    <w:rsid w:val="00F55251"/>
    <w:rsid w:val="00F553F3"/>
    <w:rsid w:val="00F55799"/>
    <w:rsid w:val="00F55A7C"/>
    <w:rsid w:val="00F55B2E"/>
    <w:rsid w:val="00F55E66"/>
    <w:rsid w:val="00F56918"/>
    <w:rsid w:val="00F56A29"/>
    <w:rsid w:val="00F56D28"/>
    <w:rsid w:val="00F57711"/>
    <w:rsid w:val="00F579E9"/>
    <w:rsid w:val="00F57D63"/>
    <w:rsid w:val="00F57D72"/>
    <w:rsid w:val="00F60052"/>
    <w:rsid w:val="00F6021A"/>
    <w:rsid w:val="00F6040A"/>
    <w:rsid w:val="00F60415"/>
    <w:rsid w:val="00F60601"/>
    <w:rsid w:val="00F60A53"/>
    <w:rsid w:val="00F60B75"/>
    <w:rsid w:val="00F60FB9"/>
    <w:rsid w:val="00F611F3"/>
    <w:rsid w:val="00F614AD"/>
    <w:rsid w:val="00F61E0C"/>
    <w:rsid w:val="00F61EC8"/>
    <w:rsid w:val="00F61F47"/>
    <w:rsid w:val="00F61FDC"/>
    <w:rsid w:val="00F62734"/>
    <w:rsid w:val="00F629EC"/>
    <w:rsid w:val="00F62C60"/>
    <w:rsid w:val="00F62E77"/>
    <w:rsid w:val="00F632AF"/>
    <w:rsid w:val="00F63402"/>
    <w:rsid w:val="00F63750"/>
    <w:rsid w:val="00F63A53"/>
    <w:rsid w:val="00F63EE9"/>
    <w:rsid w:val="00F64443"/>
    <w:rsid w:val="00F645F0"/>
    <w:rsid w:val="00F6513F"/>
    <w:rsid w:val="00F6532A"/>
    <w:rsid w:val="00F65582"/>
    <w:rsid w:val="00F65693"/>
    <w:rsid w:val="00F65CE5"/>
    <w:rsid w:val="00F6617C"/>
    <w:rsid w:val="00F6629F"/>
    <w:rsid w:val="00F662DB"/>
    <w:rsid w:val="00F66468"/>
    <w:rsid w:val="00F664AF"/>
    <w:rsid w:val="00F6655E"/>
    <w:rsid w:val="00F665C5"/>
    <w:rsid w:val="00F666CF"/>
    <w:rsid w:val="00F66711"/>
    <w:rsid w:val="00F66CDB"/>
    <w:rsid w:val="00F6714B"/>
    <w:rsid w:val="00F67205"/>
    <w:rsid w:val="00F67390"/>
    <w:rsid w:val="00F67548"/>
    <w:rsid w:val="00F67A09"/>
    <w:rsid w:val="00F67D06"/>
    <w:rsid w:val="00F67D67"/>
    <w:rsid w:val="00F67F68"/>
    <w:rsid w:val="00F703DA"/>
    <w:rsid w:val="00F706D3"/>
    <w:rsid w:val="00F70B4E"/>
    <w:rsid w:val="00F70EF7"/>
    <w:rsid w:val="00F71A5F"/>
    <w:rsid w:val="00F71B4A"/>
    <w:rsid w:val="00F71E78"/>
    <w:rsid w:val="00F71FCA"/>
    <w:rsid w:val="00F71FCB"/>
    <w:rsid w:val="00F72025"/>
    <w:rsid w:val="00F720F5"/>
    <w:rsid w:val="00F72162"/>
    <w:rsid w:val="00F72699"/>
    <w:rsid w:val="00F7295F"/>
    <w:rsid w:val="00F72C51"/>
    <w:rsid w:val="00F72FBC"/>
    <w:rsid w:val="00F73413"/>
    <w:rsid w:val="00F7357B"/>
    <w:rsid w:val="00F739BD"/>
    <w:rsid w:val="00F73D7B"/>
    <w:rsid w:val="00F74131"/>
    <w:rsid w:val="00F74396"/>
    <w:rsid w:val="00F74747"/>
    <w:rsid w:val="00F74BB4"/>
    <w:rsid w:val="00F7535D"/>
    <w:rsid w:val="00F753AE"/>
    <w:rsid w:val="00F75438"/>
    <w:rsid w:val="00F7560C"/>
    <w:rsid w:val="00F75748"/>
    <w:rsid w:val="00F757DD"/>
    <w:rsid w:val="00F75E4A"/>
    <w:rsid w:val="00F75EDD"/>
    <w:rsid w:val="00F75FB8"/>
    <w:rsid w:val="00F76424"/>
    <w:rsid w:val="00F76461"/>
    <w:rsid w:val="00F765B5"/>
    <w:rsid w:val="00F76959"/>
    <w:rsid w:val="00F76C3F"/>
    <w:rsid w:val="00F7775A"/>
    <w:rsid w:val="00F7775B"/>
    <w:rsid w:val="00F777E5"/>
    <w:rsid w:val="00F779B5"/>
    <w:rsid w:val="00F77AC6"/>
    <w:rsid w:val="00F77C80"/>
    <w:rsid w:val="00F77D4E"/>
    <w:rsid w:val="00F801E9"/>
    <w:rsid w:val="00F80283"/>
    <w:rsid w:val="00F804A9"/>
    <w:rsid w:val="00F808A3"/>
    <w:rsid w:val="00F808ED"/>
    <w:rsid w:val="00F809D5"/>
    <w:rsid w:val="00F80A2D"/>
    <w:rsid w:val="00F81506"/>
    <w:rsid w:val="00F81625"/>
    <w:rsid w:val="00F81DDD"/>
    <w:rsid w:val="00F82022"/>
    <w:rsid w:val="00F8287D"/>
    <w:rsid w:val="00F829A3"/>
    <w:rsid w:val="00F829B9"/>
    <w:rsid w:val="00F82B2B"/>
    <w:rsid w:val="00F8334B"/>
    <w:rsid w:val="00F834D6"/>
    <w:rsid w:val="00F83725"/>
    <w:rsid w:val="00F83938"/>
    <w:rsid w:val="00F83FB0"/>
    <w:rsid w:val="00F84101"/>
    <w:rsid w:val="00F8425D"/>
    <w:rsid w:val="00F84264"/>
    <w:rsid w:val="00F84AA2"/>
    <w:rsid w:val="00F85025"/>
    <w:rsid w:val="00F85220"/>
    <w:rsid w:val="00F85256"/>
    <w:rsid w:val="00F857F1"/>
    <w:rsid w:val="00F85C9B"/>
    <w:rsid w:val="00F85F5A"/>
    <w:rsid w:val="00F8607C"/>
    <w:rsid w:val="00F8655F"/>
    <w:rsid w:val="00F865C7"/>
    <w:rsid w:val="00F86811"/>
    <w:rsid w:val="00F868F4"/>
    <w:rsid w:val="00F86A6C"/>
    <w:rsid w:val="00F86B65"/>
    <w:rsid w:val="00F8730B"/>
    <w:rsid w:val="00F87511"/>
    <w:rsid w:val="00F87554"/>
    <w:rsid w:val="00F87769"/>
    <w:rsid w:val="00F879D0"/>
    <w:rsid w:val="00F87A9C"/>
    <w:rsid w:val="00F87C05"/>
    <w:rsid w:val="00F87C7B"/>
    <w:rsid w:val="00F87F22"/>
    <w:rsid w:val="00F9003A"/>
    <w:rsid w:val="00F90524"/>
    <w:rsid w:val="00F90680"/>
    <w:rsid w:val="00F907CA"/>
    <w:rsid w:val="00F90CD1"/>
    <w:rsid w:val="00F90CEC"/>
    <w:rsid w:val="00F9124D"/>
    <w:rsid w:val="00F9128A"/>
    <w:rsid w:val="00F91340"/>
    <w:rsid w:val="00F915F8"/>
    <w:rsid w:val="00F91722"/>
    <w:rsid w:val="00F91840"/>
    <w:rsid w:val="00F91C81"/>
    <w:rsid w:val="00F91DAE"/>
    <w:rsid w:val="00F91DC1"/>
    <w:rsid w:val="00F925DB"/>
    <w:rsid w:val="00F9269E"/>
    <w:rsid w:val="00F92771"/>
    <w:rsid w:val="00F93051"/>
    <w:rsid w:val="00F93685"/>
    <w:rsid w:val="00F937A4"/>
    <w:rsid w:val="00F9389F"/>
    <w:rsid w:val="00F939AF"/>
    <w:rsid w:val="00F93BEF"/>
    <w:rsid w:val="00F94636"/>
    <w:rsid w:val="00F94946"/>
    <w:rsid w:val="00F94C9E"/>
    <w:rsid w:val="00F94F8E"/>
    <w:rsid w:val="00F950AA"/>
    <w:rsid w:val="00F95144"/>
    <w:rsid w:val="00F95246"/>
    <w:rsid w:val="00F95418"/>
    <w:rsid w:val="00F955C6"/>
    <w:rsid w:val="00F95711"/>
    <w:rsid w:val="00F95920"/>
    <w:rsid w:val="00F95924"/>
    <w:rsid w:val="00F95A04"/>
    <w:rsid w:val="00F95AB0"/>
    <w:rsid w:val="00F95E0D"/>
    <w:rsid w:val="00F96057"/>
    <w:rsid w:val="00F961F0"/>
    <w:rsid w:val="00F966D4"/>
    <w:rsid w:val="00F97032"/>
    <w:rsid w:val="00F975DE"/>
    <w:rsid w:val="00F97B4C"/>
    <w:rsid w:val="00F97DB3"/>
    <w:rsid w:val="00F97EB4"/>
    <w:rsid w:val="00F97F3D"/>
    <w:rsid w:val="00FA0415"/>
    <w:rsid w:val="00FA05F0"/>
    <w:rsid w:val="00FA0E47"/>
    <w:rsid w:val="00FA0FA4"/>
    <w:rsid w:val="00FA129F"/>
    <w:rsid w:val="00FA12F7"/>
    <w:rsid w:val="00FA187D"/>
    <w:rsid w:val="00FA1AB8"/>
    <w:rsid w:val="00FA1C46"/>
    <w:rsid w:val="00FA294A"/>
    <w:rsid w:val="00FA2B3D"/>
    <w:rsid w:val="00FA2CB6"/>
    <w:rsid w:val="00FA2CD5"/>
    <w:rsid w:val="00FA30FF"/>
    <w:rsid w:val="00FA31C6"/>
    <w:rsid w:val="00FA34B6"/>
    <w:rsid w:val="00FA354C"/>
    <w:rsid w:val="00FA39D5"/>
    <w:rsid w:val="00FA3A0A"/>
    <w:rsid w:val="00FA3D76"/>
    <w:rsid w:val="00FA47D5"/>
    <w:rsid w:val="00FA47E0"/>
    <w:rsid w:val="00FA488B"/>
    <w:rsid w:val="00FA48D7"/>
    <w:rsid w:val="00FA4D72"/>
    <w:rsid w:val="00FA4D8B"/>
    <w:rsid w:val="00FA4EE5"/>
    <w:rsid w:val="00FA4F52"/>
    <w:rsid w:val="00FA506A"/>
    <w:rsid w:val="00FA5219"/>
    <w:rsid w:val="00FA5F07"/>
    <w:rsid w:val="00FA616B"/>
    <w:rsid w:val="00FA6204"/>
    <w:rsid w:val="00FA668D"/>
    <w:rsid w:val="00FA68B5"/>
    <w:rsid w:val="00FA69E8"/>
    <w:rsid w:val="00FA76CF"/>
    <w:rsid w:val="00FA76D5"/>
    <w:rsid w:val="00FA7B9C"/>
    <w:rsid w:val="00FA7BE4"/>
    <w:rsid w:val="00FA7EA6"/>
    <w:rsid w:val="00FA7F9F"/>
    <w:rsid w:val="00FB01A8"/>
    <w:rsid w:val="00FB0388"/>
    <w:rsid w:val="00FB0A85"/>
    <w:rsid w:val="00FB0A93"/>
    <w:rsid w:val="00FB1391"/>
    <w:rsid w:val="00FB166A"/>
    <w:rsid w:val="00FB1778"/>
    <w:rsid w:val="00FB1BBB"/>
    <w:rsid w:val="00FB1E22"/>
    <w:rsid w:val="00FB1E30"/>
    <w:rsid w:val="00FB1F81"/>
    <w:rsid w:val="00FB1FDE"/>
    <w:rsid w:val="00FB2525"/>
    <w:rsid w:val="00FB274E"/>
    <w:rsid w:val="00FB27BE"/>
    <w:rsid w:val="00FB2D13"/>
    <w:rsid w:val="00FB2F0F"/>
    <w:rsid w:val="00FB30ED"/>
    <w:rsid w:val="00FB326B"/>
    <w:rsid w:val="00FB3494"/>
    <w:rsid w:val="00FB3A8F"/>
    <w:rsid w:val="00FB3B73"/>
    <w:rsid w:val="00FB3EA2"/>
    <w:rsid w:val="00FB438E"/>
    <w:rsid w:val="00FB4432"/>
    <w:rsid w:val="00FB446B"/>
    <w:rsid w:val="00FB4770"/>
    <w:rsid w:val="00FB4E73"/>
    <w:rsid w:val="00FB512F"/>
    <w:rsid w:val="00FB5329"/>
    <w:rsid w:val="00FB5518"/>
    <w:rsid w:val="00FB561F"/>
    <w:rsid w:val="00FB6460"/>
    <w:rsid w:val="00FB6939"/>
    <w:rsid w:val="00FB6A29"/>
    <w:rsid w:val="00FB6DDA"/>
    <w:rsid w:val="00FB718F"/>
    <w:rsid w:val="00FB7278"/>
    <w:rsid w:val="00FB72FC"/>
    <w:rsid w:val="00FB7852"/>
    <w:rsid w:val="00FB7B2D"/>
    <w:rsid w:val="00FB7D32"/>
    <w:rsid w:val="00FB7EF5"/>
    <w:rsid w:val="00FC018C"/>
    <w:rsid w:val="00FC0B4F"/>
    <w:rsid w:val="00FC0DB4"/>
    <w:rsid w:val="00FC1235"/>
    <w:rsid w:val="00FC125B"/>
    <w:rsid w:val="00FC1401"/>
    <w:rsid w:val="00FC15EC"/>
    <w:rsid w:val="00FC1A17"/>
    <w:rsid w:val="00FC1BAE"/>
    <w:rsid w:val="00FC1D03"/>
    <w:rsid w:val="00FC2AA0"/>
    <w:rsid w:val="00FC2B7A"/>
    <w:rsid w:val="00FC2D15"/>
    <w:rsid w:val="00FC2E3F"/>
    <w:rsid w:val="00FC302F"/>
    <w:rsid w:val="00FC310B"/>
    <w:rsid w:val="00FC3381"/>
    <w:rsid w:val="00FC33CE"/>
    <w:rsid w:val="00FC3678"/>
    <w:rsid w:val="00FC3918"/>
    <w:rsid w:val="00FC3B7E"/>
    <w:rsid w:val="00FC3CE6"/>
    <w:rsid w:val="00FC3D2E"/>
    <w:rsid w:val="00FC3D53"/>
    <w:rsid w:val="00FC3F87"/>
    <w:rsid w:val="00FC400C"/>
    <w:rsid w:val="00FC420B"/>
    <w:rsid w:val="00FC422F"/>
    <w:rsid w:val="00FC42EF"/>
    <w:rsid w:val="00FC46F1"/>
    <w:rsid w:val="00FC47E0"/>
    <w:rsid w:val="00FC4AB9"/>
    <w:rsid w:val="00FC5068"/>
    <w:rsid w:val="00FC5205"/>
    <w:rsid w:val="00FC524C"/>
    <w:rsid w:val="00FC52AA"/>
    <w:rsid w:val="00FC537F"/>
    <w:rsid w:val="00FC5D86"/>
    <w:rsid w:val="00FC5EDE"/>
    <w:rsid w:val="00FC60D0"/>
    <w:rsid w:val="00FC6F57"/>
    <w:rsid w:val="00FC6FCB"/>
    <w:rsid w:val="00FC76A7"/>
    <w:rsid w:val="00FC76E7"/>
    <w:rsid w:val="00FC771A"/>
    <w:rsid w:val="00FC7721"/>
    <w:rsid w:val="00FD0011"/>
    <w:rsid w:val="00FD016F"/>
    <w:rsid w:val="00FD0200"/>
    <w:rsid w:val="00FD0B11"/>
    <w:rsid w:val="00FD0B8E"/>
    <w:rsid w:val="00FD0DCA"/>
    <w:rsid w:val="00FD0FFE"/>
    <w:rsid w:val="00FD103F"/>
    <w:rsid w:val="00FD14EE"/>
    <w:rsid w:val="00FD1651"/>
    <w:rsid w:val="00FD1726"/>
    <w:rsid w:val="00FD1940"/>
    <w:rsid w:val="00FD1A84"/>
    <w:rsid w:val="00FD1EB0"/>
    <w:rsid w:val="00FD1F5A"/>
    <w:rsid w:val="00FD1FB7"/>
    <w:rsid w:val="00FD21C3"/>
    <w:rsid w:val="00FD2C58"/>
    <w:rsid w:val="00FD2FCD"/>
    <w:rsid w:val="00FD3A95"/>
    <w:rsid w:val="00FD3D9A"/>
    <w:rsid w:val="00FD3FF4"/>
    <w:rsid w:val="00FD413C"/>
    <w:rsid w:val="00FD419A"/>
    <w:rsid w:val="00FD4781"/>
    <w:rsid w:val="00FD4AC1"/>
    <w:rsid w:val="00FD50A1"/>
    <w:rsid w:val="00FD5952"/>
    <w:rsid w:val="00FD5A66"/>
    <w:rsid w:val="00FD5B12"/>
    <w:rsid w:val="00FD5BD9"/>
    <w:rsid w:val="00FD5C91"/>
    <w:rsid w:val="00FD5FE8"/>
    <w:rsid w:val="00FD6158"/>
    <w:rsid w:val="00FD6378"/>
    <w:rsid w:val="00FD64CD"/>
    <w:rsid w:val="00FD64EF"/>
    <w:rsid w:val="00FD6936"/>
    <w:rsid w:val="00FD6995"/>
    <w:rsid w:val="00FD6AEC"/>
    <w:rsid w:val="00FD6E02"/>
    <w:rsid w:val="00FD6F27"/>
    <w:rsid w:val="00FD7360"/>
    <w:rsid w:val="00FD74B4"/>
    <w:rsid w:val="00FD74C1"/>
    <w:rsid w:val="00FD760B"/>
    <w:rsid w:val="00FE046E"/>
    <w:rsid w:val="00FE04E6"/>
    <w:rsid w:val="00FE0AF7"/>
    <w:rsid w:val="00FE0C4F"/>
    <w:rsid w:val="00FE0FCC"/>
    <w:rsid w:val="00FE11BF"/>
    <w:rsid w:val="00FE1BE9"/>
    <w:rsid w:val="00FE1ED3"/>
    <w:rsid w:val="00FE23EA"/>
    <w:rsid w:val="00FE289B"/>
    <w:rsid w:val="00FE2EFC"/>
    <w:rsid w:val="00FE30CB"/>
    <w:rsid w:val="00FE3657"/>
    <w:rsid w:val="00FE3C4C"/>
    <w:rsid w:val="00FE4060"/>
    <w:rsid w:val="00FE44A1"/>
    <w:rsid w:val="00FE496A"/>
    <w:rsid w:val="00FE5253"/>
    <w:rsid w:val="00FE52B3"/>
    <w:rsid w:val="00FE5714"/>
    <w:rsid w:val="00FE5951"/>
    <w:rsid w:val="00FE599E"/>
    <w:rsid w:val="00FE5CA1"/>
    <w:rsid w:val="00FE5DC4"/>
    <w:rsid w:val="00FE5F7F"/>
    <w:rsid w:val="00FE5FDF"/>
    <w:rsid w:val="00FE69FF"/>
    <w:rsid w:val="00FE6E04"/>
    <w:rsid w:val="00FE703E"/>
    <w:rsid w:val="00FE74E5"/>
    <w:rsid w:val="00FE7739"/>
    <w:rsid w:val="00FE7751"/>
    <w:rsid w:val="00FE786B"/>
    <w:rsid w:val="00FE7873"/>
    <w:rsid w:val="00FE78D7"/>
    <w:rsid w:val="00FE7FB0"/>
    <w:rsid w:val="00FF0189"/>
    <w:rsid w:val="00FF0472"/>
    <w:rsid w:val="00FF07A5"/>
    <w:rsid w:val="00FF09A3"/>
    <w:rsid w:val="00FF0EA1"/>
    <w:rsid w:val="00FF1205"/>
    <w:rsid w:val="00FF1911"/>
    <w:rsid w:val="00FF1939"/>
    <w:rsid w:val="00FF1A1E"/>
    <w:rsid w:val="00FF20FC"/>
    <w:rsid w:val="00FF23BB"/>
    <w:rsid w:val="00FF27CD"/>
    <w:rsid w:val="00FF2A89"/>
    <w:rsid w:val="00FF2B85"/>
    <w:rsid w:val="00FF34DE"/>
    <w:rsid w:val="00FF355E"/>
    <w:rsid w:val="00FF3866"/>
    <w:rsid w:val="00FF3930"/>
    <w:rsid w:val="00FF3ED6"/>
    <w:rsid w:val="00FF43CC"/>
    <w:rsid w:val="00FF4405"/>
    <w:rsid w:val="00FF4831"/>
    <w:rsid w:val="00FF540E"/>
    <w:rsid w:val="00FF545A"/>
    <w:rsid w:val="00FF54C8"/>
    <w:rsid w:val="00FF559A"/>
    <w:rsid w:val="00FF57D0"/>
    <w:rsid w:val="00FF5BEA"/>
    <w:rsid w:val="00FF6417"/>
    <w:rsid w:val="00FF666A"/>
    <w:rsid w:val="00FF699B"/>
    <w:rsid w:val="00FF69D9"/>
    <w:rsid w:val="00FF6A09"/>
    <w:rsid w:val="00FF6FC4"/>
    <w:rsid w:val="00FF7102"/>
    <w:rsid w:val="00FF71E1"/>
    <w:rsid w:val="00FF73CA"/>
    <w:rsid w:val="00FF7467"/>
    <w:rsid w:val="00FF78B4"/>
    <w:rsid w:val="00FF79D8"/>
    <w:rsid w:val="00FF79FF"/>
    <w:rsid w:val="00FF7D4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14:docId w14:val="40E854AE"/>
  <w15:docId w15:val="{35DEF9B0-608F-4754-A9D3-B43EF97B1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35B3"/>
    <w:rPr>
      <w:rFonts w:asciiTheme="minorHAnsi" w:hAnsiTheme="minorHAnsi"/>
      <w:lang w:val="es-ES_tradnl" w:eastAsia="es-ES"/>
    </w:rPr>
  </w:style>
  <w:style w:type="paragraph" w:styleId="Ttulo1">
    <w:name w:val="heading 1"/>
    <w:aliases w:val="h:1,h:1app,H1,H11,Level 1,app heading 1,l1,h1,ITT t1,PA Chapter,Section Head,II+,I,Chapter Heading,1,Title1,H12,H111,H13,H112,H14,H113,H15,H114,H16,H115,H17,H116,H18,H117,H19,H118,H110,H119,H120,H1110,H121,H1111,H131,H1121,H141,H1131,H151,11,R1"/>
    <w:basedOn w:val="Normal"/>
    <w:next w:val="Normal"/>
    <w:link w:val="Ttulo1Car"/>
    <w:autoRedefine/>
    <w:uiPriority w:val="9"/>
    <w:qFormat/>
    <w:rsid w:val="00EC75F1"/>
    <w:pPr>
      <w:keepNext/>
      <w:tabs>
        <w:tab w:val="left" w:pos="284"/>
      </w:tabs>
      <w:spacing w:before="120" w:after="200" w:line="276" w:lineRule="auto"/>
      <w:jc w:val="both"/>
      <w:outlineLvl w:val="0"/>
    </w:pPr>
    <w:rPr>
      <w:rFonts w:ascii="ITC Avant Garde" w:hAnsi="ITC Avant Garde"/>
      <w:b/>
      <w:sz w:val="22"/>
      <w:szCs w:val="22"/>
    </w:rPr>
  </w:style>
  <w:style w:type="paragraph" w:styleId="Ttulo2">
    <w:name w:val="heading 2"/>
    <w:aliases w:val="h:2,h:2app,orderpara1,H2,H21,título 2,Level 2,heading 2+ Indent: Left 0.25 in,Head2A,2,Titre 2 ALD,Fab-2,h2,Level2,Titre 2 OD,Header 2,l2,h21,21,Header 21,l21,h22,22,Header 22,l22,h23,23,Header 23,l23,h24,24,Header 24,l24,h25,25,Header 25,l25,R"/>
    <w:basedOn w:val="Normal"/>
    <w:next w:val="Normal"/>
    <w:link w:val="Ttulo2Car"/>
    <w:uiPriority w:val="9"/>
    <w:qFormat/>
    <w:rsid w:val="00537590"/>
    <w:pPr>
      <w:keepNext/>
      <w:spacing w:before="240" w:after="60"/>
      <w:jc w:val="both"/>
      <w:outlineLvl w:val="1"/>
    </w:pPr>
    <w:rPr>
      <w:b/>
      <w:lang w:val="es-ES"/>
    </w:rPr>
  </w:style>
  <w:style w:type="paragraph" w:styleId="Ttulo3">
    <w:name w:val="heading 3"/>
    <w:aliases w:val="h:3,h,3,orderpara2,H3,l3,31,l31,32,l32,33,l33,34,l34,35,l35,36,l36,37,l37,38,l38,39,l39,310,l310,311,l311,321,l321,331,l331,341,l341,351,l351,361,l361,371,l371,312,l312,322,l322,332,l332,342,l342,352,l352,362,l362,372,l372,313,l313,323,l323,E"/>
    <w:basedOn w:val="Normal"/>
    <w:next w:val="Normal"/>
    <w:link w:val="Ttulo3Car"/>
    <w:uiPriority w:val="9"/>
    <w:qFormat/>
    <w:rsid w:val="00537590"/>
    <w:pPr>
      <w:keepNext/>
      <w:spacing w:before="240" w:after="60"/>
      <w:outlineLvl w:val="2"/>
    </w:pPr>
    <w:rPr>
      <w:b/>
      <w:i/>
      <w:lang w:val="es-MX"/>
    </w:rPr>
  </w:style>
  <w:style w:type="paragraph" w:styleId="Ttulo4">
    <w:name w:val="heading 4"/>
    <w:aliases w:val="h:4,h4,heading 4 + Indent: Left 0.5 in,a.,Map Title,ITT t4,PA Micro Section,I4,4,l4,heading,heading4,Title4,Header 4,H4-Heading 4,H4,le4,heading 4 + Indent: Left 0.25 in,1.1.1.1,T4,l4+toc4,Normal4,E4,Heading Four,C Head,Heading 4.,Numbered List"/>
    <w:basedOn w:val="Normal"/>
    <w:next w:val="Normal"/>
    <w:link w:val="Ttulo4Car"/>
    <w:uiPriority w:val="9"/>
    <w:qFormat/>
    <w:rsid w:val="00537590"/>
    <w:pPr>
      <w:keepNext/>
      <w:spacing w:before="240" w:after="60"/>
      <w:jc w:val="both"/>
      <w:outlineLvl w:val="3"/>
    </w:pPr>
  </w:style>
  <w:style w:type="paragraph" w:styleId="Ttulo5">
    <w:name w:val="heading 5"/>
    <w:aliases w:val="ITT t5,PA Pico Section,Roman list,5,Level 5,Header 5,H5-Heading 5,h5,H5,le5,l5,Heading5,heading5,H51,51,H5-Heading 51,h51,Heading51,l51,heading51,H52,52,H5-Heading 52,h52,Heading52,l52,heading52,H53,53,H5-Heading 53,h53,Heading53,l53,heading53"/>
    <w:basedOn w:val="Normal"/>
    <w:next w:val="Normal"/>
    <w:link w:val="Ttulo5Car"/>
    <w:uiPriority w:val="9"/>
    <w:qFormat/>
    <w:rsid w:val="00537590"/>
    <w:pPr>
      <w:spacing w:before="240" w:after="60"/>
      <w:jc w:val="both"/>
      <w:outlineLvl w:val="4"/>
    </w:pPr>
    <w:rPr>
      <w:sz w:val="22"/>
    </w:rPr>
  </w:style>
  <w:style w:type="paragraph" w:styleId="Ttulo6">
    <w:name w:val="heading 6"/>
    <w:aliases w:val="ITT t6,PA Appendix,Bullet list,6,Level 6,Header 6,h6,Requirement,61,h61,Requirement1,62,h62,Requirement2,611,h611,Requirement11,63,h63,Requirement3,612,h612,Requirement12,64,h64,Requirement4,613,h613,Requirement13,65,h65,Requirement5,614,h614,H"/>
    <w:basedOn w:val="Normal"/>
    <w:next w:val="Normal"/>
    <w:link w:val="Ttulo6Car"/>
    <w:uiPriority w:val="9"/>
    <w:qFormat/>
    <w:rsid w:val="00537590"/>
    <w:pPr>
      <w:spacing w:before="240" w:after="60"/>
      <w:jc w:val="both"/>
      <w:outlineLvl w:val="5"/>
    </w:pPr>
    <w:rPr>
      <w:i/>
      <w:sz w:val="22"/>
    </w:rPr>
  </w:style>
  <w:style w:type="paragraph" w:styleId="Ttulo7">
    <w:name w:val="heading 7"/>
    <w:aliases w:val="ITT t7,PA Appendix Major,letter list,7,req3,Header 7,Objective,ExhibitTitle,st,h7,Appendix3,lettered list"/>
    <w:basedOn w:val="Normal"/>
    <w:next w:val="Normal"/>
    <w:link w:val="Ttulo7Car"/>
    <w:uiPriority w:val="9"/>
    <w:qFormat/>
    <w:rsid w:val="00537590"/>
    <w:pPr>
      <w:spacing w:before="240" w:after="60"/>
      <w:jc w:val="both"/>
      <w:outlineLvl w:val="6"/>
    </w:pPr>
  </w:style>
  <w:style w:type="paragraph" w:styleId="Ttulo8">
    <w:name w:val="heading 8"/>
    <w:aliases w:val="ITT t8,PA Appendix Minor,action,8,r,requirement,req2,Reference List,Condition,FigureTitle,h8,Appendix1,Appendix11,ft,figure title,Annex,Heading 8 Char,Heading 8 Char1 Char,Heading 8 Char Char Char,Annex Char Char Char,Annex Char1 Char,Annex Cha"/>
    <w:basedOn w:val="Normal"/>
    <w:next w:val="Normal"/>
    <w:link w:val="Ttulo8Car"/>
    <w:uiPriority w:val="9"/>
    <w:qFormat/>
    <w:rsid w:val="00537590"/>
    <w:pPr>
      <w:spacing w:before="240" w:after="60"/>
      <w:jc w:val="both"/>
      <w:outlineLvl w:val="7"/>
    </w:pPr>
    <w:rPr>
      <w:i/>
    </w:rPr>
  </w:style>
  <w:style w:type="paragraph" w:styleId="Ttulo9">
    <w:name w:val="heading 9"/>
    <w:aliases w:val="ITT t9,progress,App Heading,Titre 10,9,rb,req bullet,req1,Cond'l Reqt.,TableTitle,tt,h9,Appendix2,Appendix21,table title"/>
    <w:basedOn w:val="Normal"/>
    <w:next w:val="Normal"/>
    <w:link w:val="Ttulo9Car"/>
    <w:uiPriority w:val="9"/>
    <w:qFormat/>
    <w:rsid w:val="00537590"/>
    <w:pPr>
      <w:spacing w:before="240" w:after="60"/>
      <w:jc w:val="both"/>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1 Car,h:1app Car,H1 Car,H11 Car,Level 1 Car,app heading 1 Car,l1 Car,h1 Car,ITT t1 Car,PA Chapter Car,Section Head Car,II+ Car,I Car,Chapter Heading Car,1 Car,Title1 Car,H12 Car,H111 Car,H13 Car,H112 Car,H14 Car,H113 Car,H15 Car,H114 Car"/>
    <w:basedOn w:val="Fuentedeprrafopredeter"/>
    <w:link w:val="Ttulo1"/>
    <w:uiPriority w:val="9"/>
    <w:locked/>
    <w:rsid w:val="00210768"/>
    <w:rPr>
      <w:rFonts w:ascii="ITC Avant Garde" w:hAnsi="ITC Avant Garde"/>
      <w:b/>
      <w:sz w:val="22"/>
      <w:szCs w:val="22"/>
      <w:lang w:val="es-ES_tradnl" w:eastAsia="es-ES"/>
    </w:rPr>
  </w:style>
  <w:style w:type="character" w:customStyle="1" w:styleId="Ttulo2Car">
    <w:name w:val="Título 2 Car"/>
    <w:aliases w:val="h:2 Car,h:2app Car,orderpara1 Car,H2 Car,H21 Car,título 2 Car,Level 2 Car,heading 2+ Indent: Left 0.25 in Car,Head2A Car,2 Car,Titre 2 ALD Car,Fab-2 Car,h2 Car,Level2 Car,Titre 2 OD Car,Header 2 Car,l2 Car,h21 Car,21 Car,Header 21 Car,R Car"/>
    <w:basedOn w:val="Fuentedeprrafopredeter"/>
    <w:link w:val="Ttulo2"/>
    <w:uiPriority w:val="9"/>
    <w:locked/>
    <w:rsid w:val="00537590"/>
    <w:rPr>
      <w:b/>
      <w:lang w:val="es-ES" w:eastAsia="es-ES"/>
    </w:rPr>
  </w:style>
  <w:style w:type="character" w:customStyle="1" w:styleId="Ttulo3Car">
    <w:name w:val="Título 3 Car"/>
    <w:aliases w:val="h:3 Car,h Car,3 Car,orderpara2 Car,H3 Car,l3 Car,31 Car,l31 Car,32 Car,l32 Car,33 Car,l33 Car,34 Car,l34 Car,35 Car,l35 Car,36 Car,l36 Car,37 Car,l37 Car,38 Car,l38 Car,39 Car,l39 Car,310 Car,l310 Car,311 Car,l311 Car,321 Car,l321 Car,E Car"/>
    <w:basedOn w:val="Fuentedeprrafopredeter"/>
    <w:link w:val="Ttulo3"/>
    <w:uiPriority w:val="9"/>
    <w:locked/>
    <w:rsid w:val="00537590"/>
    <w:rPr>
      <w:b/>
      <w:i/>
      <w:lang w:eastAsia="es-ES"/>
    </w:rPr>
  </w:style>
  <w:style w:type="character" w:customStyle="1" w:styleId="Ttulo4Car">
    <w:name w:val="Título 4 Car"/>
    <w:aliases w:val="h:4 Car,h4 Car,heading 4 + Indent: Left 0.5 in Car,a. Car,Map Title Car,ITT t4 Car,PA Micro Section Car,I4 Car,4 Car,l4 Car,heading Car,heading4 Car,Title4 Car,Header 4 Car,H4-Heading 4 Car,H4 Car,le4 Car,1.1.1.1 Car,T4 Car,l4+toc4 Car"/>
    <w:basedOn w:val="Fuentedeprrafopredeter"/>
    <w:link w:val="Ttulo4"/>
    <w:uiPriority w:val="9"/>
    <w:locked/>
    <w:rsid w:val="00537590"/>
    <w:rPr>
      <w:lang w:val="es-ES_tradnl" w:eastAsia="es-ES"/>
    </w:rPr>
  </w:style>
  <w:style w:type="character" w:customStyle="1" w:styleId="Heading5Char">
    <w:name w:val="Heading 5 Char"/>
    <w:aliases w:val="ITT t5 Char,PA Pico Section Char,Roman list Char,5 Char,Level 5 Char,Header 5 Char,H5-Heading 5 Char,h5 Char,H5 Char,le5 Char,l5 Char,Heading5 Char,heading5 Char,H51 Char,51 Char,H5-Heading 51 Char,h51 Char,Heading51 Char,l51 Char,52 Char"/>
    <w:basedOn w:val="Fuentedeprrafopredeter"/>
    <w:uiPriority w:val="9"/>
    <w:semiHidden/>
    <w:rsid w:val="00BB1133"/>
    <w:rPr>
      <w:rFonts w:ascii="Calibri" w:eastAsia="Times New Roman" w:hAnsi="Calibri" w:cs="Times New Roman"/>
      <w:b/>
      <w:bCs/>
      <w:i/>
      <w:iCs/>
      <w:sz w:val="26"/>
      <w:szCs w:val="26"/>
      <w:lang w:val="es-ES_tradnl" w:eastAsia="es-ES"/>
    </w:rPr>
  </w:style>
  <w:style w:type="character" w:customStyle="1" w:styleId="Heading6Char">
    <w:name w:val="Heading 6 Char"/>
    <w:aliases w:val="ITT t6 Char,PA Appendix Char,Bullet list Char,6 Char,Level 6 Char,Header 6 Char,h6 Char,Requirement Char,61 Char,h61 Char,Requirement1 Char,62 Char,h62 Char,Requirement2 Char,611 Char,h611 Char,Requirement11 Char,63 Char,h63 Char,612 Char"/>
    <w:basedOn w:val="Fuentedeprrafopredeter"/>
    <w:uiPriority w:val="9"/>
    <w:semiHidden/>
    <w:rsid w:val="00BB1133"/>
    <w:rPr>
      <w:rFonts w:ascii="Calibri" w:eastAsia="Times New Roman" w:hAnsi="Calibri" w:cs="Times New Roman"/>
      <w:b/>
      <w:bCs/>
      <w:lang w:val="es-ES_tradnl" w:eastAsia="es-ES"/>
    </w:rPr>
  </w:style>
  <w:style w:type="character" w:customStyle="1" w:styleId="Ttulo7Car">
    <w:name w:val="Título 7 Car"/>
    <w:aliases w:val="ITT t7 Car,PA Appendix Major Car,letter list Car,7 Car,req3 Car,Header 7 Car,Objective Car,ExhibitTitle Car,st Car,h7 Car,Appendix3 Car,lettered list Car"/>
    <w:basedOn w:val="Fuentedeprrafopredeter"/>
    <w:link w:val="Ttulo7"/>
    <w:uiPriority w:val="9"/>
    <w:locked/>
    <w:rsid w:val="00537590"/>
    <w:rPr>
      <w:lang w:val="es-ES_tradnl" w:eastAsia="es-ES"/>
    </w:rPr>
  </w:style>
  <w:style w:type="character" w:customStyle="1" w:styleId="Ttulo8Car">
    <w:name w:val="Título 8 Car"/>
    <w:aliases w:val="ITT t8 Car,PA Appendix Minor Car,action Car,8 Car,r Car,requirement Car,req2 Car,Reference List Car,Condition Car,FigureTitle Car,h8 Car1,Appendix1 Car1,Appendix11 Car1,ft Car1,figure title Car1,Annex Car1,Heading 8 Char Car1,Annex Cha Car"/>
    <w:basedOn w:val="Fuentedeprrafopredeter"/>
    <w:link w:val="Ttulo8"/>
    <w:uiPriority w:val="9"/>
    <w:locked/>
    <w:rsid w:val="00537590"/>
    <w:rPr>
      <w:i/>
      <w:lang w:val="es-ES_tradnl" w:eastAsia="es-ES"/>
    </w:rPr>
  </w:style>
  <w:style w:type="character" w:customStyle="1" w:styleId="Ttulo9Car">
    <w:name w:val="Título 9 Car"/>
    <w:aliases w:val="ITT t9 Car,progress Car,App Heading Car,Titre 10 Car,9 Car,rb Car,req bullet Car,req1 Car,Cond'l Reqt. Car,TableTitle Car,tt Car1,h9 Car1,Appendix2 Car1,Appendix21 Car1,table title Car"/>
    <w:basedOn w:val="Fuentedeprrafopredeter"/>
    <w:link w:val="Ttulo9"/>
    <w:uiPriority w:val="9"/>
    <w:locked/>
    <w:rsid w:val="00537590"/>
    <w:rPr>
      <w:b/>
      <w:i/>
      <w:sz w:val="18"/>
      <w:lang w:val="es-ES_tradnl" w:eastAsia="es-ES"/>
    </w:rPr>
  </w:style>
  <w:style w:type="character" w:customStyle="1" w:styleId="Heading5Char5">
    <w:name w:val="Heading 5 Char5"/>
    <w:aliases w:val="ITT t5 Char3,PA Pico Section Char3,Roman list Char3,5 Char5,Level 5 Char3,Header 5 Char3,H5-Heading 5 Char5,h5 Char5,H5 Char5,le5 Char3,l5 Char5,Heading5 Char5,heading5 Char5,H51 Char5,51 Char5,H5-Heading 51 Char5,h51 Char5,l51 Char5"/>
    <w:basedOn w:val="Fuentedeprrafopredeter"/>
    <w:uiPriority w:val="99"/>
    <w:semiHidden/>
    <w:locked/>
    <w:rsid w:val="00AC4926"/>
    <w:rPr>
      <w:rFonts w:ascii="Calibri" w:hAnsi="Calibri" w:cs="Times New Roman"/>
      <w:b/>
      <w:bCs/>
      <w:i/>
      <w:iCs/>
      <w:sz w:val="26"/>
      <w:szCs w:val="26"/>
      <w:lang w:val="es-ES_tradnl" w:eastAsia="es-ES"/>
    </w:rPr>
  </w:style>
  <w:style w:type="character" w:customStyle="1" w:styleId="Heading6Char3">
    <w:name w:val="Heading 6 Char3"/>
    <w:aliases w:val="ITT t6 Char3,PA Appendix Char3,Bullet list Char3,6 Char3,Level 6 Char3,Header 6 Char3,h6 Char3,Requirement Char3,61 Char3,h61 Char3,Requirement1 Char3,62 Char3,h62 Char3,Requirement2 Char3,611 Char3,h611 Char3,Requirement11 Char3,612 Cha"/>
    <w:basedOn w:val="Fuentedeprrafopredeter"/>
    <w:uiPriority w:val="99"/>
    <w:semiHidden/>
    <w:locked/>
    <w:rsid w:val="00AC4926"/>
    <w:rPr>
      <w:rFonts w:ascii="Calibri" w:hAnsi="Calibri" w:cs="Times New Roman"/>
      <w:b/>
      <w:bCs/>
      <w:lang w:val="es-ES_tradnl" w:eastAsia="es-ES"/>
    </w:rPr>
  </w:style>
  <w:style w:type="character" w:customStyle="1" w:styleId="Heading5Char4">
    <w:name w:val="Heading 5 Char4"/>
    <w:aliases w:val="ITT t5 Char2,PA Pico Section Char2,Roman list Char2,5 Char4,Level 5 Char2,Header 5 Char2,H5-Heading 5 Char4,h5 Char4,H5 Char4,le5 Char2,l5 Char4,Heading5 Char4,heading5 Char4,H51 Char4,51 Char4,H5-Heading 51 Char4,h51 Char4,l51 Char4"/>
    <w:basedOn w:val="Fuentedeprrafopredeter"/>
    <w:uiPriority w:val="99"/>
    <w:semiHidden/>
    <w:locked/>
    <w:rsid w:val="00236D27"/>
    <w:rPr>
      <w:rFonts w:ascii="Calibri" w:hAnsi="Calibri" w:cs="Times New Roman"/>
      <w:b/>
      <w:bCs/>
      <w:i/>
      <w:iCs/>
      <w:sz w:val="26"/>
      <w:szCs w:val="26"/>
      <w:lang w:val="es-ES_tradnl" w:eastAsia="es-ES"/>
    </w:rPr>
  </w:style>
  <w:style w:type="character" w:customStyle="1" w:styleId="Heading6Char2">
    <w:name w:val="Heading 6 Char2"/>
    <w:aliases w:val="ITT t6 Char2,PA Appendix Char2,Bullet list Char2,6 Char2,Level 6 Char2,Header 6 Char2,h6 Char2,Requirement Char2,61 Char2,h61 Char2,Requirement1 Char2,62 Char2,h62 Char2,Requirement2 Char2,611 Char2,h611 Char2,Requirement11 Char2,612 Ch"/>
    <w:basedOn w:val="Fuentedeprrafopredeter"/>
    <w:uiPriority w:val="99"/>
    <w:semiHidden/>
    <w:locked/>
    <w:rsid w:val="00236D27"/>
    <w:rPr>
      <w:rFonts w:ascii="Calibri" w:hAnsi="Calibri" w:cs="Times New Roman"/>
      <w:b/>
      <w:bCs/>
      <w:lang w:val="es-ES_tradnl" w:eastAsia="es-ES"/>
    </w:rPr>
  </w:style>
  <w:style w:type="character" w:customStyle="1" w:styleId="Ttulo5Car">
    <w:name w:val="Título 5 Car"/>
    <w:aliases w:val="ITT t5 Car,PA Pico Section Car,Roman list Car,5 Car,Level 5 Car,Header 5 Car,H5-Heading 5 Car,h5 Car,H5 Car,le5 Car,l5 Car,Heading5 Car,heading5 Car,H51 Car,51 Car,H5-Heading 51 Car,h51 Car,Heading51 Car,l51 Car,heading51 Car,H52 Car,52 Car"/>
    <w:basedOn w:val="Fuentedeprrafopredeter"/>
    <w:link w:val="Ttulo5"/>
    <w:uiPriority w:val="9"/>
    <w:locked/>
    <w:rsid w:val="00537590"/>
    <w:rPr>
      <w:sz w:val="22"/>
      <w:lang w:val="es-ES_tradnl" w:eastAsia="es-ES"/>
    </w:rPr>
  </w:style>
  <w:style w:type="character" w:customStyle="1" w:styleId="Ttulo6Car">
    <w:name w:val="Título 6 Car"/>
    <w:aliases w:val="ITT t6 Car,PA Appendix Car,Bullet list Car,6 Car,Level 6 Car,Header 6 Car,h6 Car,Requirement Car,61 Car,h61 Car,Requirement1 Car,62 Car,h62 Car,Requirement2 Car,611 Car,h611 Car,Requirement11 Car,63 Car,h63 Car,Requirement3 Car,612 Car"/>
    <w:basedOn w:val="Fuentedeprrafopredeter"/>
    <w:link w:val="Ttulo6"/>
    <w:uiPriority w:val="9"/>
    <w:locked/>
    <w:rsid w:val="00537590"/>
    <w:rPr>
      <w:i/>
      <w:sz w:val="22"/>
      <w:lang w:val="es-ES_tradnl" w:eastAsia="es-ES"/>
    </w:rPr>
  </w:style>
  <w:style w:type="paragraph" w:styleId="Encabezado">
    <w:name w:val="header"/>
    <w:aliases w:val="Header/Footer,header odd,header odd1,header odd2,header odd3,header odd4,header odd5,header odd6,encabezado"/>
    <w:basedOn w:val="Normal"/>
    <w:link w:val="EncabezadoCar"/>
    <w:uiPriority w:val="99"/>
    <w:rsid w:val="00537590"/>
    <w:pPr>
      <w:tabs>
        <w:tab w:val="center" w:pos="4252"/>
        <w:tab w:val="right" w:pos="8504"/>
      </w:tabs>
    </w:pPr>
  </w:style>
  <w:style w:type="character" w:customStyle="1" w:styleId="EncabezadoCar">
    <w:name w:val="Encabezado Car"/>
    <w:aliases w:val="Header/Footer Car,header odd Car,header odd1 Car,header odd2 Car,header odd3 Car,header odd4 Car,header odd5 Car,header odd6 Car,encabezado Car"/>
    <w:basedOn w:val="Fuentedeprrafopredeter"/>
    <w:link w:val="Encabezado"/>
    <w:uiPriority w:val="99"/>
    <w:locked/>
    <w:rsid w:val="00AD64F4"/>
    <w:rPr>
      <w:rFonts w:ascii="Arial" w:hAnsi="Arial" w:cs="Times New Roman"/>
      <w:lang w:val="es-ES_tradnl" w:eastAsia="es-ES"/>
    </w:rPr>
  </w:style>
  <w:style w:type="paragraph" w:customStyle="1" w:styleId="EstiloRequeridoIzquierda063cmPrimeralnea0cm">
    <w:name w:val="Estilo Requerido + Izquierda:  0.63 cm Primera línea:  0 cm"/>
    <w:basedOn w:val="Normal"/>
    <w:link w:val="EstiloRequeridoIzquierda063cmPrimeralnea0cmCar"/>
    <w:uiPriority w:val="99"/>
    <w:rsid w:val="001C53E6"/>
    <w:pPr>
      <w:numPr>
        <w:numId w:val="3"/>
      </w:numPr>
      <w:spacing w:before="120" w:after="120"/>
      <w:jc w:val="both"/>
    </w:pPr>
    <w:rPr>
      <w:b/>
      <w:bCs/>
      <w:sz w:val="20"/>
    </w:rPr>
  </w:style>
  <w:style w:type="paragraph" w:styleId="Piedepgina">
    <w:name w:val="footer"/>
    <w:basedOn w:val="Normal"/>
    <w:link w:val="PiedepginaCar"/>
    <w:uiPriority w:val="99"/>
    <w:rsid w:val="00537590"/>
    <w:pPr>
      <w:tabs>
        <w:tab w:val="center" w:pos="4252"/>
        <w:tab w:val="right" w:pos="8504"/>
      </w:tabs>
    </w:pPr>
  </w:style>
  <w:style w:type="character" w:customStyle="1" w:styleId="PiedepginaCar">
    <w:name w:val="Pie de página Car"/>
    <w:basedOn w:val="Fuentedeprrafopredeter"/>
    <w:link w:val="Piedepgina"/>
    <w:uiPriority w:val="99"/>
    <w:locked/>
    <w:rsid w:val="00537590"/>
    <w:rPr>
      <w:rFonts w:ascii="Arial" w:hAnsi="Arial" w:cs="Times New Roman"/>
      <w:lang w:val="es-ES_tradnl"/>
    </w:rPr>
  </w:style>
  <w:style w:type="paragraph" w:customStyle="1" w:styleId="claveesp">
    <w:name w:val="clave esp"/>
    <w:basedOn w:val="Normal"/>
    <w:uiPriority w:val="99"/>
    <w:rsid w:val="00537590"/>
    <w:pPr>
      <w:tabs>
        <w:tab w:val="center" w:pos="4252"/>
        <w:tab w:val="right" w:pos="8504"/>
        <w:tab w:val="left" w:pos="9498"/>
      </w:tabs>
      <w:ind w:right="67"/>
      <w:jc w:val="right"/>
    </w:pPr>
    <w:rPr>
      <w:rFonts w:ascii="Courier New" w:hAnsi="Courier New"/>
    </w:rPr>
  </w:style>
  <w:style w:type="paragraph" w:customStyle="1" w:styleId="pieizq">
    <w:name w:val="pie izq"/>
    <w:basedOn w:val="Normal"/>
    <w:uiPriority w:val="99"/>
    <w:rsid w:val="00537590"/>
    <w:pPr>
      <w:tabs>
        <w:tab w:val="center" w:pos="4252"/>
        <w:tab w:val="right" w:pos="8504"/>
        <w:tab w:val="left" w:pos="9498"/>
      </w:tabs>
      <w:ind w:left="4252" w:right="-115" w:hanging="4252"/>
    </w:pPr>
    <w:rPr>
      <w:b/>
      <w:sz w:val="28"/>
    </w:rPr>
  </w:style>
  <w:style w:type="paragraph" w:customStyle="1" w:styleId="pienum">
    <w:name w:val="pie num."/>
    <w:basedOn w:val="Normal"/>
    <w:uiPriority w:val="99"/>
    <w:rsid w:val="00537590"/>
    <w:pPr>
      <w:tabs>
        <w:tab w:val="center" w:pos="4252"/>
        <w:tab w:val="right" w:pos="8504"/>
        <w:tab w:val="left" w:pos="9498"/>
      </w:tabs>
      <w:ind w:left="4252" w:right="-115" w:hanging="4252"/>
      <w:jc w:val="right"/>
    </w:pPr>
    <w:rPr>
      <w:rFonts w:ascii="Courier New" w:hAnsi="Courier New"/>
    </w:rPr>
  </w:style>
  <w:style w:type="paragraph" w:styleId="Textoindependiente">
    <w:name w:val="Body Text"/>
    <w:aliases w:val="Texto independiente Car,ändrad Car,Body3 Car,bt Car,BO Car,ID Car,body text Car,??2 Car,AvtalBrödtext Car,EHPT Car,Body Text2 Car,Bodytext Car,Body Text level 1 Car,Response Car,à¹×éÍàÃ×èÍ§ Car,AvtalBrodtext Car,à¹ Car,bt"/>
    <w:basedOn w:val="Normal"/>
    <w:link w:val="TextoindependienteCar1"/>
    <w:uiPriority w:val="99"/>
    <w:rsid w:val="00537590"/>
    <w:pPr>
      <w:jc w:val="center"/>
    </w:pPr>
    <w:rPr>
      <w:b/>
      <w:bCs/>
      <w:sz w:val="40"/>
      <w:lang w:val="es-MX"/>
    </w:rPr>
  </w:style>
  <w:style w:type="character" w:customStyle="1" w:styleId="BodyTextChar">
    <w:name w:val="Body Text Char"/>
    <w:aliases w:val="Texto independiente Car Char,ändrad Car Char,Body3 Car Char,bt Car Char,BO Car Char,ID Car Char,body text Car Char,??2 Car Char,AvtalBrödtext Car Char,EHPT Car Char,Body Text2 Car Char,Bodytext Car Char,Body Text level 1 Car Char,bt Char"/>
    <w:basedOn w:val="Fuentedeprrafopredeter"/>
    <w:uiPriority w:val="99"/>
    <w:semiHidden/>
    <w:locked/>
    <w:rsid w:val="005A720E"/>
    <w:rPr>
      <w:rFonts w:cs="Times New Roman"/>
      <w:sz w:val="24"/>
      <w:szCs w:val="24"/>
      <w:lang w:val="es-MX"/>
    </w:rPr>
  </w:style>
  <w:style w:type="character" w:customStyle="1" w:styleId="TextoindependienteCar1">
    <w:name w:val="Texto independiente Car1"/>
    <w:aliases w:val="Texto independiente Car Car1,ändrad Car Car1,Body3 Car Car1,bt Car Car1,BO Car Car1,ID Car Car1,body text Car Car1,??2 Car Car1,AvtalBrödtext Car Car1,EHPT Car Car1,Body Text2 Car Car1,Bodytext Car Car1,Response Car Car1,bt Car1"/>
    <w:basedOn w:val="Fuentedeprrafopredeter"/>
    <w:link w:val="Textoindependiente"/>
    <w:uiPriority w:val="99"/>
    <w:locked/>
    <w:rsid w:val="00537590"/>
    <w:rPr>
      <w:rFonts w:ascii="Arial" w:hAnsi="Arial" w:cs="Times New Roman"/>
      <w:lang w:val="es-ES_tradnl"/>
    </w:rPr>
  </w:style>
  <w:style w:type="paragraph" w:styleId="Textocomentario">
    <w:name w:val="annotation text"/>
    <w:basedOn w:val="Normal"/>
    <w:link w:val="TextocomentarioCar"/>
    <w:uiPriority w:val="99"/>
    <w:rsid w:val="00537590"/>
    <w:pPr>
      <w:tabs>
        <w:tab w:val="left" w:pos="794"/>
        <w:tab w:val="left" w:pos="1191"/>
        <w:tab w:val="left" w:pos="1588"/>
        <w:tab w:val="left" w:pos="1985"/>
      </w:tabs>
      <w:spacing w:before="136"/>
      <w:jc w:val="both"/>
    </w:pPr>
  </w:style>
  <w:style w:type="character" w:customStyle="1" w:styleId="TextocomentarioCar">
    <w:name w:val="Texto comentario Car"/>
    <w:basedOn w:val="Fuentedeprrafopredeter"/>
    <w:link w:val="Textocomentario"/>
    <w:uiPriority w:val="99"/>
    <w:locked/>
    <w:rsid w:val="00537590"/>
    <w:rPr>
      <w:rFonts w:ascii="Arial" w:hAnsi="Arial" w:cs="Times New Roman"/>
      <w:lang w:val="es-ES_tradnl"/>
    </w:rPr>
  </w:style>
  <w:style w:type="paragraph" w:customStyle="1" w:styleId="ITUparnumrot">
    <w:name w:val="ITU par. numéroté"/>
    <w:basedOn w:val="Normal"/>
    <w:uiPriority w:val="99"/>
    <w:rsid w:val="00537590"/>
    <w:pPr>
      <w:keepLines/>
      <w:tabs>
        <w:tab w:val="left" w:pos="624"/>
        <w:tab w:val="left" w:pos="964"/>
      </w:tabs>
      <w:spacing w:before="120"/>
      <w:jc w:val="both"/>
    </w:pPr>
    <w:rPr>
      <w:rFonts w:ascii="Times New Roman" w:hAnsi="Times New Roman"/>
      <w:lang w:eastAsia="en-US"/>
    </w:rPr>
  </w:style>
  <w:style w:type="character" w:customStyle="1" w:styleId="Typewriter">
    <w:name w:val="Typewriter"/>
    <w:uiPriority w:val="99"/>
    <w:rsid w:val="00537590"/>
    <w:rPr>
      <w:rFonts w:ascii="Courier New" w:hAnsi="Courier New"/>
      <w:sz w:val="20"/>
    </w:rPr>
  </w:style>
  <w:style w:type="paragraph" w:customStyle="1" w:styleId="Normalaftertitle">
    <w:name w:val="Normal after title"/>
    <w:basedOn w:val="Normal"/>
    <w:uiPriority w:val="99"/>
    <w:rsid w:val="00537590"/>
    <w:pPr>
      <w:tabs>
        <w:tab w:val="left" w:pos="794"/>
        <w:tab w:val="left" w:pos="1191"/>
        <w:tab w:val="left" w:pos="1588"/>
        <w:tab w:val="left" w:pos="1985"/>
      </w:tabs>
      <w:spacing w:before="480"/>
      <w:jc w:val="both"/>
    </w:pPr>
    <w:rPr>
      <w:lang w:val="es-MX"/>
    </w:rPr>
  </w:style>
  <w:style w:type="paragraph" w:styleId="TDC1">
    <w:name w:val="toc 1"/>
    <w:basedOn w:val="Normal"/>
    <w:next w:val="Normal"/>
    <w:autoRedefine/>
    <w:uiPriority w:val="39"/>
    <w:rsid w:val="00787BAC"/>
    <w:pPr>
      <w:tabs>
        <w:tab w:val="left" w:pos="567"/>
        <w:tab w:val="right" w:leader="dot" w:pos="8789"/>
      </w:tabs>
      <w:spacing w:before="120" w:after="120"/>
    </w:pPr>
    <w:rPr>
      <w:rFonts w:ascii="ITC Avant Garde" w:hAnsi="ITC Avant Garde" w:cs="Arial"/>
      <w:bCs/>
      <w:caps/>
      <w:noProof/>
      <w:sz w:val="18"/>
      <w:szCs w:val="18"/>
    </w:rPr>
  </w:style>
  <w:style w:type="paragraph" w:styleId="TDC2">
    <w:name w:val="toc 2"/>
    <w:basedOn w:val="Normal"/>
    <w:next w:val="Normal"/>
    <w:autoRedefine/>
    <w:uiPriority w:val="39"/>
    <w:rsid w:val="00E16A01"/>
    <w:pPr>
      <w:tabs>
        <w:tab w:val="left" w:pos="800"/>
        <w:tab w:val="right" w:leader="dot" w:pos="8789"/>
      </w:tabs>
      <w:ind w:left="200"/>
    </w:pPr>
    <w:rPr>
      <w:rFonts w:cs="Arial"/>
      <w:b/>
      <w:smallCaps/>
      <w:noProof/>
      <w:sz w:val="22"/>
    </w:rPr>
  </w:style>
  <w:style w:type="paragraph" w:styleId="TDC3">
    <w:name w:val="toc 3"/>
    <w:basedOn w:val="Normal"/>
    <w:next w:val="Normal"/>
    <w:autoRedefine/>
    <w:uiPriority w:val="39"/>
    <w:rsid w:val="00F1562A"/>
    <w:pPr>
      <w:tabs>
        <w:tab w:val="left" w:pos="1200"/>
        <w:tab w:val="right" w:leader="dot" w:pos="9771"/>
      </w:tabs>
      <w:ind w:left="400"/>
    </w:pPr>
    <w:rPr>
      <w:rFonts w:cs="Arial"/>
      <w:i/>
      <w:iCs/>
      <w:noProof/>
    </w:rPr>
  </w:style>
  <w:style w:type="paragraph" w:styleId="TDC4">
    <w:name w:val="toc 4"/>
    <w:basedOn w:val="Normal"/>
    <w:next w:val="Normal"/>
    <w:autoRedefine/>
    <w:uiPriority w:val="39"/>
    <w:rsid w:val="007C752B"/>
    <w:pPr>
      <w:tabs>
        <w:tab w:val="left" w:pos="1400"/>
        <w:tab w:val="right" w:leader="dot" w:pos="9771"/>
      </w:tabs>
      <w:ind w:left="600"/>
    </w:pPr>
    <w:rPr>
      <w:rFonts w:cs="Arial"/>
      <w:i/>
      <w:noProof/>
    </w:rPr>
  </w:style>
  <w:style w:type="paragraph" w:styleId="TDC5">
    <w:name w:val="toc 5"/>
    <w:basedOn w:val="Normal"/>
    <w:next w:val="Normal"/>
    <w:autoRedefine/>
    <w:uiPriority w:val="39"/>
    <w:rsid w:val="00537590"/>
    <w:pPr>
      <w:ind w:left="800"/>
    </w:pPr>
    <w:rPr>
      <w:rFonts w:ascii="Times New Roman" w:hAnsi="Times New Roman"/>
      <w:sz w:val="18"/>
      <w:szCs w:val="18"/>
    </w:rPr>
  </w:style>
  <w:style w:type="paragraph" w:styleId="TDC6">
    <w:name w:val="toc 6"/>
    <w:basedOn w:val="Normal"/>
    <w:next w:val="Normal"/>
    <w:autoRedefine/>
    <w:uiPriority w:val="39"/>
    <w:rsid w:val="00537590"/>
    <w:pPr>
      <w:ind w:left="1000"/>
    </w:pPr>
    <w:rPr>
      <w:rFonts w:ascii="Times New Roman" w:hAnsi="Times New Roman"/>
      <w:sz w:val="18"/>
      <w:szCs w:val="18"/>
    </w:rPr>
  </w:style>
  <w:style w:type="paragraph" w:styleId="TDC7">
    <w:name w:val="toc 7"/>
    <w:basedOn w:val="Normal"/>
    <w:next w:val="Normal"/>
    <w:autoRedefine/>
    <w:uiPriority w:val="39"/>
    <w:rsid w:val="00537590"/>
    <w:pPr>
      <w:ind w:left="1200"/>
    </w:pPr>
    <w:rPr>
      <w:rFonts w:ascii="Times New Roman" w:hAnsi="Times New Roman"/>
      <w:sz w:val="18"/>
      <w:szCs w:val="18"/>
    </w:rPr>
  </w:style>
  <w:style w:type="paragraph" w:styleId="TDC8">
    <w:name w:val="toc 8"/>
    <w:basedOn w:val="Normal"/>
    <w:next w:val="Normal"/>
    <w:autoRedefine/>
    <w:uiPriority w:val="39"/>
    <w:rsid w:val="00537590"/>
    <w:pPr>
      <w:ind w:left="1400"/>
    </w:pPr>
    <w:rPr>
      <w:rFonts w:ascii="Times New Roman" w:hAnsi="Times New Roman"/>
      <w:sz w:val="18"/>
      <w:szCs w:val="18"/>
    </w:rPr>
  </w:style>
  <w:style w:type="paragraph" w:styleId="TDC9">
    <w:name w:val="toc 9"/>
    <w:basedOn w:val="Normal"/>
    <w:next w:val="Normal"/>
    <w:autoRedefine/>
    <w:uiPriority w:val="39"/>
    <w:rsid w:val="00537590"/>
    <w:pPr>
      <w:ind w:left="1600"/>
    </w:pPr>
    <w:rPr>
      <w:rFonts w:ascii="Times New Roman" w:hAnsi="Times New Roman"/>
      <w:sz w:val="18"/>
      <w:szCs w:val="18"/>
    </w:rPr>
  </w:style>
  <w:style w:type="character" w:styleId="Hipervnculo">
    <w:name w:val="Hyperlink"/>
    <w:basedOn w:val="Fuentedeprrafopredeter"/>
    <w:uiPriority w:val="99"/>
    <w:rsid w:val="00537590"/>
    <w:rPr>
      <w:rFonts w:cs="Times New Roman"/>
      <w:color w:val="0000FF"/>
      <w:u w:val="single"/>
    </w:rPr>
  </w:style>
  <w:style w:type="paragraph" w:styleId="HTMLconformatoprevio">
    <w:name w:val="HTML Preformatted"/>
    <w:basedOn w:val="Normal"/>
    <w:link w:val="HTMLconformatoprevioCar"/>
    <w:uiPriority w:val="99"/>
    <w:rsid w:val="005375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Courier New"/>
      <w:lang w:val="es-ES"/>
    </w:rPr>
  </w:style>
  <w:style w:type="character" w:customStyle="1" w:styleId="HTMLconformatoprevioCar">
    <w:name w:val="HTML con formato previo Car"/>
    <w:basedOn w:val="Fuentedeprrafopredeter"/>
    <w:link w:val="HTMLconformatoprevio"/>
    <w:uiPriority w:val="99"/>
    <w:semiHidden/>
    <w:locked/>
    <w:rsid w:val="00537590"/>
    <w:rPr>
      <w:rFonts w:ascii="Courier New" w:hAnsi="Courier New" w:cs="Courier New"/>
      <w:lang w:val="es-ES_tradnl"/>
    </w:rPr>
  </w:style>
  <w:style w:type="paragraph" w:styleId="Sangradetextonormal">
    <w:name w:val="Body Text Indent"/>
    <w:basedOn w:val="Normal"/>
    <w:link w:val="SangradetextonormalCar"/>
    <w:uiPriority w:val="99"/>
    <w:rsid w:val="00537590"/>
    <w:pPr>
      <w:ind w:left="360"/>
    </w:pPr>
    <w:rPr>
      <w:rFonts w:cs="Arial"/>
    </w:rPr>
  </w:style>
  <w:style w:type="character" w:customStyle="1" w:styleId="SangradetextonormalCar">
    <w:name w:val="Sangría de texto normal Car"/>
    <w:basedOn w:val="Fuentedeprrafopredeter"/>
    <w:link w:val="Sangradetextonormal"/>
    <w:uiPriority w:val="99"/>
    <w:locked/>
    <w:rsid w:val="00537590"/>
    <w:rPr>
      <w:rFonts w:ascii="Arial" w:hAnsi="Arial" w:cs="Times New Roman"/>
      <w:lang w:val="es-ES_tradnl"/>
    </w:rPr>
  </w:style>
  <w:style w:type="paragraph" w:styleId="Sangra2detindependiente">
    <w:name w:val="Body Text Indent 2"/>
    <w:basedOn w:val="Normal"/>
    <w:link w:val="Sangra2detindependienteCar"/>
    <w:uiPriority w:val="99"/>
    <w:rsid w:val="00537590"/>
    <w:pPr>
      <w:ind w:left="360"/>
      <w:jc w:val="both"/>
    </w:pPr>
  </w:style>
  <w:style w:type="character" w:customStyle="1" w:styleId="Sangra2detindependienteCar">
    <w:name w:val="Sangría 2 de t. independiente Car"/>
    <w:basedOn w:val="Fuentedeprrafopredeter"/>
    <w:link w:val="Sangra2detindependiente"/>
    <w:uiPriority w:val="99"/>
    <w:semiHidden/>
    <w:locked/>
    <w:rsid w:val="00537590"/>
    <w:rPr>
      <w:rFonts w:ascii="Arial" w:hAnsi="Arial" w:cs="Times New Roman"/>
      <w:lang w:val="es-ES_tradnl"/>
    </w:rPr>
  </w:style>
  <w:style w:type="paragraph" w:styleId="Textodebloque">
    <w:name w:val="Block Text"/>
    <w:basedOn w:val="Normal"/>
    <w:uiPriority w:val="99"/>
    <w:rsid w:val="00537590"/>
    <w:pPr>
      <w:ind w:left="567" w:right="-1"/>
      <w:jc w:val="both"/>
    </w:pPr>
    <w:rPr>
      <w:rFonts w:cs="Arial"/>
    </w:rPr>
  </w:style>
  <w:style w:type="character" w:styleId="Nmerodepgina">
    <w:name w:val="page number"/>
    <w:basedOn w:val="Fuentedeprrafopredeter"/>
    <w:uiPriority w:val="99"/>
    <w:rsid w:val="00537590"/>
    <w:rPr>
      <w:rFonts w:cs="Times New Roman"/>
    </w:rPr>
  </w:style>
  <w:style w:type="paragraph" w:customStyle="1" w:styleId="enumlev1">
    <w:name w:val="enumlev1"/>
    <w:basedOn w:val="Normal"/>
    <w:uiPriority w:val="99"/>
    <w:rsid w:val="00537590"/>
    <w:pPr>
      <w:tabs>
        <w:tab w:val="left" w:pos="794"/>
        <w:tab w:val="left" w:pos="1191"/>
        <w:tab w:val="left" w:pos="1588"/>
        <w:tab w:val="left" w:pos="1985"/>
      </w:tabs>
      <w:spacing w:before="80"/>
      <w:ind w:left="794" w:hanging="794"/>
    </w:pPr>
    <w:rPr>
      <w:rFonts w:ascii="Times New Roman" w:hAnsi="Times New Roman"/>
    </w:rPr>
  </w:style>
  <w:style w:type="paragraph" w:customStyle="1" w:styleId="TableText">
    <w:name w:val="Table_Text"/>
    <w:basedOn w:val="Normal"/>
    <w:uiPriority w:val="99"/>
    <w:rsid w:val="005375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57" w:after="57"/>
      <w:jc w:val="both"/>
    </w:pPr>
  </w:style>
  <w:style w:type="paragraph" w:customStyle="1" w:styleId="TableHead">
    <w:name w:val="Table_Head"/>
    <w:basedOn w:val="TableText"/>
    <w:uiPriority w:val="99"/>
    <w:rsid w:val="00537590"/>
    <w:pPr>
      <w:spacing w:before="113" w:after="113"/>
      <w:jc w:val="center"/>
    </w:pPr>
  </w:style>
  <w:style w:type="character" w:styleId="Hipervnculovisitado">
    <w:name w:val="FollowedHyperlink"/>
    <w:basedOn w:val="Fuentedeprrafopredeter"/>
    <w:uiPriority w:val="99"/>
    <w:rsid w:val="00537590"/>
    <w:rPr>
      <w:rFonts w:cs="Times New Roman"/>
      <w:color w:val="800080"/>
      <w:u w:val="single"/>
    </w:rPr>
  </w:style>
  <w:style w:type="paragraph" w:customStyle="1" w:styleId="Rec">
    <w:name w:val="Rec_#"/>
    <w:basedOn w:val="Normal"/>
    <w:next w:val="Normal"/>
    <w:uiPriority w:val="99"/>
    <w:rsid w:val="00537590"/>
    <w:pPr>
      <w:keepNext/>
      <w:keepLines/>
      <w:tabs>
        <w:tab w:val="center" w:pos="4849"/>
        <w:tab w:val="right" w:pos="9696"/>
      </w:tabs>
      <w:overflowPunct w:val="0"/>
      <w:autoSpaceDE w:val="0"/>
      <w:autoSpaceDN w:val="0"/>
      <w:adjustRightInd w:val="0"/>
      <w:spacing w:before="720"/>
      <w:jc w:val="center"/>
      <w:textAlignment w:val="baseline"/>
    </w:pPr>
    <w:rPr>
      <w:rFonts w:ascii="Times New Roman" w:hAnsi="Times New Roman"/>
      <w:lang w:val="en-GB"/>
    </w:rPr>
  </w:style>
  <w:style w:type="paragraph" w:styleId="Textoindependiente2">
    <w:name w:val="Body Text 2"/>
    <w:basedOn w:val="Normal"/>
    <w:link w:val="Textoindependiente2Car"/>
    <w:uiPriority w:val="99"/>
    <w:rsid w:val="00537590"/>
    <w:pPr>
      <w:jc w:val="both"/>
    </w:pPr>
    <w:rPr>
      <w:color w:val="FF0000"/>
      <w:lang w:val="es-MX"/>
    </w:rPr>
  </w:style>
  <w:style w:type="character" w:customStyle="1" w:styleId="Textoindependiente2Car">
    <w:name w:val="Texto independiente 2 Car"/>
    <w:basedOn w:val="Fuentedeprrafopredeter"/>
    <w:link w:val="Textoindependiente2"/>
    <w:uiPriority w:val="99"/>
    <w:semiHidden/>
    <w:locked/>
    <w:rsid w:val="00537590"/>
    <w:rPr>
      <w:rFonts w:ascii="Arial" w:hAnsi="Arial" w:cs="Times New Roman"/>
      <w:lang w:val="es-ES_tradnl"/>
    </w:rPr>
  </w:style>
  <w:style w:type="paragraph" w:styleId="Textosinformato">
    <w:name w:val="Plain Text"/>
    <w:basedOn w:val="Normal"/>
    <w:link w:val="TextosinformatoCar"/>
    <w:uiPriority w:val="99"/>
    <w:rsid w:val="00537590"/>
    <w:rPr>
      <w:rFonts w:ascii="Courier New" w:hAnsi="Courier New"/>
      <w:lang w:val="es-MX"/>
    </w:rPr>
  </w:style>
  <w:style w:type="character" w:customStyle="1" w:styleId="TextosinformatoCar">
    <w:name w:val="Texto sin formato Car"/>
    <w:basedOn w:val="Fuentedeprrafopredeter"/>
    <w:link w:val="Textosinformato"/>
    <w:uiPriority w:val="99"/>
    <w:semiHidden/>
    <w:locked/>
    <w:rsid w:val="00537590"/>
    <w:rPr>
      <w:rFonts w:ascii="Courier New" w:hAnsi="Courier New" w:cs="Courier New"/>
      <w:lang w:val="es-ES_tradnl"/>
    </w:rPr>
  </w:style>
  <w:style w:type="paragraph" w:styleId="Textoindependiente3">
    <w:name w:val="Body Text 3"/>
    <w:basedOn w:val="Normal"/>
    <w:link w:val="Textoindependiente3Car"/>
    <w:uiPriority w:val="99"/>
    <w:rsid w:val="00537590"/>
    <w:pPr>
      <w:jc w:val="both"/>
    </w:pPr>
    <w:rPr>
      <w:color w:val="FF0000"/>
    </w:rPr>
  </w:style>
  <w:style w:type="character" w:customStyle="1" w:styleId="Textoindependiente3Car">
    <w:name w:val="Texto independiente 3 Car"/>
    <w:basedOn w:val="Fuentedeprrafopredeter"/>
    <w:link w:val="Textoindependiente3"/>
    <w:uiPriority w:val="99"/>
    <w:semiHidden/>
    <w:locked/>
    <w:rsid w:val="00537590"/>
    <w:rPr>
      <w:rFonts w:ascii="Arial" w:hAnsi="Arial" w:cs="Times New Roman"/>
      <w:sz w:val="16"/>
      <w:szCs w:val="16"/>
      <w:lang w:val="es-ES_tradnl"/>
    </w:rPr>
  </w:style>
  <w:style w:type="paragraph" w:customStyle="1" w:styleId="RecTitle">
    <w:name w:val="Rec_Title"/>
    <w:basedOn w:val="Rec"/>
    <w:next w:val="Normal"/>
    <w:uiPriority w:val="99"/>
    <w:rsid w:val="00537590"/>
    <w:pPr>
      <w:spacing w:before="180"/>
    </w:pPr>
    <w:rPr>
      <w:b/>
    </w:rPr>
  </w:style>
  <w:style w:type="paragraph" w:styleId="Sangra3detindependiente">
    <w:name w:val="Body Text Indent 3"/>
    <w:basedOn w:val="Normal"/>
    <w:link w:val="Sangra3detindependienteCar"/>
    <w:uiPriority w:val="99"/>
    <w:rsid w:val="00537590"/>
    <w:pPr>
      <w:ind w:left="708"/>
      <w:jc w:val="both"/>
    </w:pPr>
  </w:style>
  <w:style w:type="character" w:customStyle="1" w:styleId="Sangra3detindependienteCar">
    <w:name w:val="Sangría 3 de t. independiente Car"/>
    <w:basedOn w:val="Fuentedeprrafopredeter"/>
    <w:link w:val="Sangra3detindependiente"/>
    <w:uiPriority w:val="99"/>
    <w:semiHidden/>
    <w:locked/>
    <w:rsid w:val="00537590"/>
    <w:rPr>
      <w:rFonts w:ascii="Arial" w:hAnsi="Arial" w:cs="Times New Roman"/>
      <w:sz w:val="16"/>
      <w:szCs w:val="16"/>
      <w:lang w:val="es-ES_tradnl"/>
    </w:rPr>
  </w:style>
  <w:style w:type="character" w:styleId="Refdecomentario">
    <w:name w:val="annotation reference"/>
    <w:basedOn w:val="Fuentedeprrafopredeter"/>
    <w:uiPriority w:val="99"/>
    <w:rsid w:val="00537590"/>
    <w:rPr>
      <w:rFonts w:cs="Times New Roman"/>
      <w:sz w:val="16"/>
    </w:rPr>
  </w:style>
  <w:style w:type="character" w:styleId="AcrnimoHTML">
    <w:name w:val="HTML Acronym"/>
    <w:basedOn w:val="Fuentedeprrafopredeter"/>
    <w:uiPriority w:val="99"/>
    <w:rsid w:val="00537590"/>
    <w:rPr>
      <w:rFonts w:cs="Times New Roman"/>
    </w:rPr>
  </w:style>
  <w:style w:type="paragraph" w:customStyle="1" w:styleId="NormalBulletLevel2">
    <w:name w:val="Normal Bullet Level 2"/>
    <w:basedOn w:val="Normal"/>
    <w:next w:val="Normal"/>
    <w:uiPriority w:val="99"/>
    <w:rsid w:val="00537590"/>
    <w:pPr>
      <w:numPr>
        <w:numId w:val="1"/>
      </w:numPr>
      <w:tabs>
        <w:tab w:val="clear" w:pos="9000"/>
      </w:tabs>
      <w:spacing w:before="60" w:after="60"/>
      <w:ind w:left="4680"/>
    </w:pPr>
    <w:rPr>
      <w:rFonts w:ascii="Garamond" w:hAnsi="Garamond"/>
      <w:sz w:val="22"/>
      <w:szCs w:val="22"/>
      <w:lang w:val="en-US" w:eastAsia="en-US"/>
    </w:rPr>
  </w:style>
  <w:style w:type="paragraph" w:customStyle="1" w:styleId="NormalBulletChar">
    <w:name w:val="Normal Bullet Char"/>
    <w:basedOn w:val="Normal"/>
    <w:uiPriority w:val="99"/>
    <w:rsid w:val="00537590"/>
    <w:pPr>
      <w:numPr>
        <w:numId w:val="2"/>
      </w:numPr>
      <w:spacing w:before="60" w:after="60"/>
    </w:pPr>
    <w:rPr>
      <w:rFonts w:ascii="Garamond" w:hAnsi="Garamond"/>
      <w:sz w:val="22"/>
      <w:szCs w:val="22"/>
      <w:lang w:val="en-US" w:eastAsia="en-US"/>
    </w:rPr>
  </w:style>
  <w:style w:type="paragraph" w:customStyle="1" w:styleId="AppendixHeading1">
    <w:name w:val="Appendix Heading 1"/>
    <w:basedOn w:val="Normal"/>
    <w:autoRedefine/>
    <w:uiPriority w:val="99"/>
    <w:rsid w:val="00537590"/>
    <w:pPr>
      <w:keepNext/>
      <w:tabs>
        <w:tab w:val="left" w:pos="0"/>
        <w:tab w:val="num" w:pos="648"/>
      </w:tabs>
      <w:spacing w:before="240" w:after="60"/>
      <w:ind w:left="648" w:hanging="1296"/>
      <w:outlineLvl w:val="0"/>
    </w:pPr>
    <w:rPr>
      <w:b/>
      <w:sz w:val="28"/>
      <w:lang w:val="en-US" w:eastAsia="en-US"/>
    </w:rPr>
  </w:style>
  <w:style w:type="paragraph" w:customStyle="1" w:styleId="AppendixHeading2">
    <w:name w:val="Appendix Heading 2"/>
    <w:basedOn w:val="Ttulo2"/>
    <w:uiPriority w:val="99"/>
    <w:rsid w:val="00537590"/>
    <w:pPr>
      <w:tabs>
        <w:tab w:val="num" w:pos="0"/>
      </w:tabs>
      <w:ind w:hanging="792"/>
      <w:jc w:val="left"/>
    </w:pPr>
    <w:rPr>
      <w:lang w:val="en-US" w:eastAsia="en-US"/>
    </w:rPr>
  </w:style>
  <w:style w:type="paragraph" w:customStyle="1" w:styleId="AppendixHeading3">
    <w:name w:val="Appendix Heading 3"/>
    <w:basedOn w:val="AppendixHeading2"/>
    <w:uiPriority w:val="99"/>
    <w:rsid w:val="00537590"/>
    <w:pPr>
      <w:tabs>
        <w:tab w:val="clear" w:pos="0"/>
        <w:tab w:val="num" w:pos="864"/>
        <w:tab w:val="num" w:pos="2880"/>
      </w:tabs>
      <w:ind w:left="864" w:hanging="360"/>
    </w:pPr>
    <w:rPr>
      <w:sz w:val="20"/>
    </w:rPr>
  </w:style>
  <w:style w:type="paragraph" w:customStyle="1" w:styleId="TableHeading">
    <w:name w:val="Table Heading"/>
    <w:basedOn w:val="Normal"/>
    <w:autoRedefine/>
    <w:uiPriority w:val="99"/>
    <w:rsid w:val="00537590"/>
    <w:pPr>
      <w:keepNext/>
      <w:spacing w:before="40" w:after="40"/>
    </w:pPr>
    <w:rPr>
      <w:rFonts w:cs="Arial"/>
      <w:b/>
      <w:bCs/>
      <w:sz w:val="18"/>
      <w:lang w:val="en-US" w:eastAsia="en-US"/>
    </w:rPr>
  </w:style>
  <w:style w:type="paragraph" w:styleId="Listaconvietas">
    <w:name w:val="List Bullet"/>
    <w:basedOn w:val="Normal"/>
    <w:autoRedefine/>
    <w:uiPriority w:val="99"/>
    <w:rsid w:val="00537590"/>
    <w:pPr>
      <w:tabs>
        <w:tab w:val="num" w:pos="360"/>
      </w:tabs>
      <w:ind w:left="360" w:hanging="360"/>
    </w:pPr>
    <w:rPr>
      <w:rFonts w:ascii="Times New Roman" w:hAnsi="Times New Roman"/>
    </w:rPr>
  </w:style>
  <w:style w:type="paragraph" w:styleId="Descripcin">
    <w:name w:val="caption"/>
    <w:aliases w:val="TF,cap"/>
    <w:basedOn w:val="Normal"/>
    <w:next w:val="Normal"/>
    <w:uiPriority w:val="99"/>
    <w:qFormat/>
    <w:rsid w:val="00537590"/>
    <w:pPr>
      <w:keepNext/>
      <w:spacing w:before="120" w:after="120"/>
    </w:pPr>
    <w:rPr>
      <w:b/>
      <w:bCs/>
      <w:lang w:val="en-US" w:eastAsia="en-US"/>
    </w:rPr>
  </w:style>
  <w:style w:type="paragraph" w:styleId="Asuntodelcomentario">
    <w:name w:val="annotation subject"/>
    <w:basedOn w:val="Textocomentario"/>
    <w:next w:val="Textocomentario"/>
    <w:link w:val="AsuntodelcomentarioCar"/>
    <w:uiPriority w:val="99"/>
    <w:rsid w:val="00537590"/>
    <w:pPr>
      <w:tabs>
        <w:tab w:val="clear" w:pos="794"/>
        <w:tab w:val="clear" w:pos="1191"/>
        <w:tab w:val="clear" w:pos="1588"/>
        <w:tab w:val="clear" w:pos="1985"/>
      </w:tabs>
      <w:spacing w:before="0"/>
      <w:jc w:val="left"/>
    </w:pPr>
    <w:rPr>
      <w:b/>
      <w:bCs/>
    </w:rPr>
  </w:style>
  <w:style w:type="character" w:customStyle="1" w:styleId="AsuntodelcomentarioCar">
    <w:name w:val="Asunto del comentario Car"/>
    <w:basedOn w:val="TextocomentarioCar"/>
    <w:link w:val="Asuntodelcomentario"/>
    <w:uiPriority w:val="99"/>
    <w:locked/>
    <w:rsid w:val="00537590"/>
    <w:rPr>
      <w:rFonts w:ascii="Arial" w:hAnsi="Arial" w:cs="Times New Roman"/>
      <w:b/>
      <w:bCs/>
      <w:lang w:val="es-ES_tradnl"/>
    </w:rPr>
  </w:style>
  <w:style w:type="paragraph" w:styleId="Textodeglobo">
    <w:name w:val="Balloon Text"/>
    <w:basedOn w:val="Normal"/>
    <w:link w:val="TextodegloboCar"/>
    <w:uiPriority w:val="99"/>
    <w:rsid w:val="00537590"/>
    <w:rPr>
      <w:rFonts w:ascii="Tahoma" w:hAnsi="Tahoma" w:cs="Tahoma"/>
      <w:sz w:val="16"/>
      <w:szCs w:val="16"/>
    </w:rPr>
  </w:style>
  <w:style w:type="character" w:customStyle="1" w:styleId="TextodegloboCar">
    <w:name w:val="Texto de globo Car"/>
    <w:basedOn w:val="Fuentedeprrafopredeter"/>
    <w:link w:val="Textodeglobo"/>
    <w:uiPriority w:val="99"/>
    <w:locked/>
    <w:rsid w:val="00537590"/>
    <w:rPr>
      <w:rFonts w:ascii="Tahoma" w:hAnsi="Tahoma" w:cs="Tahoma"/>
      <w:sz w:val="16"/>
      <w:szCs w:val="16"/>
      <w:lang w:val="es-ES_tradnl"/>
    </w:rPr>
  </w:style>
  <w:style w:type="paragraph" w:customStyle="1" w:styleId="headingi">
    <w:name w:val="heading_i"/>
    <w:basedOn w:val="Ttulo3"/>
    <w:next w:val="Normal"/>
    <w:uiPriority w:val="99"/>
    <w:rsid w:val="00537590"/>
    <w:pPr>
      <w:keepLines/>
      <w:tabs>
        <w:tab w:val="left" w:pos="794"/>
        <w:tab w:val="left" w:pos="2127"/>
        <w:tab w:val="left" w:pos="2410"/>
        <w:tab w:val="left" w:pos="2921"/>
        <w:tab w:val="left" w:pos="3261"/>
      </w:tabs>
      <w:overflowPunct w:val="0"/>
      <w:autoSpaceDE w:val="0"/>
      <w:autoSpaceDN w:val="0"/>
      <w:adjustRightInd w:val="0"/>
      <w:spacing w:before="160" w:after="0"/>
      <w:textAlignment w:val="baseline"/>
      <w:outlineLvl w:val="9"/>
    </w:pPr>
    <w:rPr>
      <w:iCs/>
      <w:color w:val="000000"/>
      <w:lang w:val="es-ES"/>
    </w:rPr>
  </w:style>
  <w:style w:type="paragraph" w:customStyle="1" w:styleId="TH">
    <w:name w:val="TH"/>
    <w:basedOn w:val="Normal"/>
    <w:uiPriority w:val="99"/>
    <w:rsid w:val="00537590"/>
    <w:pPr>
      <w:keepNext/>
      <w:keepLines/>
      <w:overflowPunct w:val="0"/>
      <w:autoSpaceDE w:val="0"/>
      <w:autoSpaceDN w:val="0"/>
      <w:adjustRightInd w:val="0"/>
      <w:spacing w:before="60" w:after="180"/>
      <w:jc w:val="center"/>
      <w:textAlignment w:val="baseline"/>
    </w:pPr>
    <w:rPr>
      <w:b/>
      <w:lang w:val="en-GB" w:eastAsia="en-US"/>
    </w:rPr>
  </w:style>
  <w:style w:type="table" w:styleId="Tablaconcuadrcula">
    <w:name w:val="Table Grid"/>
    <w:basedOn w:val="Tablanormal"/>
    <w:uiPriority w:val="59"/>
    <w:rsid w:val="00A95B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RequeridoIzquierda063cmPrimeralnea0cmCar">
    <w:name w:val="Estilo Requerido + Izquierda:  0.63 cm Primera línea:  0 cm Car"/>
    <w:link w:val="EstiloRequeridoIzquierda063cmPrimeralnea0cm"/>
    <w:uiPriority w:val="99"/>
    <w:locked/>
    <w:rsid w:val="001C53E6"/>
    <w:rPr>
      <w:rFonts w:asciiTheme="minorHAnsi" w:hAnsiTheme="minorHAnsi"/>
      <w:b/>
      <w:bCs/>
      <w:sz w:val="20"/>
      <w:lang w:val="es-ES_tradnl" w:eastAsia="es-ES"/>
    </w:rPr>
  </w:style>
  <w:style w:type="paragraph" w:customStyle="1" w:styleId="aOpcional">
    <w:name w:val="aOpcional"/>
    <w:basedOn w:val="Normal"/>
    <w:uiPriority w:val="99"/>
    <w:rsid w:val="00145EFE"/>
    <w:pPr>
      <w:numPr>
        <w:numId w:val="4"/>
      </w:numPr>
      <w:tabs>
        <w:tab w:val="left" w:pos="794"/>
        <w:tab w:val="left" w:pos="1191"/>
        <w:tab w:val="left" w:pos="1588"/>
        <w:tab w:val="left" w:pos="1985"/>
      </w:tabs>
      <w:spacing w:before="136"/>
      <w:jc w:val="both"/>
    </w:pPr>
    <w:rPr>
      <w:lang w:val="es-MX" w:eastAsia="en-US"/>
    </w:rPr>
  </w:style>
  <w:style w:type="character" w:customStyle="1" w:styleId="st1">
    <w:name w:val="st1"/>
    <w:basedOn w:val="Fuentedeprrafopredeter"/>
    <w:uiPriority w:val="99"/>
    <w:rsid w:val="00857C97"/>
    <w:rPr>
      <w:rFonts w:cs="Times New Roman"/>
    </w:rPr>
  </w:style>
  <w:style w:type="paragraph" w:customStyle="1" w:styleId="ARequeridoR">
    <w:name w:val="A Requerido (R)"/>
    <w:basedOn w:val="Normal"/>
    <w:next w:val="Normal"/>
    <w:uiPriority w:val="99"/>
    <w:rsid w:val="00BF609B"/>
    <w:pPr>
      <w:keepLines/>
      <w:numPr>
        <w:numId w:val="5"/>
      </w:numPr>
      <w:tabs>
        <w:tab w:val="left" w:pos="794"/>
        <w:tab w:val="left" w:pos="1191"/>
        <w:tab w:val="left" w:pos="1588"/>
        <w:tab w:val="left" w:pos="1985"/>
      </w:tabs>
      <w:spacing w:before="136"/>
      <w:jc w:val="both"/>
    </w:pPr>
    <w:rPr>
      <w:lang w:val="es-MX" w:eastAsia="en-US"/>
    </w:rPr>
  </w:style>
  <w:style w:type="paragraph" w:styleId="Puesto">
    <w:name w:val="Title"/>
    <w:basedOn w:val="Normal"/>
    <w:link w:val="PuestoCar"/>
    <w:uiPriority w:val="99"/>
    <w:qFormat/>
    <w:rsid w:val="009C4526"/>
    <w:pPr>
      <w:spacing w:before="240" w:after="60"/>
      <w:jc w:val="center"/>
      <w:outlineLvl w:val="0"/>
    </w:pPr>
    <w:rPr>
      <w:b/>
      <w:kern w:val="28"/>
      <w:sz w:val="32"/>
    </w:rPr>
  </w:style>
  <w:style w:type="character" w:customStyle="1" w:styleId="PuestoCar">
    <w:name w:val="Puesto Car"/>
    <w:basedOn w:val="Fuentedeprrafopredeter"/>
    <w:link w:val="Puesto"/>
    <w:uiPriority w:val="99"/>
    <w:locked/>
    <w:rsid w:val="00537590"/>
    <w:rPr>
      <w:rFonts w:ascii="Cambria" w:hAnsi="Cambria" w:cs="Times New Roman"/>
      <w:b/>
      <w:bCs/>
      <w:kern w:val="28"/>
      <w:sz w:val="32"/>
      <w:szCs w:val="32"/>
      <w:lang w:val="es-ES_tradnl"/>
    </w:rPr>
  </w:style>
  <w:style w:type="paragraph" w:customStyle="1" w:styleId="Arial14Bold">
    <w:name w:val="Arial14Bold"/>
    <w:basedOn w:val="Normal"/>
    <w:uiPriority w:val="99"/>
    <w:rsid w:val="009C4526"/>
    <w:pPr>
      <w:jc w:val="both"/>
    </w:pPr>
    <w:rPr>
      <w:b/>
      <w:sz w:val="28"/>
    </w:rPr>
  </w:style>
  <w:style w:type="paragraph" w:customStyle="1" w:styleId="Note">
    <w:name w:val="Note"/>
    <w:basedOn w:val="Normal"/>
    <w:uiPriority w:val="99"/>
    <w:rsid w:val="009C4526"/>
    <w:pPr>
      <w:tabs>
        <w:tab w:val="left" w:pos="1191"/>
        <w:tab w:val="left" w:pos="1588"/>
        <w:tab w:val="left" w:pos="1985"/>
      </w:tabs>
      <w:spacing w:before="136"/>
      <w:ind w:firstLine="567"/>
      <w:jc w:val="both"/>
    </w:pPr>
    <w:rPr>
      <w:sz w:val="22"/>
    </w:rPr>
  </w:style>
  <w:style w:type="paragraph" w:customStyle="1" w:styleId="TableTitle">
    <w:name w:val="Table_Title"/>
    <w:basedOn w:val="Normal"/>
    <w:next w:val="TableText"/>
    <w:uiPriority w:val="99"/>
    <w:rsid w:val="009C4526"/>
    <w:pPr>
      <w:keepNext/>
      <w:tabs>
        <w:tab w:val="left" w:pos="794"/>
        <w:tab w:val="left" w:pos="1191"/>
        <w:tab w:val="left" w:pos="1588"/>
        <w:tab w:val="left" w:pos="1985"/>
      </w:tabs>
      <w:spacing w:after="113"/>
      <w:jc w:val="center"/>
    </w:pPr>
    <w:rPr>
      <w:b/>
    </w:rPr>
  </w:style>
  <w:style w:type="paragraph" w:customStyle="1" w:styleId="FigureNo">
    <w:name w:val="Figure_No"/>
    <w:basedOn w:val="Normal"/>
    <w:next w:val="Normal"/>
    <w:uiPriority w:val="99"/>
    <w:rsid w:val="009C4526"/>
    <w:pPr>
      <w:keepNext/>
      <w:tabs>
        <w:tab w:val="left" w:pos="794"/>
        <w:tab w:val="left" w:pos="1191"/>
        <w:tab w:val="left" w:pos="1588"/>
        <w:tab w:val="left" w:pos="1985"/>
      </w:tabs>
      <w:overflowPunct w:val="0"/>
      <w:autoSpaceDE w:val="0"/>
      <w:autoSpaceDN w:val="0"/>
      <w:adjustRightInd w:val="0"/>
      <w:spacing w:before="480" w:after="120"/>
      <w:jc w:val="center"/>
      <w:textAlignment w:val="baseline"/>
    </w:pPr>
    <w:rPr>
      <w:rFonts w:ascii="Times New Roman" w:hAnsi="Times New Roman"/>
      <w:lang w:val="es-ES"/>
    </w:rPr>
  </w:style>
  <w:style w:type="paragraph" w:customStyle="1" w:styleId="Figuretitle">
    <w:name w:val="Figure_title"/>
    <w:basedOn w:val="TableTitle"/>
    <w:next w:val="Normal"/>
    <w:uiPriority w:val="99"/>
    <w:rsid w:val="009C4526"/>
    <w:pPr>
      <w:keepNext w:val="0"/>
      <w:keepLines/>
      <w:overflowPunct w:val="0"/>
      <w:autoSpaceDE w:val="0"/>
      <w:autoSpaceDN w:val="0"/>
      <w:adjustRightInd w:val="0"/>
      <w:spacing w:before="120" w:after="480"/>
      <w:textAlignment w:val="baseline"/>
    </w:pPr>
    <w:rPr>
      <w:rFonts w:ascii="Times New Roman" w:hAnsi="Times New Roman"/>
      <w:lang w:val="es-ES"/>
    </w:rPr>
  </w:style>
  <w:style w:type="paragraph" w:customStyle="1" w:styleId="enumlev2">
    <w:name w:val="enumlev2"/>
    <w:basedOn w:val="enumlev1"/>
    <w:uiPriority w:val="99"/>
    <w:rsid w:val="009C4526"/>
    <w:pPr>
      <w:overflowPunct w:val="0"/>
      <w:autoSpaceDE w:val="0"/>
      <w:autoSpaceDN w:val="0"/>
      <w:adjustRightInd w:val="0"/>
      <w:ind w:left="1191" w:hanging="397"/>
      <w:jc w:val="both"/>
      <w:textAlignment w:val="baseline"/>
    </w:pPr>
    <w:rPr>
      <w:lang w:val="es-ES"/>
    </w:rPr>
  </w:style>
  <w:style w:type="paragraph" w:customStyle="1" w:styleId="p">
    <w:name w:val="p"/>
    <w:aliases w:val="paragraph"/>
    <w:uiPriority w:val="99"/>
    <w:rsid w:val="009C4526"/>
    <w:pPr>
      <w:widowControl w:val="0"/>
      <w:tabs>
        <w:tab w:val="left" w:pos="479"/>
        <w:tab w:val="left" w:pos="960"/>
        <w:tab w:val="left" w:pos="1440"/>
        <w:tab w:val="left" w:pos="1919"/>
        <w:tab w:val="left" w:pos="2400"/>
        <w:tab w:val="left" w:pos="2880"/>
        <w:tab w:val="left" w:pos="3359"/>
        <w:tab w:val="left" w:pos="3840"/>
        <w:tab w:val="left" w:pos="4320"/>
        <w:tab w:val="left" w:pos="4799"/>
        <w:tab w:val="left" w:pos="5280"/>
        <w:tab w:val="left" w:pos="5760"/>
        <w:tab w:val="left" w:pos="6239"/>
        <w:tab w:val="left" w:pos="6720"/>
        <w:tab w:val="left" w:pos="7200"/>
        <w:tab w:val="left" w:pos="7679"/>
        <w:tab w:val="left" w:pos="8160"/>
        <w:tab w:val="left" w:pos="8640"/>
        <w:tab w:val="left" w:pos="9119"/>
      </w:tabs>
      <w:spacing w:before="160" w:after="100" w:line="280" w:lineRule="exact"/>
    </w:pPr>
    <w:rPr>
      <w:rFonts w:ascii="Times" w:hAnsi="Times"/>
      <w:lang w:val="en-US" w:eastAsia="es-ES"/>
    </w:rPr>
  </w:style>
  <w:style w:type="paragraph" w:customStyle="1" w:styleId="CouvRecTitle">
    <w:name w:val="Couv Rec Title"/>
    <w:basedOn w:val="Normal"/>
    <w:uiPriority w:val="99"/>
    <w:rsid w:val="009C4526"/>
    <w:pPr>
      <w:keepNext/>
      <w:keepLines/>
      <w:spacing w:before="240"/>
      <w:ind w:left="1418"/>
    </w:pPr>
    <w:rPr>
      <w:b/>
      <w:sz w:val="36"/>
      <w:lang w:val="en-US"/>
    </w:rPr>
  </w:style>
  <w:style w:type="paragraph" w:styleId="Mapadeldocumento">
    <w:name w:val="Document Map"/>
    <w:basedOn w:val="Normal"/>
    <w:link w:val="MapadeldocumentoCar"/>
    <w:uiPriority w:val="99"/>
    <w:semiHidden/>
    <w:rsid w:val="009C4526"/>
    <w:pPr>
      <w:shd w:val="clear" w:color="auto" w:fill="000080"/>
    </w:pPr>
    <w:rPr>
      <w:rFonts w:ascii="Tahoma" w:hAnsi="Tahoma"/>
      <w:lang w:val="es-ES"/>
    </w:rPr>
  </w:style>
  <w:style w:type="character" w:customStyle="1" w:styleId="MapadeldocumentoCar">
    <w:name w:val="Mapa del documento Car"/>
    <w:basedOn w:val="Fuentedeprrafopredeter"/>
    <w:link w:val="Mapadeldocumento"/>
    <w:uiPriority w:val="99"/>
    <w:semiHidden/>
    <w:locked/>
    <w:rsid w:val="00537590"/>
    <w:rPr>
      <w:rFonts w:ascii="Tahoma" w:hAnsi="Tahoma" w:cs="Tahoma"/>
      <w:sz w:val="16"/>
      <w:szCs w:val="16"/>
      <w:lang w:val="es-ES_tradnl"/>
    </w:rPr>
  </w:style>
  <w:style w:type="paragraph" w:styleId="NormalWeb">
    <w:name w:val="Normal (Web)"/>
    <w:basedOn w:val="Normal"/>
    <w:uiPriority w:val="99"/>
    <w:rsid w:val="009C4526"/>
    <w:pPr>
      <w:spacing w:before="100" w:beforeAutospacing="1" w:after="100" w:afterAutospacing="1"/>
    </w:pPr>
    <w:rPr>
      <w:rFonts w:ascii="Times New Roman" w:hAnsi="Times New Roman"/>
      <w:color w:val="000000"/>
      <w:lang w:val="es-ES"/>
    </w:rPr>
  </w:style>
  <w:style w:type="character" w:styleId="Textoennegrita">
    <w:name w:val="Strong"/>
    <w:basedOn w:val="Fuentedeprrafopredeter"/>
    <w:uiPriority w:val="99"/>
    <w:qFormat/>
    <w:rsid w:val="009C4526"/>
    <w:rPr>
      <w:rFonts w:cs="Times New Roman"/>
      <w:b/>
      <w:bCs/>
    </w:rPr>
  </w:style>
  <w:style w:type="character" w:customStyle="1" w:styleId="a1">
    <w:name w:val="a1"/>
    <w:basedOn w:val="Fuentedeprrafopredeter"/>
    <w:uiPriority w:val="99"/>
    <w:rsid w:val="009C4526"/>
    <w:rPr>
      <w:rFonts w:cs="Times New Roman"/>
      <w:bdr w:val="none" w:sz="0" w:space="0" w:color="auto" w:frame="1"/>
    </w:rPr>
  </w:style>
  <w:style w:type="character" w:customStyle="1" w:styleId="l15">
    <w:name w:val="l15"/>
    <w:basedOn w:val="Fuentedeprrafopredeter"/>
    <w:uiPriority w:val="99"/>
    <w:rsid w:val="009C4526"/>
    <w:rPr>
      <w:rFonts w:cs="Times New Roman"/>
      <w:bdr w:val="none" w:sz="0" w:space="0" w:color="auto" w:frame="1"/>
    </w:rPr>
  </w:style>
  <w:style w:type="character" w:customStyle="1" w:styleId="l82">
    <w:name w:val="l82"/>
    <w:basedOn w:val="Fuentedeprrafopredeter"/>
    <w:uiPriority w:val="99"/>
    <w:rsid w:val="009C4526"/>
    <w:rPr>
      <w:rFonts w:cs="Times New Roman"/>
      <w:bdr w:val="none" w:sz="0" w:space="0" w:color="auto" w:frame="1"/>
    </w:rPr>
  </w:style>
  <w:style w:type="character" w:customStyle="1" w:styleId="l62">
    <w:name w:val="l62"/>
    <w:basedOn w:val="Fuentedeprrafopredeter"/>
    <w:uiPriority w:val="99"/>
    <w:rsid w:val="009C4526"/>
    <w:rPr>
      <w:rFonts w:cs="Times New Roman"/>
      <w:bdr w:val="none" w:sz="0" w:space="0" w:color="auto" w:frame="1"/>
    </w:rPr>
  </w:style>
  <w:style w:type="character" w:customStyle="1" w:styleId="l122">
    <w:name w:val="l122"/>
    <w:basedOn w:val="Fuentedeprrafopredeter"/>
    <w:uiPriority w:val="99"/>
    <w:rsid w:val="009C4526"/>
    <w:rPr>
      <w:rFonts w:cs="Times New Roman"/>
      <w:bdr w:val="none" w:sz="0" w:space="0" w:color="auto" w:frame="1"/>
    </w:rPr>
  </w:style>
  <w:style w:type="character" w:customStyle="1" w:styleId="l102">
    <w:name w:val="l102"/>
    <w:basedOn w:val="Fuentedeprrafopredeter"/>
    <w:uiPriority w:val="99"/>
    <w:rsid w:val="009C4526"/>
    <w:rPr>
      <w:rFonts w:cs="Times New Roman"/>
      <w:bdr w:val="none" w:sz="0" w:space="0" w:color="auto" w:frame="1"/>
    </w:rPr>
  </w:style>
  <w:style w:type="character" w:customStyle="1" w:styleId="l72">
    <w:name w:val="l72"/>
    <w:basedOn w:val="Fuentedeprrafopredeter"/>
    <w:uiPriority w:val="99"/>
    <w:rsid w:val="009C4526"/>
    <w:rPr>
      <w:rFonts w:cs="Times New Roman"/>
      <w:bdr w:val="none" w:sz="0" w:space="0" w:color="auto" w:frame="1"/>
    </w:rPr>
  </w:style>
  <w:style w:type="character" w:customStyle="1" w:styleId="l92">
    <w:name w:val="l92"/>
    <w:basedOn w:val="Fuentedeprrafopredeter"/>
    <w:uiPriority w:val="99"/>
    <w:rsid w:val="009C4526"/>
    <w:rPr>
      <w:rFonts w:cs="Times New Roman"/>
      <w:bdr w:val="none" w:sz="0" w:space="0" w:color="auto" w:frame="1"/>
    </w:rPr>
  </w:style>
  <w:style w:type="character" w:customStyle="1" w:styleId="caps2">
    <w:name w:val="caps2"/>
    <w:basedOn w:val="Fuentedeprrafopredeter"/>
    <w:uiPriority w:val="99"/>
    <w:rsid w:val="009C4526"/>
    <w:rPr>
      <w:rFonts w:cs="Times New Roman"/>
    </w:rPr>
  </w:style>
  <w:style w:type="paragraph" w:styleId="Prrafodelista">
    <w:name w:val="List Paragraph"/>
    <w:basedOn w:val="Normal"/>
    <w:link w:val="PrrafodelistaCar"/>
    <w:uiPriority w:val="34"/>
    <w:qFormat/>
    <w:rsid w:val="00A16E3A"/>
    <w:pPr>
      <w:ind w:left="708"/>
    </w:pPr>
  </w:style>
  <w:style w:type="paragraph" w:customStyle="1" w:styleId="DIDCAP">
    <w:name w:val="DID CAP"/>
    <w:basedOn w:val="Normal"/>
    <w:link w:val="DIDCAPCar"/>
    <w:rsid w:val="002558C6"/>
    <w:pPr>
      <w:jc w:val="both"/>
    </w:pPr>
    <w:rPr>
      <w:b/>
      <w:sz w:val="32"/>
    </w:rPr>
  </w:style>
  <w:style w:type="character" w:customStyle="1" w:styleId="DIDCAPCar">
    <w:name w:val="DID CAP Car"/>
    <w:basedOn w:val="Fuentedeprrafopredeter"/>
    <w:link w:val="DIDCAP"/>
    <w:locked/>
    <w:rsid w:val="002558C6"/>
    <w:rPr>
      <w:rFonts w:ascii="Arial" w:hAnsi="Arial" w:cs="Times New Roman"/>
      <w:b/>
      <w:sz w:val="32"/>
      <w:lang w:bidi="ar-SA"/>
    </w:rPr>
  </w:style>
  <w:style w:type="paragraph" w:customStyle="1" w:styleId="Texto1">
    <w:name w:val="Texto 1"/>
    <w:basedOn w:val="Normal"/>
    <w:uiPriority w:val="99"/>
    <w:rsid w:val="002558C6"/>
    <w:pPr>
      <w:ind w:left="352"/>
      <w:jc w:val="both"/>
    </w:pPr>
  </w:style>
  <w:style w:type="character" w:customStyle="1" w:styleId="Heading5Char3">
    <w:name w:val="Heading 5 Char3"/>
    <w:aliases w:val="h5 Char3,l5 Char3,5 Char3,H5 Char3,H5-Heading 5 Char3,Heading5 Char3,heading5 Char3,H51 Char3,51 Char3,H5-Heading 51 Char3,h51 Char3,Heading51 Char3,l51 Char1,heading51 Char,H52 Char,52 Char1,H5-Heading 52 Char,h52 Char,Heading52 Char"/>
    <w:basedOn w:val="Fuentedeprrafopredeter"/>
    <w:uiPriority w:val="99"/>
    <w:semiHidden/>
    <w:rsid w:val="005A720E"/>
    <w:rPr>
      <w:rFonts w:ascii="Calibri" w:hAnsi="Calibri" w:cs="Times New Roman"/>
      <w:b/>
      <w:bCs/>
      <w:i/>
      <w:iCs/>
      <w:sz w:val="26"/>
      <w:szCs w:val="26"/>
      <w:lang w:val="es-MX"/>
    </w:rPr>
  </w:style>
  <w:style w:type="character" w:customStyle="1" w:styleId="h8Car">
    <w:name w:val="h8 Car"/>
    <w:aliases w:val="Appendix1 Car,Appendix11 Car,ft Car,figure title Car,Annex Car,Heading 8 Char Car,Heading 8 Char1 Char Car,Heading 8 Char Char Char Car,Annex Char Char Char Car,Annex Char1 Char Car,Annex Char Car Car"/>
    <w:basedOn w:val="Fuentedeprrafopredeter"/>
    <w:uiPriority w:val="99"/>
    <w:locked/>
    <w:rsid w:val="005A720E"/>
    <w:rPr>
      <w:rFonts w:ascii="Arial" w:hAnsi="Arial" w:cs="Times New Roman"/>
      <w:b/>
      <w:sz w:val="20"/>
      <w:szCs w:val="20"/>
      <w:lang w:val="es-MX" w:eastAsia="es-ES"/>
    </w:rPr>
  </w:style>
  <w:style w:type="character" w:customStyle="1" w:styleId="ttCar">
    <w:name w:val="tt Car"/>
    <w:aliases w:val="h9 Car,Appendix2 Car,Appendix21 Car,table title Car Car"/>
    <w:basedOn w:val="Fuentedeprrafopredeter"/>
    <w:uiPriority w:val="99"/>
    <w:locked/>
    <w:rsid w:val="005A720E"/>
    <w:rPr>
      <w:rFonts w:ascii="Arial" w:hAnsi="Arial" w:cs="Times New Roman"/>
      <w:b/>
      <w:i/>
      <w:sz w:val="20"/>
      <w:szCs w:val="20"/>
      <w:lang w:val="es-MX" w:eastAsia="es-ES"/>
    </w:rPr>
  </w:style>
  <w:style w:type="character" w:customStyle="1" w:styleId="Heading5Char2">
    <w:name w:val="Heading 5 Char2"/>
    <w:aliases w:val="h5 Char2,l5 Char2,5 Char2,H5 Char2,H5-Heading 5 Char2,Heading5 Char2,heading5 Char2,H51 Char2,51 Char2,H5-Heading 51 Char2,h51 Char2,Heading51 Char2,l51 Char2,heading51 Char2,H52 Char2,52 Char2,H5-Heading 52 Char2,h52 Char2,l52 Char2"/>
    <w:basedOn w:val="Fuentedeprrafopredeter"/>
    <w:uiPriority w:val="99"/>
    <w:semiHidden/>
    <w:locked/>
    <w:rsid w:val="005A720E"/>
    <w:rPr>
      <w:rFonts w:ascii="Calibri" w:hAnsi="Calibri" w:cs="Times New Roman"/>
      <w:b/>
      <w:bCs/>
      <w:i/>
      <w:iCs/>
      <w:sz w:val="26"/>
      <w:szCs w:val="26"/>
      <w:lang w:val="es-MX"/>
    </w:rPr>
  </w:style>
  <w:style w:type="paragraph" w:customStyle="1" w:styleId="Cabeceraypie">
    <w:name w:val="Cabecera y pie"/>
    <w:uiPriority w:val="99"/>
    <w:rsid w:val="005A720E"/>
    <w:pPr>
      <w:tabs>
        <w:tab w:val="right" w:pos="9632"/>
      </w:tabs>
    </w:pPr>
    <w:rPr>
      <w:rFonts w:ascii="Helvetica" w:hAnsi="Helvetica"/>
      <w:color w:val="000000"/>
      <w:lang w:val="es-ES_tradnl"/>
    </w:rPr>
  </w:style>
  <w:style w:type="paragraph" w:customStyle="1" w:styleId="Formatolibre">
    <w:name w:val="Formato libre"/>
    <w:rsid w:val="005A720E"/>
    <w:rPr>
      <w:rFonts w:ascii="Helvetica" w:hAnsi="Helvetica"/>
      <w:color w:val="000000"/>
      <w:lang w:val="es-ES_tradnl"/>
    </w:rPr>
  </w:style>
  <w:style w:type="paragraph" w:customStyle="1" w:styleId="Encabezamiento2">
    <w:name w:val="Encabezamiento 2"/>
    <w:next w:val="Cuerpo"/>
    <w:uiPriority w:val="99"/>
    <w:rsid w:val="005A720E"/>
    <w:pPr>
      <w:keepNext/>
      <w:outlineLvl w:val="1"/>
    </w:pPr>
    <w:rPr>
      <w:rFonts w:ascii="Helvetica" w:hAnsi="Helvetica"/>
      <w:b/>
      <w:color w:val="000000"/>
      <w:lang w:val="es-ES_tradnl"/>
    </w:rPr>
  </w:style>
  <w:style w:type="paragraph" w:customStyle="1" w:styleId="Cuerpo">
    <w:name w:val="Cuerpo"/>
    <w:uiPriority w:val="99"/>
    <w:rsid w:val="005A720E"/>
    <w:rPr>
      <w:rFonts w:ascii="Helvetica" w:hAnsi="Helvetica"/>
      <w:color w:val="000000"/>
      <w:lang w:val="es-ES_tradnl"/>
    </w:rPr>
  </w:style>
  <w:style w:type="character" w:customStyle="1" w:styleId="TextoindependienteCarCar">
    <w:name w:val="Texto independiente Car Car"/>
    <w:aliases w:val="ändrad Car Car,Body3 Car Car,bt Car Car,BO Car Car,ID Car Car,body text Car Car,??2 Car Car,AvtalBrödtext Car Car,EHPT Car Car,Body Text2 Car Car,Bodytext Car Car,Body Text level 1 Car Car,Response Car Car,à¹×éÍàÃ×èÍ§ Car Ca"/>
    <w:uiPriority w:val="99"/>
    <w:locked/>
    <w:rsid w:val="005A720E"/>
    <w:rPr>
      <w:rFonts w:ascii="Arial" w:hAnsi="Arial"/>
      <w:b/>
      <w:sz w:val="28"/>
    </w:rPr>
  </w:style>
  <w:style w:type="paragraph" w:customStyle="1" w:styleId="Default">
    <w:name w:val="Default"/>
    <w:rsid w:val="005A720E"/>
    <w:rPr>
      <w:color w:val="000000"/>
      <w:lang w:val="es-ES" w:eastAsia="es-ES"/>
    </w:rPr>
  </w:style>
  <w:style w:type="paragraph" w:customStyle="1" w:styleId="Text">
    <w:name w:val="Text"/>
    <w:aliases w:val="t"/>
    <w:basedOn w:val="Normal"/>
    <w:uiPriority w:val="99"/>
    <w:rsid w:val="005A720E"/>
    <w:pPr>
      <w:widowControl w:val="0"/>
      <w:spacing w:before="60" w:after="60" w:line="360" w:lineRule="auto"/>
      <w:jc w:val="both"/>
    </w:pPr>
    <w:rPr>
      <w:sz w:val="22"/>
      <w:lang w:val="en-US" w:eastAsia="de-DE"/>
    </w:rPr>
  </w:style>
  <w:style w:type="paragraph" w:styleId="Firmadecorreoelectrnico">
    <w:name w:val="E-mail Signature"/>
    <w:basedOn w:val="Normal"/>
    <w:link w:val="FirmadecorreoelectrnicoCar"/>
    <w:uiPriority w:val="99"/>
    <w:rsid w:val="005A720E"/>
    <w:pPr>
      <w:jc w:val="both"/>
    </w:pPr>
    <w:rPr>
      <w:lang w:val="es-MX"/>
    </w:rPr>
  </w:style>
  <w:style w:type="character" w:customStyle="1" w:styleId="FirmadecorreoelectrnicoCar">
    <w:name w:val="Firma de correo electrónico Car"/>
    <w:basedOn w:val="Fuentedeprrafopredeter"/>
    <w:link w:val="Firmadecorreoelectrnico"/>
    <w:uiPriority w:val="99"/>
    <w:semiHidden/>
    <w:locked/>
    <w:rsid w:val="00236D27"/>
    <w:rPr>
      <w:rFonts w:ascii="Arial" w:hAnsi="Arial" w:cs="Times New Roman"/>
      <w:sz w:val="20"/>
      <w:szCs w:val="20"/>
      <w:lang w:val="es-ES_tradnl" w:eastAsia="es-ES"/>
    </w:rPr>
  </w:style>
  <w:style w:type="character" w:customStyle="1" w:styleId="EstiloCorreo115">
    <w:name w:val="EstiloCorreo115"/>
    <w:uiPriority w:val="99"/>
    <w:rsid w:val="005A720E"/>
    <w:rPr>
      <w:rFonts w:ascii="Arial" w:hAnsi="Arial"/>
      <w:color w:val="000000"/>
      <w:sz w:val="20"/>
    </w:rPr>
  </w:style>
  <w:style w:type="paragraph" w:customStyle="1" w:styleId="Propos">
    <w:name w:val="Propos"/>
    <w:uiPriority w:val="99"/>
    <w:rsid w:val="005A720E"/>
    <w:pPr>
      <w:spacing w:before="120"/>
      <w:jc w:val="both"/>
    </w:pPr>
    <w:rPr>
      <w:lang w:val="fr-FR" w:eastAsia="es-ES"/>
    </w:rPr>
  </w:style>
  <w:style w:type="character" w:customStyle="1" w:styleId="WW-Refdecomentario">
    <w:name w:val="WW-Ref. de comentario"/>
    <w:uiPriority w:val="99"/>
    <w:rsid w:val="005A720E"/>
    <w:rPr>
      <w:sz w:val="16"/>
    </w:rPr>
  </w:style>
  <w:style w:type="paragraph" w:customStyle="1" w:styleId="ndice">
    <w:name w:val="Índice"/>
    <w:basedOn w:val="Normal"/>
    <w:uiPriority w:val="99"/>
    <w:rsid w:val="005A720E"/>
    <w:pPr>
      <w:suppressLineNumbers/>
      <w:suppressAutoHyphens/>
      <w:jc w:val="both"/>
    </w:pPr>
    <w:rPr>
      <w:rFonts w:cs="Arial Unicode MS"/>
      <w:lang w:val="es-MX" w:eastAsia="ar-SA"/>
    </w:rPr>
  </w:style>
  <w:style w:type="paragraph" w:customStyle="1" w:styleId="font5">
    <w:name w:val="font5"/>
    <w:basedOn w:val="Normal"/>
    <w:uiPriority w:val="99"/>
    <w:rsid w:val="005A720E"/>
    <w:pPr>
      <w:spacing w:before="100" w:after="100"/>
    </w:pPr>
    <w:rPr>
      <w:rFonts w:ascii="Tahoma" w:hAnsi="Tahoma"/>
      <w:sz w:val="18"/>
      <w:lang w:val="es-MX"/>
    </w:rPr>
  </w:style>
  <w:style w:type="character" w:customStyle="1" w:styleId="LuisMiguelSalinasUrbina">
    <w:name w:val="Luis Miguel Salinas Urbina"/>
    <w:uiPriority w:val="99"/>
    <w:rsid w:val="005A720E"/>
    <w:rPr>
      <w:rFonts w:ascii="Arial" w:hAnsi="Arial"/>
      <w:color w:val="000000"/>
      <w:sz w:val="20"/>
    </w:rPr>
  </w:style>
  <w:style w:type="paragraph" w:styleId="Continuarlista">
    <w:name w:val="List Continue"/>
    <w:basedOn w:val="Normal"/>
    <w:uiPriority w:val="99"/>
    <w:rsid w:val="005A720E"/>
    <w:pPr>
      <w:numPr>
        <w:numId w:val="10"/>
      </w:numPr>
      <w:tabs>
        <w:tab w:val="clear" w:pos="1440"/>
        <w:tab w:val="num" w:pos="708"/>
      </w:tabs>
      <w:spacing w:after="120"/>
      <w:ind w:left="708" w:hanging="708"/>
      <w:jc w:val="both"/>
    </w:pPr>
    <w:rPr>
      <w:lang w:val="es-MX"/>
    </w:rPr>
  </w:style>
  <w:style w:type="paragraph" w:customStyle="1" w:styleId="Titulo30">
    <w:name w:val="Titulo 3"/>
    <w:basedOn w:val="Ttulo3"/>
    <w:next w:val="Normal"/>
    <w:uiPriority w:val="99"/>
    <w:rsid w:val="005A720E"/>
    <w:pPr>
      <w:keepNext w:val="0"/>
      <w:numPr>
        <w:numId w:val="8"/>
      </w:numPr>
      <w:tabs>
        <w:tab w:val="clear" w:pos="853"/>
        <w:tab w:val="num" w:pos="993"/>
      </w:tabs>
      <w:spacing w:before="0" w:after="0"/>
      <w:ind w:left="851" w:hanging="567"/>
    </w:pPr>
    <w:rPr>
      <w:rFonts w:cs="Arial"/>
      <w:b w:val="0"/>
      <w:i w:val="0"/>
      <w:sz w:val="22"/>
      <w:szCs w:val="22"/>
    </w:rPr>
  </w:style>
  <w:style w:type="paragraph" w:customStyle="1" w:styleId="Titulo20">
    <w:name w:val="Titulo 2"/>
    <w:basedOn w:val="Ttulo2"/>
    <w:next w:val="Normal"/>
    <w:uiPriority w:val="99"/>
    <w:rsid w:val="005A720E"/>
    <w:pPr>
      <w:keepNext w:val="0"/>
      <w:numPr>
        <w:numId w:val="11"/>
      </w:numPr>
      <w:tabs>
        <w:tab w:val="clear" w:pos="720"/>
        <w:tab w:val="num" w:pos="567"/>
        <w:tab w:val="num" w:pos="853"/>
      </w:tabs>
      <w:spacing w:before="0" w:after="0"/>
      <w:ind w:left="567" w:hanging="567"/>
      <w:jc w:val="left"/>
    </w:pPr>
    <w:rPr>
      <w:rFonts w:cs="Arial"/>
      <w:b w:val="0"/>
      <w:sz w:val="22"/>
      <w:szCs w:val="22"/>
      <w:lang w:val="es-MX"/>
    </w:rPr>
  </w:style>
  <w:style w:type="paragraph" w:customStyle="1" w:styleId="Titulo32">
    <w:name w:val="Titulo 3 +"/>
    <w:basedOn w:val="Titulo30"/>
    <w:next w:val="Normal"/>
    <w:uiPriority w:val="99"/>
    <w:rsid w:val="005A720E"/>
    <w:pPr>
      <w:numPr>
        <w:numId w:val="0"/>
      </w:numPr>
      <w:ind w:left="360" w:hanging="360"/>
    </w:pPr>
    <w:rPr>
      <w:b/>
    </w:rPr>
  </w:style>
  <w:style w:type="paragraph" w:customStyle="1" w:styleId="EstiloTitulo3Negrita">
    <w:name w:val="Estilo Titulo 3 + Negrita"/>
    <w:basedOn w:val="Titulo30"/>
    <w:uiPriority w:val="99"/>
    <w:rsid w:val="005A720E"/>
    <w:pPr>
      <w:numPr>
        <w:numId w:val="12"/>
      </w:numPr>
      <w:tabs>
        <w:tab w:val="num" w:pos="993"/>
      </w:tabs>
    </w:pPr>
    <w:rPr>
      <w:bCs/>
    </w:rPr>
  </w:style>
  <w:style w:type="paragraph" w:customStyle="1" w:styleId="Titulo3">
    <w:name w:val="Titulo 3 ++"/>
    <w:basedOn w:val="Titulo30"/>
    <w:next w:val="Normal"/>
    <w:uiPriority w:val="99"/>
    <w:rsid w:val="005A720E"/>
    <w:pPr>
      <w:numPr>
        <w:numId w:val="13"/>
      </w:numPr>
      <w:tabs>
        <w:tab w:val="clear" w:pos="1440"/>
        <w:tab w:val="num" w:pos="360"/>
        <w:tab w:val="num" w:pos="993"/>
      </w:tabs>
      <w:ind w:left="700" w:hanging="340"/>
    </w:pPr>
    <w:rPr>
      <w:b/>
    </w:rPr>
  </w:style>
  <w:style w:type="paragraph" w:customStyle="1" w:styleId="Titulo31">
    <w:name w:val="Titulo 3 +++"/>
    <w:basedOn w:val="Titulo3"/>
    <w:next w:val="Normal"/>
    <w:uiPriority w:val="99"/>
    <w:rsid w:val="005A720E"/>
    <w:pPr>
      <w:numPr>
        <w:numId w:val="9"/>
      </w:numPr>
      <w:tabs>
        <w:tab w:val="clear" w:pos="1440"/>
        <w:tab w:val="num" w:pos="993"/>
      </w:tabs>
      <w:ind w:left="360" w:hanging="360"/>
    </w:pPr>
    <w:rPr>
      <w:b w:val="0"/>
    </w:rPr>
  </w:style>
  <w:style w:type="paragraph" w:customStyle="1" w:styleId="Titulo2">
    <w:name w:val="Titulo 2 +"/>
    <w:basedOn w:val="Ttulo2"/>
    <w:next w:val="Normal"/>
    <w:uiPriority w:val="99"/>
    <w:rsid w:val="005A720E"/>
    <w:pPr>
      <w:keepNext w:val="0"/>
      <w:numPr>
        <w:numId w:val="14"/>
      </w:numPr>
      <w:tabs>
        <w:tab w:val="num" w:pos="853"/>
      </w:tabs>
      <w:spacing w:before="0" w:after="0"/>
      <w:ind w:left="700" w:hanging="340"/>
      <w:jc w:val="left"/>
    </w:pPr>
    <w:rPr>
      <w:rFonts w:cs="Arial"/>
      <w:b w:val="0"/>
      <w:sz w:val="22"/>
      <w:szCs w:val="22"/>
      <w:lang w:val="es-MX"/>
    </w:rPr>
  </w:style>
  <w:style w:type="paragraph" w:customStyle="1" w:styleId="Titulo3-0">
    <w:name w:val="Titulo 3 +-"/>
    <w:basedOn w:val="Titulo32"/>
    <w:next w:val="Normal"/>
    <w:uiPriority w:val="99"/>
    <w:rsid w:val="005A720E"/>
    <w:pPr>
      <w:numPr>
        <w:numId w:val="15"/>
      </w:numPr>
      <w:tabs>
        <w:tab w:val="num" w:pos="993"/>
      </w:tabs>
      <w:ind w:left="851" w:hanging="567"/>
    </w:pPr>
    <w:rPr>
      <w:b w:val="0"/>
    </w:rPr>
  </w:style>
  <w:style w:type="paragraph" w:customStyle="1" w:styleId="Titulo3-">
    <w:name w:val="Titulo 3 +-+"/>
    <w:basedOn w:val="Titulo3-0"/>
    <w:next w:val="Normal"/>
    <w:uiPriority w:val="99"/>
    <w:rsid w:val="005A720E"/>
    <w:pPr>
      <w:numPr>
        <w:numId w:val="16"/>
      </w:numPr>
      <w:tabs>
        <w:tab w:val="num" w:pos="450"/>
      </w:tabs>
    </w:pPr>
    <w:rPr>
      <w:b/>
    </w:rPr>
  </w:style>
  <w:style w:type="paragraph" w:customStyle="1" w:styleId="Titulo3--">
    <w:name w:val="Titulo 3 +--"/>
    <w:basedOn w:val="Titulo3-"/>
    <w:next w:val="Normal"/>
    <w:uiPriority w:val="99"/>
    <w:rsid w:val="005A720E"/>
    <w:pPr>
      <w:numPr>
        <w:numId w:val="7"/>
      </w:numPr>
      <w:tabs>
        <w:tab w:val="clear" w:pos="853"/>
        <w:tab w:val="num" w:pos="1440"/>
      </w:tabs>
      <w:ind w:left="851" w:hanging="567"/>
    </w:pPr>
    <w:rPr>
      <w:b w:val="0"/>
    </w:rPr>
  </w:style>
  <w:style w:type="paragraph" w:customStyle="1" w:styleId="Titulo2-">
    <w:name w:val="Titulo 2 -"/>
    <w:basedOn w:val="Titulo2"/>
    <w:next w:val="Normal"/>
    <w:uiPriority w:val="99"/>
    <w:rsid w:val="005A720E"/>
    <w:pPr>
      <w:numPr>
        <w:numId w:val="0"/>
      </w:numPr>
      <w:tabs>
        <w:tab w:val="num" w:pos="1440"/>
      </w:tabs>
      <w:ind w:left="720" w:hanging="360"/>
    </w:pPr>
    <w:rPr>
      <w:b/>
    </w:rPr>
  </w:style>
  <w:style w:type="paragraph" w:customStyle="1" w:styleId="FigureNoTitle">
    <w:name w:val="Figure_NoTitle"/>
    <w:basedOn w:val="Normal"/>
    <w:next w:val="Normalaftertitle0"/>
    <w:uiPriority w:val="99"/>
    <w:rsid w:val="005A720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ascii="Times New Roman" w:hAnsi="Times New Roman"/>
      <w:b/>
    </w:rPr>
  </w:style>
  <w:style w:type="paragraph" w:customStyle="1" w:styleId="Normalaftertitle0">
    <w:name w:val="Normal_after_title"/>
    <w:basedOn w:val="Normal"/>
    <w:next w:val="Normal"/>
    <w:uiPriority w:val="99"/>
    <w:rsid w:val="005A720E"/>
    <w:pPr>
      <w:tabs>
        <w:tab w:val="left" w:pos="794"/>
        <w:tab w:val="left" w:pos="1191"/>
        <w:tab w:val="left" w:pos="1588"/>
        <w:tab w:val="left" w:pos="1985"/>
      </w:tabs>
      <w:overflowPunct w:val="0"/>
      <w:autoSpaceDE w:val="0"/>
      <w:autoSpaceDN w:val="0"/>
      <w:adjustRightInd w:val="0"/>
      <w:spacing w:before="360"/>
      <w:jc w:val="both"/>
      <w:textAlignment w:val="baseline"/>
    </w:pPr>
    <w:rPr>
      <w:rFonts w:ascii="Times New Roman" w:hAnsi="Times New Roman"/>
    </w:rPr>
  </w:style>
  <w:style w:type="paragraph" w:customStyle="1" w:styleId="Titulo4PEETT">
    <w:name w:val="Titulo 4 PEETT"/>
    <w:basedOn w:val="Normal"/>
    <w:autoRedefine/>
    <w:uiPriority w:val="99"/>
    <w:rsid w:val="005A720E"/>
    <w:pPr>
      <w:overflowPunct w:val="0"/>
      <w:autoSpaceDE w:val="0"/>
      <w:autoSpaceDN w:val="0"/>
      <w:adjustRightInd w:val="0"/>
      <w:jc w:val="both"/>
      <w:textAlignment w:val="baseline"/>
    </w:pPr>
    <w:rPr>
      <w:rFonts w:cs="Arial"/>
      <w:lang w:val="es-MX"/>
    </w:rPr>
  </w:style>
  <w:style w:type="paragraph" w:styleId="Subttulo">
    <w:name w:val="Subtitle"/>
    <w:basedOn w:val="Normal"/>
    <w:link w:val="SubttuloCar"/>
    <w:uiPriority w:val="99"/>
    <w:qFormat/>
    <w:rsid w:val="005A720E"/>
    <w:pPr>
      <w:jc w:val="both"/>
    </w:pPr>
    <w:rPr>
      <w:b/>
      <w:lang w:val="es-MX"/>
    </w:rPr>
  </w:style>
  <w:style w:type="character" w:customStyle="1" w:styleId="SubttuloCar">
    <w:name w:val="Subtítulo Car"/>
    <w:basedOn w:val="Fuentedeprrafopredeter"/>
    <w:link w:val="Subttulo"/>
    <w:uiPriority w:val="99"/>
    <w:locked/>
    <w:rsid w:val="00236D27"/>
    <w:rPr>
      <w:rFonts w:ascii="Cambria" w:hAnsi="Cambria" w:cs="Times New Roman"/>
      <w:sz w:val="24"/>
      <w:szCs w:val="24"/>
      <w:lang w:val="es-ES_tradnl" w:eastAsia="es-ES"/>
    </w:rPr>
  </w:style>
  <w:style w:type="paragraph" w:customStyle="1" w:styleId="Listabcdoubleline">
    <w:name w:val="List abc double line"/>
    <w:uiPriority w:val="99"/>
    <w:rsid w:val="005A720E"/>
    <w:pPr>
      <w:spacing w:before="220"/>
      <w:ind w:left="2921" w:hanging="369"/>
    </w:pPr>
    <w:rPr>
      <w:sz w:val="22"/>
      <w:lang w:val="en-US" w:eastAsia="en-US"/>
    </w:rPr>
  </w:style>
  <w:style w:type="paragraph" w:customStyle="1" w:styleId="SP249902">
    <w:name w:val="SP249902"/>
    <w:basedOn w:val="Default"/>
    <w:next w:val="Default"/>
    <w:uiPriority w:val="99"/>
    <w:rsid w:val="005A720E"/>
    <w:pPr>
      <w:autoSpaceDE w:val="0"/>
      <w:autoSpaceDN w:val="0"/>
      <w:adjustRightInd w:val="0"/>
    </w:pPr>
    <w:rPr>
      <w:color w:val="auto"/>
      <w:sz w:val="20"/>
    </w:rPr>
  </w:style>
  <w:style w:type="paragraph" w:customStyle="1" w:styleId="SP249882">
    <w:name w:val="SP249882"/>
    <w:basedOn w:val="Default"/>
    <w:next w:val="Default"/>
    <w:uiPriority w:val="99"/>
    <w:rsid w:val="005A720E"/>
    <w:pPr>
      <w:autoSpaceDE w:val="0"/>
      <w:autoSpaceDN w:val="0"/>
      <w:adjustRightInd w:val="0"/>
      <w:spacing w:before="960"/>
    </w:pPr>
    <w:rPr>
      <w:color w:val="auto"/>
      <w:sz w:val="20"/>
    </w:rPr>
  </w:style>
  <w:style w:type="paragraph" w:customStyle="1" w:styleId="SP249961">
    <w:name w:val="SP249961"/>
    <w:basedOn w:val="Default"/>
    <w:next w:val="Default"/>
    <w:uiPriority w:val="99"/>
    <w:rsid w:val="005A720E"/>
    <w:pPr>
      <w:autoSpaceDE w:val="0"/>
      <w:autoSpaceDN w:val="0"/>
      <w:adjustRightInd w:val="0"/>
      <w:spacing w:before="200" w:after="80"/>
    </w:pPr>
    <w:rPr>
      <w:color w:val="auto"/>
      <w:sz w:val="20"/>
    </w:rPr>
  </w:style>
  <w:style w:type="paragraph" w:customStyle="1" w:styleId="SP249885">
    <w:name w:val="SP249885"/>
    <w:basedOn w:val="Default"/>
    <w:next w:val="Default"/>
    <w:uiPriority w:val="99"/>
    <w:rsid w:val="005A720E"/>
    <w:pPr>
      <w:autoSpaceDE w:val="0"/>
      <w:autoSpaceDN w:val="0"/>
      <w:adjustRightInd w:val="0"/>
      <w:spacing w:before="480"/>
    </w:pPr>
    <w:rPr>
      <w:color w:val="auto"/>
      <w:sz w:val="20"/>
    </w:rPr>
  </w:style>
  <w:style w:type="character" w:customStyle="1" w:styleId="SC176142">
    <w:name w:val="SC176142"/>
    <w:uiPriority w:val="99"/>
    <w:rsid w:val="005A720E"/>
    <w:rPr>
      <w:color w:val="000000"/>
      <w:sz w:val="28"/>
    </w:rPr>
  </w:style>
  <w:style w:type="paragraph" w:customStyle="1" w:styleId="SP249876">
    <w:name w:val="SP249876"/>
    <w:basedOn w:val="Default"/>
    <w:next w:val="Default"/>
    <w:uiPriority w:val="99"/>
    <w:rsid w:val="005A720E"/>
    <w:pPr>
      <w:autoSpaceDE w:val="0"/>
      <w:autoSpaceDN w:val="0"/>
      <w:adjustRightInd w:val="0"/>
      <w:spacing w:before="160"/>
    </w:pPr>
    <w:rPr>
      <w:color w:val="auto"/>
      <w:sz w:val="20"/>
    </w:rPr>
  </w:style>
  <w:style w:type="character" w:customStyle="1" w:styleId="SC176133">
    <w:name w:val="SC176133"/>
    <w:uiPriority w:val="99"/>
    <w:rsid w:val="005A720E"/>
    <w:rPr>
      <w:rFonts w:ascii="Times New Roman" w:hAnsi="Times New Roman"/>
      <w:color w:val="000000"/>
      <w:sz w:val="24"/>
    </w:rPr>
  </w:style>
  <w:style w:type="paragraph" w:customStyle="1" w:styleId="SP249877">
    <w:name w:val="SP249877"/>
    <w:basedOn w:val="Default"/>
    <w:next w:val="Default"/>
    <w:uiPriority w:val="99"/>
    <w:rsid w:val="005A720E"/>
    <w:pPr>
      <w:autoSpaceDE w:val="0"/>
      <w:autoSpaceDN w:val="0"/>
      <w:adjustRightInd w:val="0"/>
      <w:spacing w:before="160"/>
    </w:pPr>
    <w:rPr>
      <w:color w:val="auto"/>
      <w:sz w:val="20"/>
    </w:rPr>
  </w:style>
  <w:style w:type="paragraph" w:customStyle="1" w:styleId="Heading">
    <w:name w:val="Heading"/>
    <w:next w:val="Textoindependiente"/>
    <w:uiPriority w:val="99"/>
    <w:rsid w:val="005A720E"/>
    <w:pPr>
      <w:spacing w:before="240"/>
      <w:ind w:left="2552"/>
    </w:pPr>
    <w:rPr>
      <w:b/>
      <w:sz w:val="22"/>
      <w:u w:val="single"/>
      <w:lang w:val="en-GB" w:eastAsia="en-US"/>
    </w:rPr>
  </w:style>
  <w:style w:type="paragraph" w:customStyle="1" w:styleId="Listabcsingleline">
    <w:name w:val="List abc single line"/>
    <w:uiPriority w:val="99"/>
    <w:rsid w:val="005A720E"/>
    <w:pPr>
      <w:ind w:left="720" w:hanging="360"/>
    </w:pPr>
    <w:rPr>
      <w:sz w:val="22"/>
      <w:lang w:val="en-US" w:eastAsia="en-US"/>
    </w:rPr>
  </w:style>
  <w:style w:type="paragraph" w:customStyle="1" w:styleId="Listabcsinglelinewide">
    <w:name w:val="List abc single line (wide)"/>
    <w:uiPriority w:val="99"/>
    <w:rsid w:val="005A720E"/>
    <w:pPr>
      <w:ind w:left="720" w:hanging="360"/>
    </w:pPr>
    <w:rPr>
      <w:sz w:val="22"/>
      <w:lang w:val="en-US" w:eastAsia="en-US" w:bidi="ar-DZ"/>
    </w:rPr>
  </w:style>
  <w:style w:type="paragraph" w:customStyle="1" w:styleId="Listnumbersinglelinewide">
    <w:name w:val="List number single line (wide)"/>
    <w:uiPriority w:val="99"/>
    <w:rsid w:val="005A720E"/>
    <w:pPr>
      <w:ind w:left="720" w:hanging="360"/>
    </w:pPr>
    <w:rPr>
      <w:sz w:val="22"/>
      <w:lang w:val="en-US" w:eastAsia="en-US"/>
    </w:rPr>
  </w:style>
  <w:style w:type="paragraph" w:customStyle="1" w:styleId="Listabcdoublelinewide">
    <w:name w:val="List abc double line (wide)"/>
    <w:uiPriority w:val="99"/>
    <w:rsid w:val="005A720E"/>
    <w:pPr>
      <w:spacing w:before="220"/>
      <w:ind w:left="720" w:hanging="360"/>
    </w:pPr>
    <w:rPr>
      <w:sz w:val="22"/>
      <w:lang w:val="en-US" w:eastAsia="en-US"/>
    </w:rPr>
  </w:style>
  <w:style w:type="paragraph" w:customStyle="1" w:styleId="ListBulletwide">
    <w:name w:val="List Bullet (wide)"/>
    <w:uiPriority w:val="99"/>
    <w:rsid w:val="005A720E"/>
    <w:pPr>
      <w:ind w:left="360" w:hanging="360"/>
    </w:pPr>
    <w:rPr>
      <w:sz w:val="22"/>
      <w:lang w:val="en-US" w:eastAsia="en-US"/>
    </w:rPr>
  </w:style>
  <w:style w:type="paragraph" w:customStyle="1" w:styleId="TableStyle">
    <w:name w:val="TableStyle"/>
    <w:uiPriority w:val="99"/>
    <w:rsid w:val="005A720E"/>
    <w:pPr>
      <w:ind w:left="85"/>
    </w:pPr>
    <w:rPr>
      <w:noProof/>
      <w:sz w:val="22"/>
      <w:lang w:val="en-US" w:eastAsia="en-US"/>
    </w:rPr>
  </w:style>
  <w:style w:type="paragraph" w:customStyle="1" w:styleId="Tender-Header">
    <w:name w:val="Tender - Header"/>
    <w:basedOn w:val="Textoindependiente"/>
    <w:uiPriority w:val="99"/>
    <w:rsid w:val="005A720E"/>
    <w:pPr>
      <w:keepLines/>
      <w:pBdr>
        <w:bottom w:val="single" w:sz="6" w:space="1" w:color="auto"/>
      </w:pBdr>
      <w:tabs>
        <w:tab w:val="left" w:pos="2552"/>
        <w:tab w:val="right" w:pos="9923"/>
      </w:tabs>
      <w:suppressAutoHyphens/>
      <w:spacing w:before="60"/>
      <w:ind w:left="425"/>
      <w:jc w:val="left"/>
    </w:pPr>
    <w:rPr>
      <w:b w:val="0"/>
      <w:bCs w:val="0"/>
      <w:sz w:val="20"/>
    </w:rPr>
  </w:style>
  <w:style w:type="paragraph" w:customStyle="1" w:styleId="Tender-Footer">
    <w:name w:val="Tender - Footer"/>
    <w:basedOn w:val="Tender-Header"/>
    <w:uiPriority w:val="99"/>
    <w:rsid w:val="005A720E"/>
    <w:pPr>
      <w:pBdr>
        <w:top w:val="single" w:sz="6" w:space="1" w:color="auto"/>
        <w:bottom w:val="none" w:sz="0" w:space="0" w:color="auto"/>
      </w:pBdr>
      <w:tabs>
        <w:tab w:val="clear" w:pos="2552"/>
      </w:tabs>
      <w:ind w:left="426"/>
    </w:pPr>
    <w:rPr>
      <w:sz w:val="16"/>
    </w:rPr>
  </w:style>
  <w:style w:type="paragraph" w:customStyle="1" w:styleId="Bullet">
    <w:name w:val="Bullet"/>
    <w:basedOn w:val="Normal"/>
    <w:uiPriority w:val="99"/>
    <w:rsid w:val="005A720E"/>
    <w:pPr>
      <w:tabs>
        <w:tab w:val="left" w:pos="1531"/>
        <w:tab w:val="left" w:pos="2552"/>
        <w:tab w:val="left" w:pos="3856"/>
        <w:tab w:val="left" w:pos="5160"/>
        <w:tab w:val="left" w:pos="6464"/>
        <w:tab w:val="left" w:pos="7768"/>
        <w:tab w:val="left" w:pos="9072"/>
      </w:tabs>
      <w:suppressAutoHyphens/>
      <w:spacing w:after="60"/>
      <w:ind w:left="720" w:hanging="360"/>
    </w:pPr>
    <w:rPr>
      <w:rFonts w:ascii="Times" w:hAnsi="Times"/>
      <w:sz w:val="22"/>
      <w:lang w:val="en-GB" w:eastAsia="en-US"/>
    </w:rPr>
  </w:style>
  <w:style w:type="paragraph" w:customStyle="1" w:styleId="1Bullet">
    <w:name w:val="1Bullet"/>
    <w:basedOn w:val="Normal"/>
    <w:uiPriority w:val="99"/>
    <w:rsid w:val="005A720E"/>
    <w:pPr>
      <w:tabs>
        <w:tab w:val="left" w:pos="2552"/>
        <w:tab w:val="left" w:pos="3856"/>
        <w:tab w:val="left" w:pos="5160"/>
        <w:tab w:val="left" w:pos="6464"/>
        <w:tab w:val="left" w:pos="7768"/>
        <w:tab w:val="left" w:pos="9072"/>
      </w:tabs>
      <w:suppressAutoHyphens/>
      <w:spacing w:after="60"/>
      <w:ind w:left="2552" w:hanging="284"/>
    </w:pPr>
    <w:rPr>
      <w:rFonts w:ascii="Garamond" w:hAnsi="Garamond"/>
      <w:sz w:val="22"/>
      <w:lang w:val="en-GB" w:eastAsia="en-US"/>
    </w:rPr>
  </w:style>
  <w:style w:type="paragraph" w:customStyle="1" w:styleId="-InBullet">
    <w:name w:val="-InBullet"/>
    <w:basedOn w:val="Text"/>
    <w:uiPriority w:val="99"/>
    <w:rsid w:val="005A720E"/>
    <w:pPr>
      <w:widowControl/>
      <w:tabs>
        <w:tab w:val="left" w:pos="2835"/>
        <w:tab w:val="left" w:pos="3856"/>
        <w:tab w:val="left" w:pos="5160"/>
        <w:tab w:val="left" w:pos="6464"/>
        <w:tab w:val="left" w:pos="7768"/>
        <w:tab w:val="left" w:pos="9072"/>
      </w:tabs>
      <w:suppressAutoHyphens/>
      <w:spacing w:before="0" w:line="240" w:lineRule="auto"/>
      <w:ind w:left="2836" w:hanging="284"/>
      <w:jc w:val="left"/>
    </w:pPr>
    <w:rPr>
      <w:rFonts w:ascii="Times" w:hAnsi="Times"/>
      <w:lang w:val="en-GB" w:eastAsia="en-US"/>
    </w:rPr>
  </w:style>
  <w:style w:type="paragraph" w:customStyle="1" w:styleId="Punkter">
    <w:name w:val="Punkter"/>
    <w:basedOn w:val="Normal"/>
    <w:next w:val="Brdutanindrag"/>
    <w:uiPriority w:val="99"/>
    <w:rsid w:val="005A720E"/>
    <w:pPr>
      <w:spacing w:line="260" w:lineRule="exact"/>
      <w:ind w:left="720" w:hanging="360"/>
    </w:pPr>
    <w:rPr>
      <w:rFonts w:ascii="Courier New" w:hAnsi="Courier New"/>
      <w:lang w:val="sv-SE" w:eastAsia="en-US"/>
    </w:rPr>
  </w:style>
  <w:style w:type="paragraph" w:customStyle="1" w:styleId="Brdutanindrag">
    <w:name w:val="Bröd utan indrag"/>
    <w:basedOn w:val="Normal"/>
    <w:uiPriority w:val="99"/>
    <w:rsid w:val="005A720E"/>
    <w:pPr>
      <w:spacing w:line="260" w:lineRule="exact"/>
    </w:pPr>
    <w:rPr>
      <w:rFonts w:ascii="Courier New" w:hAnsi="Courier New"/>
      <w:kern w:val="18"/>
      <w:lang w:val="en-US" w:eastAsia="en-US"/>
    </w:rPr>
  </w:style>
  <w:style w:type="paragraph" w:customStyle="1" w:styleId="TableHeader">
    <w:name w:val="Table Header"/>
    <w:basedOn w:val="Normal"/>
    <w:autoRedefine/>
    <w:uiPriority w:val="99"/>
    <w:rsid w:val="005A720E"/>
    <w:pPr>
      <w:keepNext/>
      <w:spacing w:before="40" w:after="80"/>
      <w:jc w:val="both"/>
    </w:pPr>
    <w:rPr>
      <w:rFonts w:cs="Arial"/>
      <w:bCs/>
      <w:szCs w:val="30"/>
      <w:lang w:val="es-MX" w:eastAsia="en-US"/>
    </w:rPr>
  </w:style>
  <w:style w:type="paragraph" w:customStyle="1" w:styleId="Fig">
    <w:name w:val="Fig"/>
    <w:basedOn w:val="Normal"/>
    <w:next w:val="Normal"/>
    <w:uiPriority w:val="99"/>
    <w:rsid w:val="005A720E"/>
    <w:pPr>
      <w:tabs>
        <w:tab w:val="left" w:pos="794"/>
        <w:tab w:val="left" w:pos="1191"/>
        <w:tab w:val="left" w:pos="1588"/>
        <w:tab w:val="left" w:pos="1985"/>
      </w:tabs>
      <w:overflowPunct w:val="0"/>
      <w:autoSpaceDE w:val="0"/>
      <w:autoSpaceDN w:val="0"/>
      <w:adjustRightInd w:val="0"/>
      <w:spacing w:before="136"/>
      <w:jc w:val="center"/>
      <w:textAlignment w:val="baseline"/>
    </w:pPr>
    <w:rPr>
      <w:rFonts w:ascii="Times New Roman" w:hAnsi="Times New Roman"/>
      <w:lang w:val="en-US"/>
    </w:rPr>
  </w:style>
  <w:style w:type="paragraph" w:customStyle="1" w:styleId="Figure">
    <w:name w:val="Figure"/>
    <w:basedOn w:val="Normal"/>
    <w:autoRedefine/>
    <w:uiPriority w:val="99"/>
    <w:rsid w:val="005A720E"/>
    <w:pPr>
      <w:numPr>
        <w:numId w:val="17"/>
      </w:numPr>
      <w:tabs>
        <w:tab w:val="clear" w:pos="936"/>
      </w:tabs>
      <w:spacing w:before="40" w:after="200" w:line="288" w:lineRule="auto"/>
      <w:ind w:left="0" w:firstLine="0"/>
      <w:jc w:val="center"/>
    </w:pPr>
    <w:rPr>
      <w:rFonts w:cs="Arial"/>
      <w:b/>
      <w:bCs/>
      <w:szCs w:val="30"/>
      <w:lang w:val="es-MX" w:eastAsia="en-US"/>
    </w:rPr>
  </w:style>
  <w:style w:type="paragraph" w:customStyle="1" w:styleId="Bullets1">
    <w:name w:val="Bullets 1"/>
    <w:basedOn w:val="Normal"/>
    <w:uiPriority w:val="99"/>
    <w:rsid w:val="005A720E"/>
    <w:pPr>
      <w:tabs>
        <w:tab w:val="left" w:pos="1021"/>
      </w:tabs>
      <w:spacing w:after="20"/>
      <w:ind w:left="1080" w:hanging="360"/>
      <w:jc w:val="both"/>
    </w:pPr>
    <w:rPr>
      <w:lang w:val="es-MX"/>
    </w:rPr>
  </w:style>
  <w:style w:type="paragraph" w:customStyle="1" w:styleId="Listavistosa-nfasis11">
    <w:name w:val="Lista vistosa - Énfasis 11"/>
    <w:basedOn w:val="Normal"/>
    <w:uiPriority w:val="99"/>
    <w:rsid w:val="005A720E"/>
    <w:pPr>
      <w:ind w:left="708"/>
      <w:jc w:val="both"/>
    </w:pPr>
    <w:rPr>
      <w:lang w:val="es-MX"/>
    </w:rPr>
  </w:style>
  <w:style w:type="paragraph" w:customStyle="1" w:styleId="Texto2">
    <w:name w:val="Texto 2"/>
    <w:basedOn w:val="Normal"/>
    <w:uiPriority w:val="99"/>
    <w:rsid w:val="005A720E"/>
    <w:pPr>
      <w:ind w:left="454"/>
      <w:jc w:val="both"/>
    </w:pPr>
    <w:rPr>
      <w:lang w:val="es-MX"/>
    </w:rPr>
  </w:style>
  <w:style w:type="paragraph" w:customStyle="1" w:styleId="FIGURAS">
    <w:name w:val="FIGURAS"/>
    <w:basedOn w:val="Normal"/>
    <w:link w:val="FIGURASCar"/>
    <w:uiPriority w:val="99"/>
    <w:rsid w:val="005A720E"/>
    <w:pPr>
      <w:numPr>
        <w:numId w:val="18"/>
      </w:numPr>
      <w:ind w:left="0" w:firstLine="0"/>
      <w:jc w:val="center"/>
    </w:pPr>
    <w:rPr>
      <w:sz w:val="20"/>
      <w:lang w:val="es-ES"/>
    </w:rPr>
  </w:style>
  <w:style w:type="character" w:customStyle="1" w:styleId="FIGURASCar">
    <w:name w:val="FIGURAS Car"/>
    <w:link w:val="FIGURAS"/>
    <w:uiPriority w:val="99"/>
    <w:locked/>
    <w:rsid w:val="005A720E"/>
    <w:rPr>
      <w:rFonts w:asciiTheme="minorHAnsi" w:hAnsiTheme="minorHAnsi"/>
      <w:sz w:val="20"/>
      <w:lang w:val="es-ES" w:eastAsia="es-ES"/>
    </w:rPr>
  </w:style>
  <w:style w:type="paragraph" w:customStyle="1" w:styleId="FIGURACarCarCar">
    <w:name w:val="FIGURA Car Car Car"/>
    <w:basedOn w:val="FIGURAS"/>
    <w:link w:val="FIGURACarCarCarCar"/>
    <w:uiPriority w:val="99"/>
    <w:rsid w:val="005A720E"/>
    <w:pPr>
      <w:numPr>
        <w:numId w:val="0"/>
      </w:numPr>
      <w:ind w:left="720" w:hanging="360"/>
    </w:pPr>
  </w:style>
  <w:style w:type="character" w:customStyle="1" w:styleId="FIGURACarCarCarCar">
    <w:name w:val="FIGURA Car Car Car Car"/>
    <w:link w:val="FIGURACarCarCar"/>
    <w:uiPriority w:val="99"/>
    <w:locked/>
    <w:rsid w:val="005A720E"/>
    <w:rPr>
      <w:rFonts w:ascii="Arial" w:hAnsi="Arial"/>
      <w:sz w:val="24"/>
      <w:lang w:eastAsia="es-ES"/>
    </w:rPr>
  </w:style>
  <w:style w:type="paragraph" w:customStyle="1" w:styleId="CAPITULOS">
    <w:name w:val="CAPITULOS"/>
    <w:basedOn w:val="Normal"/>
    <w:link w:val="CAPITULOSCar"/>
    <w:uiPriority w:val="99"/>
    <w:rsid w:val="005A720E"/>
    <w:pPr>
      <w:jc w:val="both"/>
    </w:pPr>
    <w:rPr>
      <w:b/>
      <w:sz w:val="32"/>
      <w:lang w:val="es-MX"/>
    </w:rPr>
  </w:style>
  <w:style w:type="character" w:customStyle="1" w:styleId="CAPITULOSCar">
    <w:name w:val="CAPITULOS Car"/>
    <w:link w:val="CAPITULOS"/>
    <w:uiPriority w:val="99"/>
    <w:locked/>
    <w:rsid w:val="005A720E"/>
    <w:rPr>
      <w:rFonts w:ascii="Arial" w:hAnsi="Arial"/>
      <w:b/>
      <w:sz w:val="32"/>
      <w:lang w:val="es-MX" w:eastAsia="es-ES"/>
    </w:rPr>
  </w:style>
  <w:style w:type="paragraph" w:styleId="ndice1">
    <w:name w:val="index 1"/>
    <w:basedOn w:val="Listaconnmeros"/>
    <w:next w:val="Normal"/>
    <w:autoRedefine/>
    <w:uiPriority w:val="99"/>
    <w:rsid w:val="005A720E"/>
    <w:pPr>
      <w:ind w:left="240" w:hanging="240"/>
      <w:contextualSpacing w:val="0"/>
      <w:jc w:val="left"/>
    </w:pPr>
    <w:rPr>
      <w:rFonts w:ascii="Calibri" w:hAnsi="Calibri"/>
      <w:sz w:val="20"/>
    </w:rPr>
  </w:style>
  <w:style w:type="paragraph" w:styleId="Listaconnmeros">
    <w:name w:val="List Number"/>
    <w:basedOn w:val="Normal"/>
    <w:uiPriority w:val="99"/>
    <w:rsid w:val="005A720E"/>
    <w:pPr>
      <w:ind w:left="1080" w:hanging="360"/>
      <w:contextualSpacing/>
      <w:jc w:val="both"/>
    </w:pPr>
    <w:rPr>
      <w:lang w:val="es-MX"/>
    </w:rPr>
  </w:style>
  <w:style w:type="paragraph" w:customStyle="1" w:styleId="Listavistosa-nfasis12">
    <w:name w:val="Lista vistosa - Énfasis 12"/>
    <w:basedOn w:val="Normal"/>
    <w:uiPriority w:val="99"/>
    <w:rsid w:val="005A720E"/>
    <w:pPr>
      <w:ind w:left="708"/>
      <w:jc w:val="both"/>
    </w:pPr>
    <w:rPr>
      <w:lang w:val="es-MX"/>
    </w:rPr>
  </w:style>
  <w:style w:type="paragraph" w:styleId="ndice2">
    <w:name w:val="index 2"/>
    <w:basedOn w:val="Normal"/>
    <w:next w:val="Normal"/>
    <w:autoRedefine/>
    <w:uiPriority w:val="99"/>
    <w:rsid w:val="005A720E"/>
    <w:pPr>
      <w:ind w:left="480" w:hanging="240"/>
    </w:pPr>
    <w:rPr>
      <w:rFonts w:ascii="Calibri" w:hAnsi="Calibri"/>
      <w:lang w:val="es-MX"/>
    </w:rPr>
  </w:style>
  <w:style w:type="paragraph" w:customStyle="1" w:styleId="TITULOTELMEXSUBCAPITULOS">
    <w:name w:val="TITULO TELMEX SUBCAPITULOS"/>
    <w:basedOn w:val="Normal"/>
    <w:link w:val="TITULOTELMEXSUBCAPITULOSCar"/>
    <w:uiPriority w:val="99"/>
    <w:rsid w:val="005A720E"/>
    <w:pPr>
      <w:jc w:val="both"/>
    </w:pPr>
    <w:rPr>
      <w:b/>
      <w:sz w:val="32"/>
    </w:rPr>
  </w:style>
  <w:style w:type="character" w:customStyle="1" w:styleId="andradCar">
    <w:name w:val="andrad Car"/>
    <w:aliases w:val="compact Car,paragraph 2 Car,- TF Car"/>
    <w:uiPriority w:val="99"/>
    <w:rsid w:val="005A720E"/>
    <w:rPr>
      <w:rFonts w:ascii="Arial" w:hAnsi="Arial"/>
      <w:b/>
      <w:sz w:val="28"/>
    </w:rPr>
  </w:style>
  <w:style w:type="paragraph" w:customStyle="1" w:styleId="FIGURA">
    <w:name w:val="FIGURA"/>
    <w:basedOn w:val="FIGURAS"/>
    <w:link w:val="FIGURACar"/>
    <w:uiPriority w:val="99"/>
    <w:rsid w:val="005A720E"/>
    <w:pPr>
      <w:ind w:left="720" w:hanging="360"/>
    </w:pPr>
  </w:style>
  <w:style w:type="character" w:customStyle="1" w:styleId="FIGURACar">
    <w:name w:val="FIGURA Car"/>
    <w:basedOn w:val="FIGURASCar"/>
    <w:link w:val="FIGURA"/>
    <w:uiPriority w:val="99"/>
    <w:locked/>
    <w:rsid w:val="005A720E"/>
    <w:rPr>
      <w:rFonts w:asciiTheme="minorHAnsi" w:hAnsiTheme="minorHAnsi"/>
      <w:sz w:val="20"/>
      <w:lang w:val="es-ES" w:eastAsia="es-ES"/>
    </w:rPr>
  </w:style>
  <w:style w:type="character" w:customStyle="1" w:styleId="FIGURACarCar">
    <w:name w:val="FIGURA Car Car"/>
    <w:basedOn w:val="FIGURASCar"/>
    <w:uiPriority w:val="99"/>
    <w:rsid w:val="005A720E"/>
    <w:rPr>
      <w:rFonts w:ascii="Arial" w:hAnsi="Arial" w:cs="Times New Roman"/>
      <w:sz w:val="20"/>
      <w:szCs w:val="20"/>
      <w:lang w:val="es-ES" w:eastAsia="es-ES" w:bidi="ar-SA"/>
    </w:rPr>
  </w:style>
  <w:style w:type="paragraph" w:customStyle="1" w:styleId="SUBCAP">
    <w:name w:val="SUBCAP"/>
    <w:basedOn w:val="CAPITULOS"/>
    <w:link w:val="SUBCAPCar"/>
    <w:uiPriority w:val="99"/>
    <w:rsid w:val="005A720E"/>
    <w:rPr>
      <w:sz w:val="24"/>
    </w:rPr>
  </w:style>
  <w:style w:type="character" w:customStyle="1" w:styleId="SUBCAPCar">
    <w:name w:val="SUBCAP Car"/>
    <w:link w:val="SUBCAP"/>
    <w:uiPriority w:val="99"/>
    <w:locked/>
    <w:rsid w:val="005A720E"/>
    <w:rPr>
      <w:rFonts w:ascii="Arial" w:hAnsi="Arial"/>
      <w:b/>
      <w:sz w:val="24"/>
      <w:lang w:val="es-MX" w:eastAsia="es-ES"/>
    </w:rPr>
  </w:style>
  <w:style w:type="paragraph" w:customStyle="1" w:styleId="SUBSUBCAP">
    <w:name w:val="SUBSUBCAP"/>
    <w:basedOn w:val="SUBCAP"/>
    <w:link w:val="SUBSUBCAPCar"/>
    <w:autoRedefine/>
    <w:uiPriority w:val="99"/>
    <w:rsid w:val="005A720E"/>
    <w:pPr>
      <w:numPr>
        <w:ilvl w:val="2"/>
        <w:numId w:val="20"/>
      </w:numPr>
      <w:outlineLvl w:val="0"/>
    </w:pPr>
    <w:rPr>
      <w:sz w:val="20"/>
      <w:lang w:val="es-ES"/>
    </w:rPr>
  </w:style>
  <w:style w:type="character" w:customStyle="1" w:styleId="SUBSUBCAPCar">
    <w:name w:val="SUBSUBCAP Car"/>
    <w:link w:val="SUBSUBCAP"/>
    <w:uiPriority w:val="99"/>
    <w:locked/>
    <w:rsid w:val="005A720E"/>
    <w:rPr>
      <w:rFonts w:asciiTheme="minorHAnsi" w:hAnsiTheme="minorHAnsi"/>
      <w:b/>
      <w:sz w:val="20"/>
      <w:lang w:val="es-ES" w:eastAsia="es-ES"/>
    </w:rPr>
  </w:style>
  <w:style w:type="paragraph" w:customStyle="1" w:styleId="OPCIONES">
    <w:name w:val="OPCIONES"/>
    <w:basedOn w:val="Normal"/>
    <w:link w:val="OPCIONESCar"/>
    <w:uiPriority w:val="99"/>
    <w:rsid w:val="005A720E"/>
    <w:pPr>
      <w:ind w:left="720" w:hanging="360"/>
      <w:jc w:val="both"/>
    </w:pPr>
  </w:style>
  <w:style w:type="character" w:customStyle="1" w:styleId="OPCIONESCar">
    <w:name w:val="OPCIONES Car"/>
    <w:link w:val="OPCIONES"/>
    <w:uiPriority w:val="99"/>
    <w:locked/>
    <w:rsid w:val="005A720E"/>
    <w:rPr>
      <w:rFonts w:ascii="Arial" w:hAnsi="Arial"/>
      <w:sz w:val="24"/>
      <w:lang w:eastAsia="es-ES"/>
    </w:rPr>
  </w:style>
  <w:style w:type="paragraph" w:customStyle="1" w:styleId="SUBCAP4">
    <w:name w:val="SUBCAP4"/>
    <w:basedOn w:val="SUBSUBCAP"/>
    <w:link w:val="SUBCAP4Car"/>
    <w:autoRedefine/>
    <w:uiPriority w:val="99"/>
    <w:rsid w:val="005A720E"/>
    <w:pPr>
      <w:numPr>
        <w:ilvl w:val="3"/>
        <w:numId w:val="19"/>
      </w:numPr>
    </w:pPr>
  </w:style>
  <w:style w:type="character" w:customStyle="1" w:styleId="SUBCAP4Car">
    <w:name w:val="SUBCAP4 Car"/>
    <w:link w:val="SUBCAP4"/>
    <w:uiPriority w:val="99"/>
    <w:locked/>
    <w:rsid w:val="005A720E"/>
    <w:rPr>
      <w:rFonts w:asciiTheme="minorHAnsi" w:hAnsiTheme="minorHAnsi"/>
      <w:b/>
      <w:sz w:val="20"/>
      <w:lang w:val="es-ES" w:eastAsia="es-ES"/>
    </w:rPr>
  </w:style>
  <w:style w:type="paragraph" w:customStyle="1" w:styleId="OPCIONES2">
    <w:name w:val="OPCIONES2"/>
    <w:basedOn w:val="OPCIONES"/>
    <w:link w:val="OPCIONES2Car"/>
    <w:uiPriority w:val="99"/>
    <w:rsid w:val="005A720E"/>
  </w:style>
  <w:style w:type="character" w:customStyle="1" w:styleId="OPCIONES2Car">
    <w:name w:val="OPCIONES2 Car"/>
    <w:basedOn w:val="OPCIONESCar"/>
    <w:link w:val="OPCIONES2"/>
    <w:uiPriority w:val="99"/>
    <w:locked/>
    <w:rsid w:val="005A720E"/>
    <w:rPr>
      <w:rFonts w:ascii="Arial" w:hAnsi="Arial" w:cs="Times New Roman"/>
      <w:sz w:val="24"/>
      <w:lang w:eastAsia="es-ES" w:bidi="ar-SA"/>
    </w:rPr>
  </w:style>
  <w:style w:type="paragraph" w:customStyle="1" w:styleId="TITULOTELMEXCar">
    <w:name w:val="TITULO TELMEX Car"/>
    <w:basedOn w:val="Normal"/>
    <w:link w:val="TITULOTELMEXCarCar"/>
    <w:uiPriority w:val="99"/>
    <w:rsid w:val="005A720E"/>
    <w:pPr>
      <w:jc w:val="both"/>
    </w:pPr>
    <w:rPr>
      <w:b/>
      <w:sz w:val="32"/>
      <w:lang w:val="es-MX"/>
    </w:rPr>
  </w:style>
  <w:style w:type="character" w:customStyle="1" w:styleId="TITULOTELMEXCarCar">
    <w:name w:val="TITULO TELMEX Car Car"/>
    <w:link w:val="TITULOTELMEXCar"/>
    <w:uiPriority w:val="99"/>
    <w:locked/>
    <w:rsid w:val="005A720E"/>
    <w:rPr>
      <w:rFonts w:ascii="Arial" w:hAnsi="Arial"/>
      <w:b/>
      <w:sz w:val="32"/>
      <w:lang w:val="es-MX" w:eastAsia="es-ES"/>
    </w:rPr>
  </w:style>
  <w:style w:type="character" w:customStyle="1" w:styleId="longtext">
    <w:name w:val="long_text"/>
    <w:basedOn w:val="Fuentedeprrafopredeter"/>
    <w:uiPriority w:val="99"/>
    <w:rsid w:val="005A720E"/>
    <w:rPr>
      <w:rFonts w:cs="Times New Roman"/>
    </w:rPr>
  </w:style>
  <w:style w:type="paragraph" w:customStyle="1" w:styleId="TITULOTELMEX">
    <w:name w:val="TITULO TELMEX"/>
    <w:basedOn w:val="Normal"/>
    <w:uiPriority w:val="99"/>
    <w:rsid w:val="005A720E"/>
    <w:pPr>
      <w:ind w:left="426" w:hanging="426"/>
      <w:jc w:val="both"/>
    </w:pPr>
    <w:rPr>
      <w:b/>
      <w:sz w:val="32"/>
      <w:lang w:val="es-MX"/>
    </w:rPr>
  </w:style>
  <w:style w:type="character" w:customStyle="1" w:styleId="corchete-llamada1">
    <w:name w:val="corchete-llamada1"/>
    <w:uiPriority w:val="99"/>
    <w:rsid w:val="005A720E"/>
    <w:rPr>
      <w:vanish/>
    </w:rPr>
  </w:style>
  <w:style w:type="character" w:customStyle="1" w:styleId="mw-headline">
    <w:name w:val="mw-headline"/>
    <w:basedOn w:val="Fuentedeprrafopredeter"/>
    <w:uiPriority w:val="99"/>
    <w:rsid w:val="005A720E"/>
    <w:rPr>
      <w:rFonts w:cs="Times New Roman"/>
    </w:rPr>
  </w:style>
  <w:style w:type="paragraph" w:styleId="ndice3">
    <w:name w:val="index 3"/>
    <w:basedOn w:val="Normal"/>
    <w:next w:val="Normal"/>
    <w:autoRedefine/>
    <w:uiPriority w:val="99"/>
    <w:semiHidden/>
    <w:rsid w:val="005A720E"/>
    <w:pPr>
      <w:ind w:left="720" w:hanging="240"/>
    </w:pPr>
    <w:rPr>
      <w:rFonts w:ascii="Calibri" w:hAnsi="Calibri"/>
      <w:lang w:val="es-MX"/>
    </w:rPr>
  </w:style>
  <w:style w:type="paragraph" w:styleId="ndice4">
    <w:name w:val="index 4"/>
    <w:basedOn w:val="Normal"/>
    <w:next w:val="Normal"/>
    <w:autoRedefine/>
    <w:uiPriority w:val="99"/>
    <w:semiHidden/>
    <w:rsid w:val="005A720E"/>
    <w:pPr>
      <w:ind w:left="960" w:hanging="240"/>
    </w:pPr>
    <w:rPr>
      <w:rFonts w:ascii="Calibri" w:hAnsi="Calibri"/>
      <w:lang w:val="es-MX"/>
    </w:rPr>
  </w:style>
  <w:style w:type="paragraph" w:styleId="ndice5">
    <w:name w:val="index 5"/>
    <w:basedOn w:val="Normal"/>
    <w:next w:val="Normal"/>
    <w:autoRedefine/>
    <w:uiPriority w:val="99"/>
    <w:semiHidden/>
    <w:rsid w:val="005A720E"/>
    <w:pPr>
      <w:ind w:left="1200" w:hanging="240"/>
    </w:pPr>
    <w:rPr>
      <w:rFonts w:ascii="Calibri" w:hAnsi="Calibri"/>
      <w:lang w:val="es-MX"/>
    </w:rPr>
  </w:style>
  <w:style w:type="paragraph" w:styleId="ndice6">
    <w:name w:val="index 6"/>
    <w:basedOn w:val="Normal"/>
    <w:next w:val="Normal"/>
    <w:autoRedefine/>
    <w:uiPriority w:val="99"/>
    <w:semiHidden/>
    <w:rsid w:val="005A720E"/>
    <w:pPr>
      <w:ind w:left="1440" w:hanging="240"/>
    </w:pPr>
    <w:rPr>
      <w:rFonts w:ascii="Calibri" w:hAnsi="Calibri"/>
      <w:lang w:val="es-MX"/>
    </w:rPr>
  </w:style>
  <w:style w:type="paragraph" w:styleId="ndice7">
    <w:name w:val="index 7"/>
    <w:basedOn w:val="Normal"/>
    <w:next w:val="Normal"/>
    <w:autoRedefine/>
    <w:uiPriority w:val="99"/>
    <w:semiHidden/>
    <w:rsid w:val="005A720E"/>
    <w:pPr>
      <w:ind w:left="1680" w:hanging="240"/>
    </w:pPr>
    <w:rPr>
      <w:rFonts w:ascii="Calibri" w:hAnsi="Calibri"/>
      <w:lang w:val="es-MX"/>
    </w:rPr>
  </w:style>
  <w:style w:type="paragraph" w:styleId="ndice8">
    <w:name w:val="index 8"/>
    <w:basedOn w:val="Normal"/>
    <w:next w:val="Normal"/>
    <w:autoRedefine/>
    <w:uiPriority w:val="99"/>
    <w:semiHidden/>
    <w:rsid w:val="005A720E"/>
    <w:pPr>
      <w:ind w:left="1920" w:hanging="240"/>
    </w:pPr>
    <w:rPr>
      <w:rFonts w:ascii="Calibri" w:hAnsi="Calibri"/>
      <w:lang w:val="es-MX"/>
    </w:rPr>
  </w:style>
  <w:style w:type="paragraph" w:styleId="ndice9">
    <w:name w:val="index 9"/>
    <w:basedOn w:val="Normal"/>
    <w:next w:val="Normal"/>
    <w:autoRedefine/>
    <w:uiPriority w:val="99"/>
    <w:semiHidden/>
    <w:rsid w:val="005A720E"/>
    <w:pPr>
      <w:ind w:left="2160" w:hanging="240"/>
    </w:pPr>
    <w:rPr>
      <w:rFonts w:ascii="Calibri" w:hAnsi="Calibri"/>
      <w:lang w:val="es-MX"/>
    </w:rPr>
  </w:style>
  <w:style w:type="paragraph" w:styleId="Ttulodendice">
    <w:name w:val="index heading"/>
    <w:basedOn w:val="Normal"/>
    <w:next w:val="ndice1"/>
    <w:uiPriority w:val="99"/>
    <w:semiHidden/>
    <w:rsid w:val="005A720E"/>
    <w:pPr>
      <w:spacing w:before="120" w:after="120"/>
    </w:pPr>
    <w:rPr>
      <w:rFonts w:ascii="Calibri" w:hAnsi="Calibri"/>
      <w:b/>
      <w:bCs/>
      <w:i/>
      <w:iCs/>
      <w:lang w:val="es-MX"/>
    </w:rPr>
  </w:style>
  <w:style w:type="paragraph" w:customStyle="1" w:styleId="Sinespaciado1">
    <w:name w:val="Sin espaciado1"/>
    <w:uiPriority w:val="99"/>
    <w:rsid w:val="005A720E"/>
    <w:rPr>
      <w:sz w:val="22"/>
      <w:szCs w:val="22"/>
      <w:lang w:val="es-ES" w:eastAsia="en-US"/>
    </w:rPr>
  </w:style>
  <w:style w:type="paragraph" w:customStyle="1" w:styleId="DIDTEXTO">
    <w:name w:val="DID TEXTO"/>
    <w:basedOn w:val="TITULOTELMEXCar"/>
    <w:link w:val="DIDTEXTOCar"/>
    <w:uiPriority w:val="99"/>
    <w:rsid w:val="005A720E"/>
    <w:pPr>
      <w:outlineLvl w:val="0"/>
    </w:pPr>
    <w:rPr>
      <w:b w:val="0"/>
      <w:sz w:val="24"/>
    </w:rPr>
  </w:style>
  <w:style w:type="paragraph" w:customStyle="1" w:styleId="Prrafodelista1">
    <w:name w:val="Párrafo de lista1"/>
    <w:basedOn w:val="Normal"/>
    <w:uiPriority w:val="99"/>
    <w:qFormat/>
    <w:rsid w:val="005A720E"/>
    <w:pPr>
      <w:ind w:left="708"/>
      <w:jc w:val="both"/>
    </w:pPr>
    <w:rPr>
      <w:lang w:val="es-MX"/>
    </w:rPr>
  </w:style>
  <w:style w:type="character" w:customStyle="1" w:styleId="DIDTEXTOCar">
    <w:name w:val="DID TEXTO Car"/>
    <w:link w:val="DIDTEXTO"/>
    <w:uiPriority w:val="99"/>
    <w:locked/>
    <w:rsid w:val="005A720E"/>
    <w:rPr>
      <w:rFonts w:ascii="Arial" w:hAnsi="Arial"/>
      <w:sz w:val="24"/>
      <w:lang w:val="es-MX" w:eastAsia="es-ES"/>
    </w:rPr>
  </w:style>
  <w:style w:type="paragraph" w:customStyle="1" w:styleId="DIDSUBCAP">
    <w:name w:val="DID SUBCAP"/>
    <w:basedOn w:val="CAPITULOS"/>
    <w:link w:val="DIDSUBCAPCar"/>
    <w:uiPriority w:val="99"/>
    <w:rsid w:val="005A720E"/>
    <w:pPr>
      <w:numPr>
        <w:ilvl w:val="1"/>
        <w:numId w:val="22"/>
      </w:numPr>
    </w:pPr>
    <w:rPr>
      <w:sz w:val="28"/>
      <w:lang w:val="es-ES"/>
    </w:rPr>
  </w:style>
  <w:style w:type="character" w:customStyle="1" w:styleId="DIDSUBCAPCar">
    <w:name w:val="DID SUBCAP Car"/>
    <w:link w:val="DIDSUBCAP"/>
    <w:uiPriority w:val="99"/>
    <w:locked/>
    <w:rsid w:val="005A720E"/>
    <w:rPr>
      <w:rFonts w:asciiTheme="minorHAnsi" w:hAnsiTheme="minorHAnsi"/>
      <w:b/>
      <w:sz w:val="28"/>
      <w:lang w:val="es-ES" w:eastAsia="es-ES"/>
    </w:rPr>
  </w:style>
  <w:style w:type="character" w:customStyle="1" w:styleId="TITULOTELMEXSUBCAPITULOSCar">
    <w:name w:val="TITULO TELMEX SUBCAPITULOS Car"/>
    <w:link w:val="TITULOTELMEXSUBCAPITULOS"/>
    <w:uiPriority w:val="99"/>
    <w:locked/>
    <w:rsid w:val="005A720E"/>
    <w:rPr>
      <w:rFonts w:ascii="Arial" w:hAnsi="Arial"/>
      <w:b/>
      <w:sz w:val="32"/>
    </w:rPr>
  </w:style>
  <w:style w:type="paragraph" w:customStyle="1" w:styleId="TtulodeTDC1">
    <w:name w:val="Título de TDC1"/>
    <w:basedOn w:val="Ttulo1"/>
    <w:next w:val="Normal"/>
    <w:uiPriority w:val="99"/>
    <w:semiHidden/>
    <w:rsid w:val="005A720E"/>
    <w:pPr>
      <w:keepLines/>
      <w:spacing w:before="480" w:after="0"/>
      <w:outlineLvl w:val="9"/>
    </w:pPr>
    <w:rPr>
      <w:rFonts w:ascii="Cambria" w:hAnsi="Cambria"/>
      <w:bCs/>
      <w:color w:val="365F91"/>
      <w:szCs w:val="28"/>
    </w:rPr>
  </w:style>
  <w:style w:type="paragraph" w:customStyle="1" w:styleId="CM2">
    <w:name w:val="CM2"/>
    <w:basedOn w:val="Default"/>
    <w:next w:val="Default"/>
    <w:uiPriority w:val="99"/>
    <w:rsid w:val="005A720E"/>
    <w:pPr>
      <w:widowControl w:val="0"/>
      <w:autoSpaceDE w:val="0"/>
      <w:autoSpaceDN w:val="0"/>
      <w:adjustRightInd w:val="0"/>
      <w:spacing w:line="266" w:lineRule="atLeast"/>
    </w:pPr>
    <w:rPr>
      <w:rFonts w:ascii="Times New Roman" w:hAnsi="Times New Roman"/>
      <w:color w:val="auto"/>
    </w:rPr>
  </w:style>
  <w:style w:type="paragraph" w:customStyle="1" w:styleId="CM18">
    <w:name w:val="CM18"/>
    <w:basedOn w:val="Default"/>
    <w:next w:val="Default"/>
    <w:uiPriority w:val="99"/>
    <w:rsid w:val="005A720E"/>
    <w:pPr>
      <w:widowControl w:val="0"/>
      <w:autoSpaceDE w:val="0"/>
      <w:autoSpaceDN w:val="0"/>
      <w:adjustRightInd w:val="0"/>
      <w:spacing w:after="263"/>
    </w:pPr>
    <w:rPr>
      <w:rFonts w:ascii="Times New Roman" w:hAnsi="Times New Roman"/>
      <w:color w:val="auto"/>
    </w:rPr>
  </w:style>
  <w:style w:type="paragraph" w:customStyle="1" w:styleId="CM19">
    <w:name w:val="CM19"/>
    <w:basedOn w:val="Default"/>
    <w:next w:val="Default"/>
    <w:uiPriority w:val="99"/>
    <w:rsid w:val="005A720E"/>
    <w:pPr>
      <w:widowControl w:val="0"/>
      <w:autoSpaceDE w:val="0"/>
      <w:autoSpaceDN w:val="0"/>
      <w:adjustRightInd w:val="0"/>
      <w:spacing w:after="615"/>
    </w:pPr>
    <w:rPr>
      <w:rFonts w:ascii="Times New Roman" w:hAnsi="Times New Roman"/>
      <w:color w:val="auto"/>
    </w:rPr>
  </w:style>
  <w:style w:type="paragraph" w:customStyle="1" w:styleId="CM17">
    <w:name w:val="CM17"/>
    <w:basedOn w:val="Default"/>
    <w:next w:val="Default"/>
    <w:uiPriority w:val="99"/>
    <w:rsid w:val="005A720E"/>
    <w:pPr>
      <w:widowControl w:val="0"/>
      <w:autoSpaceDE w:val="0"/>
      <w:autoSpaceDN w:val="0"/>
      <w:adjustRightInd w:val="0"/>
      <w:spacing w:after="448"/>
    </w:pPr>
    <w:rPr>
      <w:rFonts w:ascii="Times New Roman" w:hAnsi="Times New Roman"/>
      <w:color w:val="auto"/>
    </w:rPr>
  </w:style>
  <w:style w:type="paragraph" w:customStyle="1" w:styleId="CM21">
    <w:name w:val="CM21"/>
    <w:basedOn w:val="Default"/>
    <w:next w:val="Default"/>
    <w:uiPriority w:val="99"/>
    <w:rsid w:val="005A720E"/>
    <w:pPr>
      <w:widowControl w:val="0"/>
      <w:autoSpaceDE w:val="0"/>
      <w:autoSpaceDN w:val="0"/>
      <w:adjustRightInd w:val="0"/>
      <w:spacing w:after="518"/>
    </w:pPr>
    <w:rPr>
      <w:rFonts w:ascii="Times New Roman" w:hAnsi="Times New Roman"/>
      <w:color w:val="auto"/>
    </w:rPr>
  </w:style>
  <w:style w:type="paragraph" w:customStyle="1" w:styleId="CM3">
    <w:name w:val="CM3"/>
    <w:basedOn w:val="Default"/>
    <w:next w:val="Default"/>
    <w:uiPriority w:val="99"/>
    <w:rsid w:val="005A720E"/>
    <w:pPr>
      <w:widowControl w:val="0"/>
      <w:autoSpaceDE w:val="0"/>
      <w:autoSpaceDN w:val="0"/>
      <w:adjustRightInd w:val="0"/>
    </w:pPr>
    <w:rPr>
      <w:rFonts w:ascii="Times New Roman" w:hAnsi="Times New Roman"/>
      <w:color w:val="auto"/>
    </w:rPr>
  </w:style>
  <w:style w:type="paragraph" w:customStyle="1" w:styleId="CM7">
    <w:name w:val="CM7"/>
    <w:basedOn w:val="Default"/>
    <w:next w:val="Default"/>
    <w:uiPriority w:val="99"/>
    <w:rsid w:val="005A720E"/>
    <w:pPr>
      <w:widowControl w:val="0"/>
      <w:autoSpaceDE w:val="0"/>
      <w:autoSpaceDN w:val="0"/>
      <w:adjustRightInd w:val="0"/>
      <w:spacing w:line="266" w:lineRule="atLeast"/>
    </w:pPr>
    <w:rPr>
      <w:rFonts w:ascii="Times New Roman" w:hAnsi="Times New Roman"/>
      <w:color w:val="auto"/>
    </w:rPr>
  </w:style>
  <w:style w:type="paragraph" w:customStyle="1" w:styleId="CM9">
    <w:name w:val="CM9"/>
    <w:basedOn w:val="Default"/>
    <w:next w:val="Default"/>
    <w:uiPriority w:val="99"/>
    <w:rsid w:val="005A720E"/>
    <w:pPr>
      <w:widowControl w:val="0"/>
      <w:autoSpaceDE w:val="0"/>
      <w:autoSpaceDN w:val="0"/>
      <w:adjustRightInd w:val="0"/>
      <w:spacing w:line="266" w:lineRule="atLeast"/>
    </w:pPr>
    <w:rPr>
      <w:rFonts w:ascii="Times New Roman" w:hAnsi="Times New Roman"/>
      <w:color w:val="auto"/>
    </w:rPr>
  </w:style>
  <w:style w:type="paragraph" w:customStyle="1" w:styleId="CM26">
    <w:name w:val="CM26"/>
    <w:basedOn w:val="Default"/>
    <w:next w:val="Default"/>
    <w:uiPriority w:val="99"/>
    <w:rsid w:val="005A720E"/>
    <w:pPr>
      <w:widowControl w:val="0"/>
      <w:autoSpaceDE w:val="0"/>
      <w:autoSpaceDN w:val="0"/>
      <w:adjustRightInd w:val="0"/>
      <w:spacing w:after="208"/>
    </w:pPr>
    <w:rPr>
      <w:rFonts w:ascii="Times New Roman" w:hAnsi="Times New Roman"/>
      <w:color w:val="auto"/>
    </w:rPr>
  </w:style>
  <w:style w:type="paragraph" w:customStyle="1" w:styleId="CM23">
    <w:name w:val="CM23"/>
    <w:basedOn w:val="Default"/>
    <w:next w:val="Default"/>
    <w:uiPriority w:val="99"/>
    <w:rsid w:val="005A720E"/>
    <w:pPr>
      <w:widowControl w:val="0"/>
      <w:autoSpaceDE w:val="0"/>
      <w:autoSpaceDN w:val="0"/>
      <w:adjustRightInd w:val="0"/>
      <w:spacing w:after="373"/>
    </w:pPr>
    <w:rPr>
      <w:rFonts w:ascii="Times New Roman" w:hAnsi="Times New Roman"/>
      <w:color w:val="auto"/>
    </w:rPr>
  </w:style>
  <w:style w:type="paragraph" w:customStyle="1" w:styleId="CM20">
    <w:name w:val="CM20"/>
    <w:basedOn w:val="Default"/>
    <w:next w:val="Default"/>
    <w:uiPriority w:val="99"/>
    <w:rsid w:val="005A720E"/>
    <w:pPr>
      <w:widowControl w:val="0"/>
      <w:autoSpaceDE w:val="0"/>
      <w:autoSpaceDN w:val="0"/>
      <w:adjustRightInd w:val="0"/>
      <w:spacing w:after="680"/>
    </w:pPr>
    <w:rPr>
      <w:rFonts w:ascii="Times New Roman" w:hAnsi="Times New Roman"/>
      <w:color w:val="auto"/>
    </w:rPr>
  </w:style>
  <w:style w:type="table" w:customStyle="1" w:styleId="Tablaconcuadrcula1">
    <w:name w:val="Tabla con cuadrícula1"/>
    <w:uiPriority w:val="99"/>
    <w:locked/>
    <w:rsid w:val="005A720E"/>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stilo4">
    <w:name w:val="Estilo4"/>
    <w:basedOn w:val="Puesto"/>
    <w:autoRedefine/>
    <w:uiPriority w:val="99"/>
    <w:rsid w:val="005A720E"/>
    <w:pPr>
      <w:spacing w:before="0" w:after="0"/>
      <w:ind w:left="284"/>
      <w:jc w:val="left"/>
      <w:outlineLvl w:val="9"/>
    </w:pPr>
    <w:rPr>
      <w:kern w:val="0"/>
      <w:sz w:val="20"/>
      <w:lang w:val="es-MX"/>
    </w:rPr>
  </w:style>
  <w:style w:type="paragraph" w:styleId="TtulodeTDC">
    <w:name w:val="TOC Heading"/>
    <w:basedOn w:val="Ttulo1"/>
    <w:next w:val="Normal"/>
    <w:uiPriority w:val="99"/>
    <w:qFormat/>
    <w:rsid w:val="005A720E"/>
    <w:pPr>
      <w:keepLines/>
      <w:spacing w:before="480" w:after="0"/>
      <w:outlineLvl w:val="9"/>
    </w:pPr>
    <w:rPr>
      <w:rFonts w:ascii="Cambria" w:hAnsi="Cambria"/>
      <w:bCs/>
      <w:color w:val="365F91"/>
      <w:szCs w:val="28"/>
      <w:lang w:eastAsia="en-US"/>
    </w:rPr>
  </w:style>
  <w:style w:type="paragraph" w:styleId="Revisin">
    <w:name w:val="Revision"/>
    <w:hidden/>
    <w:uiPriority w:val="99"/>
    <w:semiHidden/>
    <w:rsid w:val="00213152"/>
    <w:rPr>
      <w:lang w:val="es-ES_tradnl" w:eastAsia="es-ES"/>
    </w:rPr>
  </w:style>
  <w:style w:type="numbering" w:customStyle="1" w:styleId="Estilo1">
    <w:name w:val="Estilo1"/>
    <w:rsid w:val="00BB1133"/>
    <w:pPr>
      <w:numPr>
        <w:numId w:val="21"/>
      </w:numPr>
    </w:pPr>
  </w:style>
  <w:style w:type="numbering" w:customStyle="1" w:styleId="Estilo2">
    <w:name w:val="Estilo2"/>
    <w:rsid w:val="00BB1133"/>
    <w:pPr>
      <w:numPr>
        <w:numId w:val="23"/>
      </w:numPr>
    </w:pPr>
  </w:style>
  <w:style w:type="numbering" w:customStyle="1" w:styleId="Estilo3">
    <w:name w:val="Estilo3"/>
    <w:rsid w:val="00BB1133"/>
    <w:pPr>
      <w:numPr>
        <w:numId w:val="24"/>
      </w:numPr>
    </w:pPr>
  </w:style>
  <w:style w:type="character" w:styleId="nfasis">
    <w:name w:val="Emphasis"/>
    <w:basedOn w:val="Fuentedeprrafopredeter"/>
    <w:qFormat/>
    <w:rsid w:val="00D23830"/>
    <w:rPr>
      <w:i/>
      <w:iCs/>
    </w:rPr>
  </w:style>
  <w:style w:type="paragraph" w:styleId="Textonotapie">
    <w:name w:val="footnote text"/>
    <w:basedOn w:val="Normal"/>
    <w:link w:val="TextonotapieCar"/>
    <w:uiPriority w:val="99"/>
    <w:unhideWhenUsed/>
    <w:qFormat/>
    <w:locked/>
    <w:rsid w:val="00EC6B21"/>
  </w:style>
  <w:style w:type="character" w:customStyle="1" w:styleId="TextonotapieCar">
    <w:name w:val="Texto nota pie Car"/>
    <w:basedOn w:val="Fuentedeprrafopredeter"/>
    <w:link w:val="Textonotapie"/>
    <w:uiPriority w:val="99"/>
    <w:rsid w:val="00EC6B21"/>
    <w:rPr>
      <w:rFonts w:ascii="Arial" w:hAnsi="Arial"/>
      <w:lang w:val="es-ES_tradnl" w:eastAsia="es-ES"/>
    </w:rPr>
  </w:style>
  <w:style w:type="character" w:styleId="Refdenotaalpie">
    <w:name w:val="footnote reference"/>
    <w:aliases w:val="Ref,de nota al pie,(NECG) Footnote Reference,o,fr,Style 3,Appel note de bas de p,Style 12,Style 124,Ref. de nota al pie 2,Style 6,Footnote Reference Superscript"/>
    <w:basedOn w:val="Fuentedeprrafopredeter"/>
    <w:uiPriority w:val="99"/>
    <w:unhideWhenUsed/>
    <w:locked/>
    <w:rsid w:val="00EC6B21"/>
    <w:rPr>
      <w:vertAlign w:val="superscript"/>
    </w:rPr>
  </w:style>
  <w:style w:type="paragraph" w:styleId="Textonotaalfinal">
    <w:name w:val="endnote text"/>
    <w:basedOn w:val="Normal"/>
    <w:link w:val="TextonotaalfinalCar"/>
    <w:uiPriority w:val="99"/>
    <w:semiHidden/>
    <w:unhideWhenUsed/>
    <w:locked/>
    <w:rsid w:val="001C2A8F"/>
    <w:rPr>
      <w:sz w:val="20"/>
      <w:szCs w:val="20"/>
    </w:rPr>
  </w:style>
  <w:style w:type="character" w:customStyle="1" w:styleId="TextonotaalfinalCar">
    <w:name w:val="Texto nota al final Car"/>
    <w:basedOn w:val="Fuentedeprrafopredeter"/>
    <w:link w:val="Textonotaalfinal"/>
    <w:uiPriority w:val="99"/>
    <w:semiHidden/>
    <w:rsid w:val="001C2A8F"/>
    <w:rPr>
      <w:rFonts w:asciiTheme="minorHAnsi" w:hAnsiTheme="minorHAnsi"/>
      <w:sz w:val="20"/>
      <w:szCs w:val="20"/>
      <w:lang w:val="es-ES_tradnl" w:eastAsia="es-ES"/>
    </w:rPr>
  </w:style>
  <w:style w:type="character" w:styleId="Refdenotaalfinal">
    <w:name w:val="endnote reference"/>
    <w:basedOn w:val="Fuentedeprrafopredeter"/>
    <w:uiPriority w:val="99"/>
    <w:semiHidden/>
    <w:unhideWhenUsed/>
    <w:locked/>
    <w:rsid w:val="001C2A8F"/>
    <w:rPr>
      <w:vertAlign w:val="superscript"/>
    </w:rPr>
  </w:style>
  <w:style w:type="paragraph" w:customStyle="1" w:styleId="Texto">
    <w:name w:val="Texto"/>
    <w:basedOn w:val="Normal"/>
    <w:link w:val="TextoCar"/>
    <w:uiPriority w:val="99"/>
    <w:rsid w:val="00175577"/>
    <w:pPr>
      <w:spacing w:after="101" w:line="216" w:lineRule="exact"/>
      <w:ind w:firstLine="288"/>
      <w:jc w:val="both"/>
    </w:pPr>
    <w:rPr>
      <w:rFonts w:ascii="Arial" w:hAnsi="Arial"/>
      <w:sz w:val="18"/>
      <w:szCs w:val="20"/>
      <w:lang w:val="es-ES"/>
    </w:rPr>
  </w:style>
  <w:style w:type="character" w:customStyle="1" w:styleId="TextoCar">
    <w:name w:val="Texto Car"/>
    <w:link w:val="Texto"/>
    <w:uiPriority w:val="99"/>
    <w:locked/>
    <w:rsid w:val="00175577"/>
    <w:rPr>
      <w:sz w:val="18"/>
      <w:szCs w:val="20"/>
      <w:lang w:val="es-ES" w:eastAsia="es-ES"/>
    </w:rPr>
  </w:style>
  <w:style w:type="table" w:styleId="Cuadrculamedia2-nfasis1">
    <w:name w:val="Medium Grid 2 Accent 1"/>
    <w:basedOn w:val="Tablanormal"/>
    <w:uiPriority w:val="68"/>
    <w:rsid w:val="008E5F71"/>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Prrafodelista4">
    <w:name w:val="Párrafo de lista4"/>
    <w:basedOn w:val="Normal"/>
    <w:rsid w:val="005E7C6E"/>
    <w:pPr>
      <w:spacing w:line="360" w:lineRule="auto"/>
      <w:ind w:left="708"/>
    </w:pPr>
    <w:rPr>
      <w:rFonts w:ascii="Arial" w:hAnsi="Arial"/>
      <w:sz w:val="20"/>
      <w:szCs w:val="20"/>
    </w:rPr>
  </w:style>
  <w:style w:type="paragraph" w:styleId="Sinespaciado">
    <w:name w:val="No Spacing"/>
    <w:uiPriority w:val="1"/>
    <w:qFormat/>
    <w:rsid w:val="00A05932"/>
    <w:rPr>
      <w:rFonts w:asciiTheme="minorHAnsi" w:hAnsiTheme="minorHAnsi"/>
      <w:lang w:val="es-ES_tradnl" w:eastAsia="es-ES"/>
    </w:rPr>
  </w:style>
  <w:style w:type="paragraph" w:customStyle="1" w:styleId="Prrafodelista2">
    <w:name w:val="Párrafo de lista2"/>
    <w:basedOn w:val="Normal"/>
    <w:uiPriority w:val="34"/>
    <w:rsid w:val="000D585A"/>
    <w:pPr>
      <w:ind w:left="708"/>
    </w:pPr>
    <w:rPr>
      <w:rFonts w:ascii="Calibri" w:eastAsiaTheme="minorHAnsi" w:hAnsi="Calibri"/>
      <w:lang w:val="es-MX" w:eastAsia="es-MX"/>
    </w:rPr>
  </w:style>
  <w:style w:type="paragraph" w:customStyle="1" w:styleId="Prrafodelista3">
    <w:name w:val="Párrafo de lista3"/>
    <w:basedOn w:val="Normal"/>
    <w:uiPriority w:val="34"/>
    <w:qFormat/>
    <w:rsid w:val="00FC3CE6"/>
    <w:pPr>
      <w:ind w:left="708"/>
    </w:pPr>
    <w:rPr>
      <w:rFonts w:ascii="Calibri" w:hAnsi="Calibri"/>
    </w:rPr>
  </w:style>
  <w:style w:type="character" w:customStyle="1" w:styleId="Cuerpodeltexto">
    <w:name w:val="Cuerpo del texto"/>
    <w:basedOn w:val="Fuentedeprrafopredeter"/>
    <w:uiPriority w:val="99"/>
    <w:rsid w:val="00610E6F"/>
    <w:rPr>
      <w:rFonts w:ascii="Arial" w:eastAsia="Times New Roman" w:hAnsi="Arial" w:cs="Arial"/>
      <w:color w:val="000000"/>
      <w:spacing w:val="0"/>
      <w:w w:val="100"/>
      <w:position w:val="0"/>
      <w:sz w:val="23"/>
      <w:szCs w:val="23"/>
      <w:u w:val="none"/>
      <w:lang w:val="es-ES"/>
    </w:rPr>
  </w:style>
  <w:style w:type="paragraph" w:customStyle="1" w:styleId="IFTnormal">
    <w:name w:val="IFT normal"/>
    <w:basedOn w:val="Normal"/>
    <w:link w:val="IFTnormalCar"/>
    <w:qFormat/>
    <w:rsid w:val="001C173C"/>
    <w:pPr>
      <w:spacing w:after="200" w:line="276" w:lineRule="auto"/>
      <w:jc w:val="both"/>
    </w:pPr>
    <w:rPr>
      <w:rFonts w:ascii="ITC Avant Garde" w:eastAsia="Calibri" w:hAnsi="ITC Avant Garde" w:cs="Calibri"/>
      <w:bCs/>
      <w:sz w:val="22"/>
      <w:szCs w:val="22"/>
      <w:lang w:val="es-MX" w:eastAsia="en-US"/>
    </w:rPr>
  </w:style>
  <w:style w:type="character" w:customStyle="1" w:styleId="IFTnormalCar">
    <w:name w:val="IFT normal Car"/>
    <w:basedOn w:val="Fuentedeprrafopredeter"/>
    <w:link w:val="IFTnormal"/>
    <w:qFormat/>
    <w:rsid w:val="001C173C"/>
    <w:rPr>
      <w:rFonts w:ascii="ITC Avant Garde" w:eastAsia="Calibri" w:hAnsi="ITC Avant Garde" w:cs="Calibri"/>
      <w:bCs/>
      <w:sz w:val="22"/>
      <w:szCs w:val="22"/>
      <w:lang w:eastAsia="en-US"/>
    </w:rPr>
  </w:style>
  <w:style w:type="character" w:customStyle="1" w:styleId="PrrafodelistaCar">
    <w:name w:val="Párrafo de lista Car"/>
    <w:link w:val="Prrafodelista"/>
    <w:uiPriority w:val="34"/>
    <w:qFormat/>
    <w:rsid w:val="008F00D7"/>
    <w:rPr>
      <w:rFonts w:asciiTheme="minorHAnsi" w:hAnsiTheme="minorHAnsi"/>
      <w:lang w:val="es-ES_tradnl" w:eastAsia="es-ES"/>
    </w:rPr>
  </w:style>
  <w:style w:type="table" w:customStyle="1" w:styleId="TableNormal">
    <w:name w:val="Table Normal"/>
    <w:uiPriority w:val="2"/>
    <w:semiHidden/>
    <w:unhideWhenUsed/>
    <w:qFormat/>
    <w:rsid w:val="009C50F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C50FC"/>
    <w:pPr>
      <w:widowControl w:val="0"/>
    </w:pPr>
    <w:rPr>
      <w:rFonts w:eastAsiaTheme="minorHAnsi" w:cstheme="minorBidi"/>
      <w:sz w:val="22"/>
      <w:szCs w:val="22"/>
      <w:lang w:val="en-US" w:eastAsia="en-US"/>
    </w:rPr>
  </w:style>
  <w:style w:type="paragraph" w:customStyle="1" w:styleId="3TitTer">
    <w:name w:val="3TitTer"/>
    <w:basedOn w:val="Normal"/>
    <w:link w:val="3TitTerCar"/>
    <w:autoRedefine/>
    <w:qFormat/>
    <w:rsid w:val="00394A75"/>
    <w:pPr>
      <w:spacing w:after="200" w:line="276" w:lineRule="auto"/>
      <w:ind w:left="504" w:hanging="504"/>
      <w:outlineLvl w:val="1"/>
    </w:pPr>
    <w:rPr>
      <w:rFonts w:ascii="ITC Avant Garde" w:eastAsia="Calibri" w:hAnsi="ITC Avant Garde"/>
      <w:b/>
      <w:sz w:val="22"/>
      <w:szCs w:val="22"/>
      <w:lang w:val="es-MX" w:eastAsia="en-US"/>
    </w:rPr>
  </w:style>
  <w:style w:type="character" w:customStyle="1" w:styleId="3TitTerCar">
    <w:name w:val="3TitTer Car"/>
    <w:basedOn w:val="Fuentedeprrafopredeter"/>
    <w:link w:val="3TitTer"/>
    <w:rsid w:val="00394A75"/>
    <w:rPr>
      <w:rFonts w:ascii="ITC Avant Garde" w:eastAsia="Calibri" w:hAnsi="ITC Avant Garde"/>
      <w:b/>
      <w:sz w:val="22"/>
      <w:szCs w:val="22"/>
      <w:lang w:eastAsia="en-US"/>
    </w:rPr>
  </w:style>
  <w:style w:type="paragraph" w:customStyle="1" w:styleId="CitaIFT">
    <w:name w:val="Cita IFT"/>
    <w:basedOn w:val="Normal"/>
    <w:link w:val="CitaIFTCar"/>
    <w:qFormat/>
    <w:rsid w:val="002F3F6A"/>
    <w:pPr>
      <w:adjustRightInd w:val="0"/>
      <w:spacing w:after="200" w:line="276" w:lineRule="auto"/>
      <w:ind w:left="851" w:right="760"/>
      <w:jc w:val="both"/>
    </w:pPr>
    <w:rPr>
      <w:rFonts w:ascii="ITC Avant Garde" w:hAnsi="ITC Avant Garde" w:cs="Arial"/>
      <w:bCs/>
      <w:i/>
      <w:color w:val="000000"/>
      <w:sz w:val="18"/>
      <w:szCs w:val="18"/>
    </w:rPr>
  </w:style>
  <w:style w:type="character" w:customStyle="1" w:styleId="CitaIFTCar">
    <w:name w:val="Cita IFT Car"/>
    <w:link w:val="CitaIFT"/>
    <w:qFormat/>
    <w:rsid w:val="002F3F6A"/>
    <w:rPr>
      <w:rFonts w:ascii="ITC Avant Garde" w:hAnsi="ITC Avant Garde" w:cs="Arial"/>
      <w:bCs/>
      <w:i/>
      <w:color w:val="000000"/>
      <w:sz w:val="18"/>
      <w:szCs w:val="18"/>
      <w:lang w:val="es-ES_tradnl" w:eastAsia="es-ES"/>
    </w:rPr>
  </w:style>
  <w:style w:type="paragraph" w:customStyle="1" w:styleId="CondicionesFinales">
    <w:name w:val="CondicionesFinales"/>
    <w:basedOn w:val="CitaIFT"/>
    <w:qFormat/>
    <w:rsid w:val="002A5D72"/>
    <w:rPr>
      <w:i w:val="0"/>
      <w:sz w:val="22"/>
      <w:szCs w:val="22"/>
    </w:rPr>
  </w:style>
  <w:style w:type="paragraph" w:customStyle="1" w:styleId="Citaift0">
    <w:name w:val="Cita ift"/>
    <w:basedOn w:val="Normal"/>
    <w:link w:val="CitaiftCar0"/>
    <w:qFormat/>
    <w:rsid w:val="00D341D5"/>
    <w:pPr>
      <w:adjustRightInd w:val="0"/>
      <w:spacing w:after="200" w:line="276" w:lineRule="auto"/>
      <w:ind w:left="851" w:right="760"/>
      <w:jc w:val="both"/>
    </w:pPr>
    <w:rPr>
      <w:rFonts w:ascii="ITC Avant Garde" w:hAnsi="ITC Avant Garde" w:cs="Arial"/>
      <w:i/>
      <w:color w:val="000000"/>
      <w:sz w:val="18"/>
      <w:szCs w:val="18"/>
      <w:lang w:val="es-MX"/>
    </w:rPr>
  </w:style>
  <w:style w:type="character" w:customStyle="1" w:styleId="CitaiftCar0">
    <w:name w:val="Cita ift Car"/>
    <w:link w:val="Citaift0"/>
    <w:rsid w:val="00D341D5"/>
    <w:rPr>
      <w:rFonts w:ascii="ITC Avant Garde" w:hAnsi="ITC Avant Garde" w:cs="Arial"/>
      <w:i/>
      <w:color w:val="000000"/>
      <w:sz w:val="18"/>
      <w:szCs w:val="18"/>
      <w:lang w:eastAsia="es-ES"/>
    </w:rPr>
  </w:style>
  <w:style w:type="paragraph" w:customStyle="1" w:styleId="Notaalpiedepagina">
    <w:name w:val="Nota al pie de pagina"/>
    <w:basedOn w:val="Textonotapie"/>
    <w:link w:val="NotaalpiedepaginaCar"/>
    <w:qFormat/>
    <w:rsid w:val="004740DC"/>
    <w:rPr>
      <w:sz w:val="18"/>
      <w:szCs w:val="18"/>
    </w:rPr>
  </w:style>
  <w:style w:type="character" w:customStyle="1" w:styleId="NotaalpiedepaginaCar">
    <w:name w:val="Nota al pie de pagina Car"/>
    <w:basedOn w:val="TextonotapieCar"/>
    <w:link w:val="Notaalpiedepagina"/>
    <w:rsid w:val="004740DC"/>
    <w:rPr>
      <w:rFonts w:asciiTheme="minorHAnsi" w:hAnsiTheme="minorHAnsi"/>
      <w:sz w:val="18"/>
      <w:szCs w:val="18"/>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72938">
      <w:bodyDiv w:val="1"/>
      <w:marLeft w:val="0"/>
      <w:marRight w:val="0"/>
      <w:marTop w:val="0"/>
      <w:marBottom w:val="0"/>
      <w:divBdr>
        <w:top w:val="none" w:sz="0" w:space="0" w:color="auto"/>
        <w:left w:val="none" w:sz="0" w:space="0" w:color="auto"/>
        <w:bottom w:val="none" w:sz="0" w:space="0" w:color="auto"/>
        <w:right w:val="none" w:sz="0" w:space="0" w:color="auto"/>
      </w:divBdr>
    </w:div>
    <w:div w:id="34281796">
      <w:bodyDiv w:val="1"/>
      <w:marLeft w:val="0"/>
      <w:marRight w:val="0"/>
      <w:marTop w:val="0"/>
      <w:marBottom w:val="0"/>
      <w:divBdr>
        <w:top w:val="none" w:sz="0" w:space="0" w:color="auto"/>
        <w:left w:val="none" w:sz="0" w:space="0" w:color="auto"/>
        <w:bottom w:val="none" w:sz="0" w:space="0" w:color="auto"/>
        <w:right w:val="none" w:sz="0" w:space="0" w:color="auto"/>
      </w:divBdr>
    </w:div>
    <w:div w:id="60644060">
      <w:bodyDiv w:val="1"/>
      <w:marLeft w:val="0"/>
      <w:marRight w:val="0"/>
      <w:marTop w:val="0"/>
      <w:marBottom w:val="0"/>
      <w:divBdr>
        <w:top w:val="none" w:sz="0" w:space="0" w:color="auto"/>
        <w:left w:val="none" w:sz="0" w:space="0" w:color="auto"/>
        <w:bottom w:val="none" w:sz="0" w:space="0" w:color="auto"/>
        <w:right w:val="none" w:sz="0" w:space="0" w:color="auto"/>
      </w:divBdr>
    </w:div>
    <w:div w:id="86197412">
      <w:bodyDiv w:val="1"/>
      <w:marLeft w:val="0"/>
      <w:marRight w:val="0"/>
      <w:marTop w:val="0"/>
      <w:marBottom w:val="0"/>
      <w:divBdr>
        <w:top w:val="none" w:sz="0" w:space="0" w:color="auto"/>
        <w:left w:val="none" w:sz="0" w:space="0" w:color="auto"/>
        <w:bottom w:val="none" w:sz="0" w:space="0" w:color="auto"/>
        <w:right w:val="none" w:sz="0" w:space="0" w:color="auto"/>
      </w:divBdr>
    </w:div>
    <w:div w:id="109473446">
      <w:bodyDiv w:val="1"/>
      <w:marLeft w:val="0"/>
      <w:marRight w:val="0"/>
      <w:marTop w:val="0"/>
      <w:marBottom w:val="0"/>
      <w:divBdr>
        <w:top w:val="none" w:sz="0" w:space="0" w:color="auto"/>
        <w:left w:val="none" w:sz="0" w:space="0" w:color="auto"/>
        <w:bottom w:val="none" w:sz="0" w:space="0" w:color="auto"/>
        <w:right w:val="none" w:sz="0" w:space="0" w:color="auto"/>
      </w:divBdr>
    </w:div>
    <w:div w:id="109513322">
      <w:bodyDiv w:val="1"/>
      <w:marLeft w:val="0"/>
      <w:marRight w:val="0"/>
      <w:marTop w:val="0"/>
      <w:marBottom w:val="0"/>
      <w:divBdr>
        <w:top w:val="none" w:sz="0" w:space="0" w:color="auto"/>
        <w:left w:val="none" w:sz="0" w:space="0" w:color="auto"/>
        <w:bottom w:val="none" w:sz="0" w:space="0" w:color="auto"/>
        <w:right w:val="none" w:sz="0" w:space="0" w:color="auto"/>
      </w:divBdr>
    </w:div>
    <w:div w:id="133106399">
      <w:bodyDiv w:val="1"/>
      <w:marLeft w:val="0"/>
      <w:marRight w:val="0"/>
      <w:marTop w:val="0"/>
      <w:marBottom w:val="0"/>
      <w:divBdr>
        <w:top w:val="none" w:sz="0" w:space="0" w:color="auto"/>
        <w:left w:val="none" w:sz="0" w:space="0" w:color="auto"/>
        <w:bottom w:val="none" w:sz="0" w:space="0" w:color="auto"/>
        <w:right w:val="none" w:sz="0" w:space="0" w:color="auto"/>
      </w:divBdr>
    </w:div>
    <w:div w:id="141314838">
      <w:bodyDiv w:val="1"/>
      <w:marLeft w:val="0"/>
      <w:marRight w:val="0"/>
      <w:marTop w:val="0"/>
      <w:marBottom w:val="0"/>
      <w:divBdr>
        <w:top w:val="none" w:sz="0" w:space="0" w:color="auto"/>
        <w:left w:val="none" w:sz="0" w:space="0" w:color="auto"/>
        <w:bottom w:val="none" w:sz="0" w:space="0" w:color="auto"/>
        <w:right w:val="none" w:sz="0" w:space="0" w:color="auto"/>
      </w:divBdr>
    </w:div>
    <w:div w:id="188296677">
      <w:bodyDiv w:val="1"/>
      <w:marLeft w:val="0"/>
      <w:marRight w:val="0"/>
      <w:marTop w:val="0"/>
      <w:marBottom w:val="0"/>
      <w:divBdr>
        <w:top w:val="none" w:sz="0" w:space="0" w:color="auto"/>
        <w:left w:val="none" w:sz="0" w:space="0" w:color="auto"/>
        <w:bottom w:val="none" w:sz="0" w:space="0" w:color="auto"/>
        <w:right w:val="none" w:sz="0" w:space="0" w:color="auto"/>
      </w:divBdr>
    </w:div>
    <w:div w:id="208995788">
      <w:bodyDiv w:val="1"/>
      <w:marLeft w:val="0"/>
      <w:marRight w:val="0"/>
      <w:marTop w:val="0"/>
      <w:marBottom w:val="0"/>
      <w:divBdr>
        <w:top w:val="none" w:sz="0" w:space="0" w:color="auto"/>
        <w:left w:val="none" w:sz="0" w:space="0" w:color="auto"/>
        <w:bottom w:val="none" w:sz="0" w:space="0" w:color="auto"/>
        <w:right w:val="none" w:sz="0" w:space="0" w:color="auto"/>
      </w:divBdr>
    </w:div>
    <w:div w:id="212810152">
      <w:bodyDiv w:val="1"/>
      <w:marLeft w:val="0"/>
      <w:marRight w:val="0"/>
      <w:marTop w:val="0"/>
      <w:marBottom w:val="0"/>
      <w:divBdr>
        <w:top w:val="none" w:sz="0" w:space="0" w:color="auto"/>
        <w:left w:val="none" w:sz="0" w:space="0" w:color="auto"/>
        <w:bottom w:val="none" w:sz="0" w:space="0" w:color="auto"/>
        <w:right w:val="none" w:sz="0" w:space="0" w:color="auto"/>
      </w:divBdr>
    </w:div>
    <w:div w:id="236979245">
      <w:bodyDiv w:val="1"/>
      <w:marLeft w:val="0"/>
      <w:marRight w:val="0"/>
      <w:marTop w:val="0"/>
      <w:marBottom w:val="0"/>
      <w:divBdr>
        <w:top w:val="none" w:sz="0" w:space="0" w:color="auto"/>
        <w:left w:val="none" w:sz="0" w:space="0" w:color="auto"/>
        <w:bottom w:val="none" w:sz="0" w:space="0" w:color="auto"/>
        <w:right w:val="none" w:sz="0" w:space="0" w:color="auto"/>
      </w:divBdr>
    </w:div>
    <w:div w:id="274336892">
      <w:bodyDiv w:val="1"/>
      <w:marLeft w:val="0"/>
      <w:marRight w:val="0"/>
      <w:marTop w:val="0"/>
      <w:marBottom w:val="0"/>
      <w:divBdr>
        <w:top w:val="none" w:sz="0" w:space="0" w:color="auto"/>
        <w:left w:val="none" w:sz="0" w:space="0" w:color="auto"/>
        <w:bottom w:val="none" w:sz="0" w:space="0" w:color="auto"/>
        <w:right w:val="none" w:sz="0" w:space="0" w:color="auto"/>
      </w:divBdr>
    </w:div>
    <w:div w:id="275333888">
      <w:bodyDiv w:val="1"/>
      <w:marLeft w:val="0"/>
      <w:marRight w:val="0"/>
      <w:marTop w:val="0"/>
      <w:marBottom w:val="0"/>
      <w:divBdr>
        <w:top w:val="none" w:sz="0" w:space="0" w:color="auto"/>
        <w:left w:val="none" w:sz="0" w:space="0" w:color="auto"/>
        <w:bottom w:val="none" w:sz="0" w:space="0" w:color="auto"/>
        <w:right w:val="none" w:sz="0" w:space="0" w:color="auto"/>
      </w:divBdr>
    </w:div>
    <w:div w:id="279264136">
      <w:bodyDiv w:val="1"/>
      <w:marLeft w:val="0"/>
      <w:marRight w:val="0"/>
      <w:marTop w:val="0"/>
      <w:marBottom w:val="0"/>
      <w:divBdr>
        <w:top w:val="none" w:sz="0" w:space="0" w:color="auto"/>
        <w:left w:val="none" w:sz="0" w:space="0" w:color="auto"/>
        <w:bottom w:val="none" w:sz="0" w:space="0" w:color="auto"/>
        <w:right w:val="none" w:sz="0" w:space="0" w:color="auto"/>
      </w:divBdr>
    </w:div>
    <w:div w:id="373311671">
      <w:bodyDiv w:val="1"/>
      <w:marLeft w:val="0"/>
      <w:marRight w:val="0"/>
      <w:marTop w:val="0"/>
      <w:marBottom w:val="0"/>
      <w:divBdr>
        <w:top w:val="none" w:sz="0" w:space="0" w:color="auto"/>
        <w:left w:val="none" w:sz="0" w:space="0" w:color="auto"/>
        <w:bottom w:val="none" w:sz="0" w:space="0" w:color="auto"/>
        <w:right w:val="none" w:sz="0" w:space="0" w:color="auto"/>
      </w:divBdr>
    </w:div>
    <w:div w:id="375742992">
      <w:bodyDiv w:val="1"/>
      <w:marLeft w:val="0"/>
      <w:marRight w:val="0"/>
      <w:marTop w:val="0"/>
      <w:marBottom w:val="0"/>
      <w:divBdr>
        <w:top w:val="none" w:sz="0" w:space="0" w:color="auto"/>
        <w:left w:val="none" w:sz="0" w:space="0" w:color="auto"/>
        <w:bottom w:val="none" w:sz="0" w:space="0" w:color="auto"/>
        <w:right w:val="none" w:sz="0" w:space="0" w:color="auto"/>
      </w:divBdr>
    </w:div>
    <w:div w:id="381176081">
      <w:bodyDiv w:val="1"/>
      <w:marLeft w:val="0"/>
      <w:marRight w:val="0"/>
      <w:marTop w:val="0"/>
      <w:marBottom w:val="0"/>
      <w:divBdr>
        <w:top w:val="none" w:sz="0" w:space="0" w:color="auto"/>
        <w:left w:val="none" w:sz="0" w:space="0" w:color="auto"/>
        <w:bottom w:val="none" w:sz="0" w:space="0" w:color="auto"/>
        <w:right w:val="none" w:sz="0" w:space="0" w:color="auto"/>
      </w:divBdr>
    </w:div>
    <w:div w:id="392697729">
      <w:bodyDiv w:val="1"/>
      <w:marLeft w:val="0"/>
      <w:marRight w:val="0"/>
      <w:marTop w:val="0"/>
      <w:marBottom w:val="0"/>
      <w:divBdr>
        <w:top w:val="none" w:sz="0" w:space="0" w:color="auto"/>
        <w:left w:val="none" w:sz="0" w:space="0" w:color="auto"/>
        <w:bottom w:val="none" w:sz="0" w:space="0" w:color="auto"/>
        <w:right w:val="none" w:sz="0" w:space="0" w:color="auto"/>
      </w:divBdr>
    </w:div>
    <w:div w:id="409350964">
      <w:bodyDiv w:val="1"/>
      <w:marLeft w:val="0"/>
      <w:marRight w:val="0"/>
      <w:marTop w:val="0"/>
      <w:marBottom w:val="0"/>
      <w:divBdr>
        <w:top w:val="none" w:sz="0" w:space="0" w:color="auto"/>
        <w:left w:val="none" w:sz="0" w:space="0" w:color="auto"/>
        <w:bottom w:val="none" w:sz="0" w:space="0" w:color="auto"/>
        <w:right w:val="none" w:sz="0" w:space="0" w:color="auto"/>
      </w:divBdr>
    </w:div>
    <w:div w:id="430199759">
      <w:bodyDiv w:val="1"/>
      <w:marLeft w:val="0"/>
      <w:marRight w:val="0"/>
      <w:marTop w:val="0"/>
      <w:marBottom w:val="0"/>
      <w:divBdr>
        <w:top w:val="none" w:sz="0" w:space="0" w:color="auto"/>
        <w:left w:val="none" w:sz="0" w:space="0" w:color="auto"/>
        <w:bottom w:val="none" w:sz="0" w:space="0" w:color="auto"/>
        <w:right w:val="none" w:sz="0" w:space="0" w:color="auto"/>
      </w:divBdr>
    </w:div>
    <w:div w:id="450785661">
      <w:bodyDiv w:val="1"/>
      <w:marLeft w:val="0"/>
      <w:marRight w:val="0"/>
      <w:marTop w:val="0"/>
      <w:marBottom w:val="0"/>
      <w:divBdr>
        <w:top w:val="none" w:sz="0" w:space="0" w:color="auto"/>
        <w:left w:val="none" w:sz="0" w:space="0" w:color="auto"/>
        <w:bottom w:val="none" w:sz="0" w:space="0" w:color="auto"/>
        <w:right w:val="none" w:sz="0" w:space="0" w:color="auto"/>
      </w:divBdr>
    </w:div>
    <w:div w:id="456489495">
      <w:bodyDiv w:val="1"/>
      <w:marLeft w:val="0"/>
      <w:marRight w:val="0"/>
      <w:marTop w:val="0"/>
      <w:marBottom w:val="0"/>
      <w:divBdr>
        <w:top w:val="none" w:sz="0" w:space="0" w:color="auto"/>
        <w:left w:val="none" w:sz="0" w:space="0" w:color="auto"/>
        <w:bottom w:val="none" w:sz="0" w:space="0" w:color="auto"/>
        <w:right w:val="none" w:sz="0" w:space="0" w:color="auto"/>
      </w:divBdr>
    </w:div>
    <w:div w:id="457258271">
      <w:bodyDiv w:val="1"/>
      <w:marLeft w:val="0"/>
      <w:marRight w:val="0"/>
      <w:marTop w:val="0"/>
      <w:marBottom w:val="0"/>
      <w:divBdr>
        <w:top w:val="none" w:sz="0" w:space="0" w:color="auto"/>
        <w:left w:val="none" w:sz="0" w:space="0" w:color="auto"/>
        <w:bottom w:val="none" w:sz="0" w:space="0" w:color="auto"/>
        <w:right w:val="none" w:sz="0" w:space="0" w:color="auto"/>
      </w:divBdr>
    </w:div>
    <w:div w:id="469132545">
      <w:bodyDiv w:val="1"/>
      <w:marLeft w:val="0"/>
      <w:marRight w:val="0"/>
      <w:marTop w:val="0"/>
      <w:marBottom w:val="0"/>
      <w:divBdr>
        <w:top w:val="none" w:sz="0" w:space="0" w:color="auto"/>
        <w:left w:val="none" w:sz="0" w:space="0" w:color="auto"/>
        <w:bottom w:val="none" w:sz="0" w:space="0" w:color="auto"/>
        <w:right w:val="none" w:sz="0" w:space="0" w:color="auto"/>
      </w:divBdr>
      <w:divsChild>
        <w:div w:id="186188210">
          <w:marLeft w:val="0"/>
          <w:marRight w:val="0"/>
          <w:marTop w:val="0"/>
          <w:marBottom w:val="0"/>
          <w:divBdr>
            <w:top w:val="none" w:sz="0" w:space="0" w:color="auto"/>
            <w:left w:val="none" w:sz="0" w:space="0" w:color="auto"/>
            <w:bottom w:val="none" w:sz="0" w:space="0" w:color="auto"/>
            <w:right w:val="none" w:sz="0" w:space="0" w:color="auto"/>
          </w:divBdr>
          <w:divsChild>
            <w:div w:id="93671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990426">
      <w:bodyDiv w:val="1"/>
      <w:marLeft w:val="0"/>
      <w:marRight w:val="0"/>
      <w:marTop w:val="0"/>
      <w:marBottom w:val="0"/>
      <w:divBdr>
        <w:top w:val="none" w:sz="0" w:space="0" w:color="auto"/>
        <w:left w:val="none" w:sz="0" w:space="0" w:color="auto"/>
        <w:bottom w:val="none" w:sz="0" w:space="0" w:color="auto"/>
        <w:right w:val="none" w:sz="0" w:space="0" w:color="auto"/>
      </w:divBdr>
    </w:div>
    <w:div w:id="580141278">
      <w:bodyDiv w:val="1"/>
      <w:marLeft w:val="0"/>
      <w:marRight w:val="0"/>
      <w:marTop w:val="0"/>
      <w:marBottom w:val="0"/>
      <w:divBdr>
        <w:top w:val="none" w:sz="0" w:space="0" w:color="auto"/>
        <w:left w:val="none" w:sz="0" w:space="0" w:color="auto"/>
        <w:bottom w:val="none" w:sz="0" w:space="0" w:color="auto"/>
        <w:right w:val="none" w:sz="0" w:space="0" w:color="auto"/>
      </w:divBdr>
    </w:div>
    <w:div w:id="595745919">
      <w:bodyDiv w:val="1"/>
      <w:marLeft w:val="0"/>
      <w:marRight w:val="0"/>
      <w:marTop w:val="0"/>
      <w:marBottom w:val="0"/>
      <w:divBdr>
        <w:top w:val="none" w:sz="0" w:space="0" w:color="auto"/>
        <w:left w:val="none" w:sz="0" w:space="0" w:color="auto"/>
        <w:bottom w:val="none" w:sz="0" w:space="0" w:color="auto"/>
        <w:right w:val="none" w:sz="0" w:space="0" w:color="auto"/>
      </w:divBdr>
    </w:div>
    <w:div w:id="604921902">
      <w:bodyDiv w:val="1"/>
      <w:marLeft w:val="0"/>
      <w:marRight w:val="0"/>
      <w:marTop w:val="0"/>
      <w:marBottom w:val="0"/>
      <w:divBdr>
        <w:top w:val="none" w:sz="0" w:space="0" w:color="auto"/>
        <w:left w:val="none" w:sz="0" w:space="0" w:color="auto"/>
        <w:bottom w:val="none" w:sz="0" w:space="0" w:color="auto"/>
        <w:right w:val="none" w:sz="0" w:space="0" w:color="auto"/>
      </w:divBdr>
    </w:div>
    <w:div w:id="611936074">
      <w:bodyDiv w:val="1"/>
      <w:marLeft w:val="0"/>
      <w:marRight w:val="0"/>
      <w:marTop w:val="0"/>
      <w:marBottom w:val="0"/>
      <w:divBdr>
        <w:top w:val="none" w:sz="0" w:space="0" w:color="auto"/>
        <w:left w:val="none" w:sz="0" w:space="0" w:color="auto"/>
        <w:bottom w:val="none" w:sz="0" w:space="0" w:color="auto"/>
        <w:right w:val="none" w:sz="0" w:space="0" w:color="auto"/>
      </w:divBdr>
    </w:div>
    <w:div w:id="635766797">
      <w:bodyDiv w:val="1"/>
      <w:marLeft w:val="0"/>
      <w:marRight w:val="0"/>
      <w:marTop w:val="0"/>
      <w:marBottom w:val="0"/>
      <w:divBdr>
        <w:top w:val="none" w:sz="0" w:space="0" w:color="auto"/>
        <w:left w:val="none" w:sz="0" w:space="0" w:color="auto"/>
        <w:bottom w:val="none" w:sz="0" w:space="0" w:color="auto"/>
        <w:right w:val="none" w:sz="0" w:space="0" w:color="auto"/>
      </w:divBdr>
    </w:div>
    <w:div w:id="653947186">
      <w:bodyDiv w:val="1"/>
      <w:marLeft w:val="0"/>
      <w:marRight w:val="0"/>
      <w:marTop w:val="0"/>
      <w:marBottom w:val="0"/>
      <w:divBdr>
        <w:top w:val="none" w:sz="0" w:space="0" w:color="auto"/>
        <w:left w:val="none" w:sz="0" w:space="0" w:color="auto"/>
        <w:bottom w:val="none" w:sz="0" w:space="0" w:color="auto"/>
        <w:right w:val="none" w:sz="0" w:space="0" w:color="auto"/>
      </w:divBdr>
    </w:div>
    <w:div w:id="685180360">
      <w:bodyDiv w:val="1"/>
      <w:marLeft w:val="0"/>
      <w:marRight w:val="0"/>
      <w:marTop w:val="0"/>
      <w:marBottom w:val="0"/>
      <w:divBdr>
        <w:top w:val="none" w:sz="0" w:space="0" w:color="auto"/>
        <w:left w:val="none" w:sz="0" w:space="0" w:color="auto"/>
        <w:bottom w:val="none" w:sz="0" w:space="0" w:color="auto"/>
        <w:right w:val="none" w:sz="0" w:space="0" w:color="auto"/>
      </w:divBdr>
    </w:div>
    <w:div w:id="714237973">
      <w:bodyDiv w:val="1"/>
      <w:marLeft w:val="0"/>
      <w:marRight w:val="0"/>
      <w:marTop w:val="0"/>
      <w:marBottom w:val="0"/>
      <w:divBdr>
        <w:top w:val="none" w:sz="0" w:space="0" w:color="auto"/>
        <w:left w:val="none" w:sz="0" w:space="0" w:color="auto"/>
        <w:bottom w:val="none" w:sz="0" w:space="0" w:color="auto"/>
        <w:right w:val="none" w:sz="0" w:space="0" w:color="auto"/>
      </w:divBdr>
    </w:div>
    <w:div w:id="734816807">
      <w:bodyDiv w:val="1"/>
      <w:marLeft w:val="0"/>
      <w:marRight w:val="0"/>
      <w:marTop w:val="0"/>
      <w:marBottom w:val="0"/>
      <w:divBdr>
        <w:top w:val="none" w:sz="0" w:space="0" w:color="auto"/>
        <w:left w:val="none" w:sz="0" w:space="0" w:color="auto"/>
        <w:bottom w:val="none" w:sz="0" w:space="0" w:color="auto"/>
        <w:right w:val="none" w:sz="0" w:space="0" w:color="auto"/>
      </w:divBdr>
    </w:div>
    <w:div w:id="777530130">
      <w:bodyDiv w:val="1"/>
      <w:marLeft w:val="0"/>
      <w:marRight w:val="0"/>
      <w:marTop w:val="0"/>
      <w:marBottom w:val="0"/>
      <w:divBdr>
        <w:top w:val="none" w:sz="0" w:space="0" w:color="auto"/>
        <w:left w:val="none" w:sz="0" w:space="0" w:color="auto"/>
        <w:bottom w:val="none" w:sz="0" w:space="0" w:color="auto"/>
        <w:right w:val="none" w:sz="0" w:space="0" w:color="auto"/>
      </w:divBdr>
    </w:div>
    <w:div w:id="786509900">
      <w:bodyDiv w:val="1"/>
      <w:marLeft w:val="0"/>
      <w:marRight w:val="0"/>
      <w:marTop w:val="0"/>
      <w:marBottom w:val="0"/>
      <w:divBdr>
        <w:top w:val="none" w:sz="0" w:space="0" w:color="auto"/>
        <w:left w:val="none" w:sz="0" w:space="0" w:color="auto"/>
        <w:bottom w:val="none" w:sz="0" w:space="0" w:color="auto"/>
        <w:right w:val="none" w:sz="0" w:space="0" w:color="auto"/>
      </w:divBdr>
    </w:div>
    <w:div w:id="819809312">
      <w:bodyDiv w:val="1"/>
      <w:marLeft w:val="0"/>
      <w:marRight w:val="0"/>
      <w:marTop w:val="0"/>
      <w:marBottom w:val="0"/>
      <w:divBdr>
        <w:top w:val="none" w:sz="0" w:space="0" w:color="auto"/>
        <w:left w:val="none" w:sz="0" w:space="0" w:color="auto"/>
        <w:bottom w:val="none" w:sz="0" w:space="0" w:color="auto"/>
        <w:right w:val="none" w:sz="0" w:space="0" w:color="auto"/>
      </w:divBdr>
    </w:div>
    <w:div w:id="863638012">
      <w:bodyDiv w:val="1"/>
      <w:marLeft w:val="0"/>
      <w:marRight w:val="0"/>
      <w:marTop w:val="0"/>
      <w:marBottom w:val="0"/>
      <w:divBdr>
        <w:top w:val="none" w:sz="0" w:space="0" w:color="auto"/>
        <w:left w:val="none" w:sz="0" w:space="0" w:color="auto"/>
        <w:bottom w:val="none" w:sz="0" w:space="0" w:color="auto"/>
        <w:right w:val="none" w:sz="0" w:space="0" w:color="auto"/>
      </w:divBdr>
    </w:div>
    <w:div w:id="908033159">
      <w:bodyDiv w:val="1"/>
      <w:marLeft w:val="0"/>
      <w:marRight w:val="0"/>
      <w:marTop w:val="0"/>
      <w:marBottom w:val="0"/>
      <w:divBdr>
        <w:top w:val="none" w:sz="0" w:space="0" w:color="auto"/>
        <w:left w:val="none" w:sz="0" w:space="0" w:color="auto"/>
        <w:bottom w:val="none" w:sz="0" w:space="0" w:color="auto"/>
        <w:right w:val="none" w:sz="0" w:space="0" w:color="auto"/>
      </w:divBdr>
    </w:div>
    <w:div w:id="935862332">
      <w:bodyDiv w:val="1"/>
      <w:marLeft w:val="0"/>
      <w:marRight w:val="0"/>
      <w:marTop w:val="0"/>
      <w:marBottom w:val="0"/>
      <w:divBdr>
        <w:top w:val="none" w:sz="0" w:space="0" w:color="auto"/>
        <w:left w:val="none" w:sz="0" w:space="0" w:color="auto"/>
        <w:bottom w:val="none" w:sz="0" w:space="0" w:color="auto"/>
        <w:right w:val="none" w:sz="0" w:space="0" w:color="auto"/>
      </w:divBdr>
    </w:div>
    <w:div w:id="952633129">
      <w:bodyDiv w:val="1"/>
      <w:marLeft w:val="0"/>
      <w:marRight w:val="0"/>
      <w:marTop w:val="0"/>
      <w:marBottom w:val="0"/>
      <w:divBdr>
        <w:top w:val="none" w:sz="0" w:space="0" w:color="auto"/>
        <w:left w:val="none" w:sz="0" w:space="0" w:color="auto"/>
        <w:bottom w:val="none" w:sz="0" w:space="0" w:color="auto"/>
        <w:right w:val="none" w:sz="0" w:space="0" w:color="auto"/>
      </w:divBdr>
    </w:div>
    <w:div w:id="952907746">
      <w:bodyDiv w:val="1"/>
      <w:marLeft w:val="0"/>
      <w:marRight w:val="0"/>
      <w:marTop w:val="0"/>
      <w:marBottom w:val="0"/>
      <w:divBdr>
        <w:top w:val="none" w:sz="0" w:space="0" w:color="auto"/>
        <w:left w:val="none" w:sz="0" w:space="0" w:color="auto"/>
        <w:bottom w:val="none" w:sz="0" w:space="0" w:color="auto"/>
        <w:right w:val="none" w:sz="0" w:space="0" w:color="auto"/>
      </w:divBdr>
    </w:div>
    <w:div w:id="955481953">
      <w:bodyDiv w:val="1"/>
      <w:marLeft w:val="0"/>
      <w:marRight w:val="0"/>
      <w:marTop w:val="0"/>
      <w:marBottom w:val="0"/>
      <w:divBdr>
        <w:top w:val="none" w:sz="0" w:space="0" w:color="auto"/>
        <w:left w:val="none" w:sz="0" w:space="0" w:color="auto"/>
        <w:bottom w:val="none" w:sz="0" w:space="0" w:color="auto"/>
        <w:right w:val="none" w:sz="0" w:space="0" w:color="auto"/>
      </w:divBdr>
    </w:div>
    <w:div w:id="969436802">
      <w:bodyDiv w:val="1"/>
      <w:marLeft w:val="0"/>
      <w:marRight w:val="0"/>
      <w:marTop w:val="0"/>
      <w:marBottom w:val="0"/>
      <w:divBdr>
        <w:top w:val="none" w:sz="0" w:space="0" w:color="auto"/>
        <w:left w:val="none" w:sz="0" w:space="0" w:color="auto"/>
        <w:bottom w:val="none" w:sz="0" w:space="0" w:color="auto"/>
        <w:right w:val="none" w:sz="0" w:space="0" w:color="auto"/>
      </w:divBdr>
    </w:div>
    <w:div w:id="976179208">
      <w:bodyDiv w:val="1"/>
      <w:marLeft w:val="0"/>
      <w:marRight w:val="0"/>
      <w:marTop w:val="0"/>
      <w:marBottom w:val="0"/>
      <w:divBdr>
        <w:top w:val="none" w:sz="0" w:space="0" w:color="auto"/>
        <w:left w:val="none" w:sz="0" w:space="0" w:color="auto"/>
        <w:bottom w:val="none" w:sz="0" w:space="0" w:color="auto"/>
        <w:right w:val="none" w:sz="0" w:space="0" w:color="auto"/>
      </w:divBdr>
    </w:div>
    <w:div w:id="987711196">
      <w:bodyDiv w:val="1"/>
      <w:marLeft w:val="0"/>
      <w:marRight w:val="0"/>
      <w:marTop w:val="0"/>
      <w:marBottom w:val="0"/>
      <w:divBdr>
        <w:top w:val="none" w:sz="0" w:space="0" w:color="auto"/>
        <w:left w:val="none" w:sz="0" w:space="0" w:color="auto"/>
        <w:bottom w:val="none" w:sz="0" w:space="0" w:color="auto"/>
        <w:right w:val="none" w:sz="0" w:space="0" w:color="auto"/>
      </w:divBdr>
    </w:div>
    <w:div w:id="1013261528">
      <w:bodyDiv w:val="1"/>
      <w:marLeft w:val="0"/>
      <w:marRight w:val="0"/>
      <w:marTop w:val="0"/>
      <w:marBottom w:val="0"/>
      <w:divBdr>
        <w:top w:val="none" w:sz="0" w:space="0" w:color="auto"/>
        <w:left w:val="none" w:sz="0" w:space="0" w:color="auto"/>
        <w:bottom w:val="none" w:sz="0" w:space="0" w:color="auto"/>
        <w:right w:val="none" w:sz="0" w:space="0" w:color="auto"/>
      </w:divBdr>
    </w:div>
    <w:div w:id="1014384236">
      <w:bodyDiv w:val="1"/>
      <w:marLeft w:val="0"/>
      <w:marRight w:val="0"/>
      <w:marTop w:val="0"/>
      <w:marBottom w:val="0"/>
      <w:divBdr>
        <w:top w:val="none" w:sz="0" w:space="0" w:color="auto"/>
        <w:left w:val="none" w:sz="0" w:space="0" w:color="auto"/>
        <w:bottom w:val="none" w:sz="0" w:space="0" w:color="auto"/>
        <w:right w:val="none" w:sz="0" w:space="0" w:color="auto"/>
      </w:divBdr>
    </w:div>
    <w:div w:id="1022046971">
      <w:bodyDiv w:val="1"/>
      <w:marLeft w:val="0"/>
      <w:marRight w:val="0"/>
      <w:marTop w:val="0"/>
      <w:marBottom w:val="0"/>
      <w:divBdr>
        <w:top w:val="none" w:sz="0" w:space="0" w:color="auto"/>
        <w:left w:val="none" w:sz="0" w:space="0" w:color="auto"/>
        <w:bottom w:val="none" w:sz="0" w:space="0" w:color="auto"/>
        <w:right w:val="none" w:sz="0" w:space="0" w:color="auto"/>
      </w:divBdr>
    </w:div>
    <w:div w:id="1026322943">
      <w:bodyDiv w:val="1"/>
      <w:marLeft w:val="0"/>
      <w:marRight w:val="0"/>
      <w:marTop w:val="0"/>
      <w:marBottom w:val="0"/>
      <w:divBdr>
        <w:top w:val="none" w:sz="0" w:space="0" w:color="auto"/>
        <w:left w:val="none" w:sz="0" w:space="0" w:color="auto"/>
        <w:bottom w:val="none" w:sz="0" w:space="0" w:color="auto"/>
        <w:right w:val="none" w:sz="0" w:space="0" w:color="auto"/>
      </w:divBdr>
    </w:div>
    <w:div w:id="1044257185">
      <w:bodyDiv w:val="1"/>
      <w:marLeft w:val="0"/>
      <w:marRight w:val="0"/>
      <w:marTop w:val="0"/>
      <w:marBottom w:val="0"/>
      <w:divBdr>
        <w:top w:val="none" w:sz="0" w:space="0" w:color="auto"/>
        <w:left w:val="none" w:sz="0" w:space="0" w:color="auto"/>
        <w:bottom w:val="none" w:sz="0" w:space="0" w:color="auto"/>
        <w:right w:val="none" w:sz="0" w:space="0" w:color="auto"/>
      </w:divBdr>
    </w:div>
    <w:div w:id="1110051714">
      <w:bodyDiv w:val="1"/>
      <w:marLeft w:val="0"/>
      <w:marRight w:val="0"/>
      <w:marTop w:val="0"/>
      <w:marBottom w:val="0"/>
      <w:divBdr>
        <w:top w:val="none" w:sz="0" w:space="0" w:color="auto"/>
        <w:left w:val="none" w:sz="0" w:space="0" w:color="auto"/>
        <w:bottom w:val="none" w:sz="0" w:space="0" w:color="auto"/>
        <w:right w:val="none" w:sz="0" w:space="0" w:color="auto"/>
      </w:divBdr>
    </w:div>
    <w:div w:id="1122962910">
      <w:bodyDiv w:val="1"/>
      <w:marLeft w:val="0"/>
      <w:marRight w:val="0"/>
      <w:marTop w:val="0"/>
      <w:marBottom w:val="0"/>
      <w:divBdr>
        <w:top w:val="none" w:sz="0" w:space="0" w:color="auto"/>
        <w:left w:val="none" w:sz="0" w:space="0" w:color="auto"/>
        <w:bottom w:val="none" w:sz="0" w:space="0" w:color="auto"/>
        <w:right w:val="none" w:sz="0" w:space="0" w:color="auto"/>
      </w:divBdr>
    </w:div>
    <w:div w:id="1134561197">
      <w:bodyDiv w:val="1"/>
      <w:marLeft w:val="0"/>
      <w:marRight w:val="0"/>
      <w:marTop w:val="0"/>
      <w:marBottom w:val="0"/>
      <w:divBdr>
        <w:top w:val="none" w:sz="0" w:space="0" w:color="auto"/>
        <w:left w:val="none" w:sz="0" w:space="0" w:color="auto"/>
        <w:bottom w:val="none" w:sz="0" w:space="0" w:color="auto"/>
        <w:right w:val="none" w:sz="0" w:space="0" w:color="auto"/>
      </w:divBdr>
    </w:div>
    <w:div w:id="1135103252">
      <w:bodyDiv w:val="1"/>
      <w:marLeft w:val="0"/>
      <w:marRight w:val="0"/>
      <w:marTop w:val="0"/>
      <w:marBottom w:val="0"/>
      <w:divBdr>
        <w:top w:val="none" w:sz="0" w:space="0" w:color="auto"/>
        <w:left w:val="none" w:sz="0" w:space="0" w:color="auto"/>
        <w:bottom w:val="none" w:sz="0" w:space="0" w:color="auto"/>
        <w:right w:val="none" w:sz="0" w:space="0" w:color="auto"/>
      </w:divBdr>
    </w:div>
    <w:div w:id="1136336914">
      <w:bodyDiv w:val="1"/>
      <w:marLeft w:val="0"/>
      <w:marRight w:val="0"/>
      <w:marTop w:val="0"/>
      <w:marBottom w:val="0"/>
      <w:divBdr>
        <w:top w:val="none" w:sz="0" w:space="0" w:color="auto"/>
        <w:left w:val="none" w:sz="0" w:space="0" w:color="auto"/>
        <w:bottom w:val="none" w:sz="0" w:space="0" w:color="auto"/>
        <w:right w:val="none" w:sz="0" w:space="0" w:color="auto"/>
      </w:divBdr>
    </w:div>
    <w:div w:id="1164660676">
      <w:bodyDiv w:val="1"/>
      <w:marLeft w:val="0"/>
      <w:marRight w:val="0"/>
      <w:marTop w:val="0"/>
      <w:marBottom w:val="0"/>
      <w:divBdr>
        <w:top w:val="none" w:sz="0" w:space="0" w:color="auto"/>
        <w:left w:val="none" w:sz="0" w:space="0" w:color="auto"/>
        <w:bottom w:val="none" w:sz="0" w:space="0" w:color="auto"/>
        <w:right w:val="none" w:sz="0" w:space="0" w:color="auto"/>
      </w:divBdr>
    </w:div>
    <w:div w:id="1165629626">
      <w:bodyDiv w:val="1"/>
      <w:marLeft w:val="0"/>
      <w:marRight w:val="0"/>
      <w:marTop w:val="0"/>
      <w:marBottom w:val="0"/>
      <w:divBdr>
        <w:top w:val="none" w:sz="0" w:space="0" w:color="auto"/>
        <w:left w:val="none" w:sz="0" w:space="0" w:color="auto"/>
        <w:bottom w:val="none" w:sz="0" w:space="0" w:color="auto"/>
        <w:right w:val="none" w:sz="0" w:space="0" w:color="auto"/>
      </w:divBdr>
    </w:div>
    <w:div w:id="1196622370">
      <w:bodyDiv w:val="1"/>
      <w:marLeft w:val="0"/>
      <w:marRight w:val="0"/>
      <w:marTop w:val="0"/>
      <w:marBottom w:val="0"/>
      <w:divBdr>
        <w:top w:val="none" w:sz="0" w:space="0" w:color="auto"/>
        <w:left w:val="none" w:sz="0" w:space="0" w:color="auto"/>
        <w:bottom w:val="none" w:sz="0" w:space="0" w:color="auto"/>
        <w:right w:val="none" w:sz="0" w:space="0" w:color="auto"/>
      </w:divBdr>
    </w:div>
    <w:div w:id="1284651842">
      <w:bodyDiv w:val="1"/>
      <w:marLeft w:val="0"/>
      <w:marRight w:val="0"/>
      <w:marTop w:val="0"/>
      <w:marBottom w:val="0"/>
      <w:divBdr>
        <w:top w:val="none" w:sz="0" w:space="0" w:color="auto"/>
        <w:left w:val="none" w:sz="0" w:space="0" w:color="auto"/>
        <w:bottom w:val="none" w:sz="0" w:space="0" w:color="auto"/>
        <w:right w:val="none" w:sz="0" w:space="0" w:color="auto"/>
      </w:divBdr>
    </w:div>
    <w:div w:id="1307005676">
      <w:bodyDiv w:val="1"/>
      <w:marLeft w:val="0"/>
      <w:marRight w:val="0"/>
      <w:marTop w:val="0"/>
      <w:marBottom w:val="0"/>
      <w:divBdr>
        <w:top w:val="none" w:sz="0" w:space="0" w:color="auto"/>
        <w:left w:val="none" w:sz="0" w:space="0" w:color="auto"/>
        <w:bottom w:val="none" w:sz="0" w:space="0" w:color="auto"/>
        <w:right w:val="none" w:sz="0" w:space="0" w:color="auto"/>
      </w:divBdr>
    </w:div>
    <w:div w:id="1335261536">
      <w:bodyDiv w:val="1"/>
      <w:marLeft w:val="0"/>
      <w:marRight w:val="0"/>
      <w:marTop w:val="0"/>
      <w:marBottom w:val="0"/>
      <w:divBdr>
        <w:top w:val="none" w:sz="0" w:space="0" w:color="auto"/>
        <w:left w:val="none" w:sz="0" w:space="0" w:color="auto"/>
        <w:bottom w:val="none" w:sz="0" w:space="0" w:color="auto"/>
        <w:right w:val="none" w:sz="0" w:space="0" w:color="auto"/>
      </w:divBdr>
    </w:div>
    <w:div w:id="1350525227">
      <w:bodyDiv w:val="1"/>
      <w:marLeft w:val="0"/>
      <w:marRight w:val="0"/>
      <w:marTop w:val="0"/>
      <w:marBottom w:val="0"/>
      <w:divBdr>
        <w:top w:val="none" w:sz="0" w:space="0" w:color="auto"/>
        <w:left w:val="none" w:sz="0" w:space="0" w:color="auto"/>
        <w:bottom w:val="none" w:sz="0" w:space="0" w:color="auto"/>
        <w:right w:val="none" w:sz="0" w:space="0" w:color="auto"/>
      </w:divBdr>
    </w:div>
    <w:div w:id="1351493179">
      <w:bodyDiv w:val="1"/>
      <w:marLeft w:val="0"/>
      <w:marRight w:val="0"/>
      <w:marTop w:val="0"/>
      <w:marBottom w:val="0"/>
      <w:divBdr>
        <w:top w:val="none" w:sz="0" w:space="0" w:color="auto"/>
        <w:left w:val="none" w:sz="0" w:space="0" w:color="auto"/>
        <w:bottom w:val="none" w:sz="0" w:space="0" w:color="auto"/>
        <w:right w:val="none" w:sz="0" w:space="0" w:color="auto"/>
      </w:divBdr>
    </w:div>
    <w:div w:id="1382630987">
      <w:bodyDiv w:val="1"/>
      <w:marLeft w:val="0"/>
      <w:marRight w:val="0"/>
      <w:marTop w:val="0"/>
      <w:marBottom w:val="0"/>
      <w:divBdr>
        <w:top w:val="none" w:sz="0" w:space="0" w:color="auto"/>
        <w:left w:val="none" w:sz="0" w:space="0" w:color="auto"/>
        <w:bottom w:val="none" w:sz="0" w:space="0" w:color="auto"/>
        <w:right w:val="none" w:sz="0" w:space="0" w:color="auto"/>
      </w:divBdr>
    </w:div>
    <w:div w:id="1389955485">
      <w:bodyDiv w:val="1"/>
      <w:marLeft w:val="0"/>
      <w:marRight w:val="0"/>
      <w:marTop w:val="0"/>
      <w:marBottom w:val="0"/>
      <w:divBdr>
        <w:top w:val="none" w:sz="0" w:space="0" w:color="auto"/>
        <w:left w:val="none" w:sz="0" w:space="0" w:color="auto"/>
        <w:bottom w:val="none" w:sz="0" w:space="0" w:color="auto"/>
        <w:right w:val="none" w:sz="0" w:space="0" w:color="auto"/>
      </w:divBdr>
    </w:div>
    <w:div w:id="1393583567">
      <w:bodyDiv w:val="1"/>
      <w:marLeft w:val="0"/>
      <w:marRight w:val="0"/>
      <w:marTop w:val="0"/>
      <w:marBottom w:val="0"/>
      <w:divBdr>
        <w:top w:val="none" w:sz="0" w:space="0" w:color="auto"/>
        <w:left w:val="none" w:sz="0" w:space="0" w:color="auto"/>
        <w:bottom w:val="none" w:sz="0" w:space="0" w:color="auto"/>
        <w:right w:val="none" w:sz="0" w:space="0" w:color="auto"/>
      </w:divBdr>
    </w:div>
    <w:div w:id="1421482906">
      <w:bodyDiv w:val="1"/>
      <w:marLeft w:val="0"/>
      <w:marRight w:val="0"/>
      <w:marTop w:val="0"/>
      <w:marBottom w:val="0"/>
      <w:divBdr>
        <w:top w:val="none" w:sz="0" w:space="0" w:color="auto"/>
        <w:left w:val="none" w:sz="0" w:space="0" w:color="auto"/>
        <w:bottom w:val="none" w:sz="0" w:space="0" w:color="auto"/>
        <w:right w:val="none" w:sz="0" w:space="0" w:color="auto"/>
      </w:divBdr>
    </w:div>
    <w:div w:id="1422488534">
      <w:bodyDiv w:val="1"/>
      <w:marLeft w:val="0"/>
      <w:marRight w:val="0"/>
      <w:marTop w:val="0"/>
      <w:marBottom w:val="0"/>
      <w:divBdr>
        <w:top w:val="none" w:sz="0" w:space="0" w:color="auto"/>
        <w:left w:val="none" w:sz="0" w:space="0" w:color="auto"/>
        <w:bottom w:val="none" w:sz="0" w:space="0" w:color="auto"/>
        <w:right w:val="none" w:sz="0" w:space="0" w:color="auto"/>
      </w:divBdr>
    </w:div>
    <w:div w:id="1424957389">
      <w:bodyDiv w:val="1"/>
      <w:marLeft w:val="0"/>
      <w:marRight w:val="0"/>
      <w:marTop w:val="0"/>
      <w:marBottom w:val="0"/>
      <w:divBdr>
        <w:top w:val="none" w:sz="0" w:space="0" w:color="auto"/>
        <w:left w:val="none" w:sz="0" w:space="0" w:color="auto"/>
        <w:bottom w:val="none" w:sz="0" w:space="0" w:color="auto"/>
        <w:right w:val="none" w:sz="0" w:space="0" w:color="auto"/>
      </w:divBdr>
    </w:div>
    <w:div w:id="1428427827">
      <w:bodyDiv w:val="1"/>
      <w:marLeft w:val="0"/>
      <w:marRight w:val="0"/>
      <w:marTop w:val="0"/>
      <w:marBottom w:val="0"/>
      <w:divBdr>
        <w:top w:val="none" w:sz="0" w:space="0" w:color="auto"/>
        <w:left w:val="none" w:sz="0" w:space="0" w:color="auto"/>
        <w:bottom w:val="none" w:sz="0" w:space="0" w:color="auto"/>
        <w:right w:val="none" w:sz="0" w:space="0" w:color="auto"/>
      </w:divBdr>
    </w:div>
    <w:div w:id="1447308402">
      <w:bodyDiv w:val="1"/>
      <w:marLeft w:val="0"/>
      <w:marRight w:val="0"/>
      <w:marTop w:val="0"/>
      <w:marBottom w:val="0"/>
      <w:divBdr>
        <w:top w:val="none" w:sz="0" w:space="0" w:color="auto"/>
        <w:left w:val="none" w:sz="0" w:space="0" w:color="auto"/>
        <w:bottom w:val="none" w:sz="0" w:space="0" w:color="auto"/>
        <w:right w:val="none" w:sz="0" w:space="0" w:color="auto"/>
      </w:divBdr>
    </w:div>
    <w:div w:id="1472092810">
      <w:bodyDiv w:val="1"/>
      <w:marLeft w:val="0"/>
      <w:marRight w:val="0"/>
      <w:marTop w:val="0"/>
      <w:marBottom w:val="0"/>
      <w:divBdr>
        <w:top w:val="none" w:sz="0" w:space="0" w:color="auto"/>
        <w:left w:val="none" w:sz="0" w:space="0" w:color="auto"/>
        <w:bottom w:val="none" w:sz="0" w:space="0" w:color="auto"/>
        <w:right w:val="none" w:sz="0" w:space="0" w:color="auto"/>
      </w:divBdr>
    </w:div>
    <w:div w:id="1492720344">
      <w:bodyDiv w:val="1"/>
      <w:marLeft w:val="0"/>
      <w:marRight w:val="0"/>
      <w:marTop w:val="0"/>
      <w:marBottom w:val="0"/>
      <w:divBdr>
        <w:top w:val="none" w:sz="0" w:space="0" w:color="auto"/>
        <w:left w:val="none" w:sz="0" w:space="0" w:color="auto"/>
        <w:bottom w:val="none" w:sz="0" w:space="0" w:color="auto"/>
        <w:right w:val="none" w:sz="0" w:space="0" w:color="auto"/>
      </w:divBdr>
    </w:div>
    <w:div w:id="1505780798">
      <w:bodyDiv w:val="1"/>
      <w:marLeft w:val="0"/>
      <w:marRight w:val="0"/>
      <w:marTop w:val="0"/>
      <w:marBottom w:val="0"/>
      <w:divBdr>
        <w:top w:val="none" w:sz="0" w:space="0" w:color="auto"/>
        <w:left w:val="none" w:sz="0" w:space="0" w:color="auto"/>
        <w:bottom w:val="none" w:sz="0" w:space="0" w:color="auto"/>
        <w:right w:val="none" w:sz="0" w:space="0" w:color="auto"/>
      </w:divBdr>
    </w:div>
    <w:div w:id="1517112446">
      <w:bodyDiv w:val="1"/>
      <w:marLeft w:val="0"/>
      <w:marRight w:val="0"/>
      <w:marTop w:val="0"/>
      <w:marBottom w:val="0"/>
      <w:divBdr>
        <w:top w:val="none" w:sz="0" w:space="0" w:color="auto"/>
        <w:left w:val="none" w:sz="0" w:space="0" w:color="auto"/>
        <w:bottom w:val="none" w:sz="0" w:space="0" w:color="auto"/>
        <w:right w:val="none" w:sz="0" w:space="0" w:color="auto"/>
      </w:divBdr>
      <w:divsChild>
        <w:div w:id="1925260750">
          <w:marLeft w:val="0"/>
          <w:marRight w:val="0"/>
          <w:marTop w:val="0"/>
          <w:marBottom w:val="0"/>
          <w:divBdr>
            <w:top w:val="none" w:sz="0" w:space="0" w:color="auto"/>
            <w:left w:val="none" w:sz="0" w:space="0" w:color="auto"/>
            <w:bottom w:val="none" w:sz="0" w:space="0" w:color="auto"/>
            <w:right w:val="none" w:sz="0" w:space="0" w:color="auto"/>
          </w:divBdr>
          <w:divsChild>
            <w:div w:id="1547136286">
              <w:marLeft w:val="0"/>
              <w:marRight w:val="0"/>
              <w:marTop w:val="0"/>
              <w:marBottom w:val="0"/>
              <w:divBdr>
                <w:top w:val="none" w:sz="0" w:space="0" w:color="auto"/>
                <w:left w:val="none" w:sz="0" w:space="0" w:color="auto"/>
                <w:bottom w:val="none" w:sz="0" w:space="0" w:color="auto"/>
                <w:right w:val="none" w:sz="0" w:space="0" w:color="auto"/>
              </w:divBdr>
            </w:div>
            <w:div w:id="82046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99447">
      <w:bodyDiv w:val="1"/>
      <w:marLeft w:val="0"/>
      <w:marRight w:val="0"/>
      <w:marTop w:val="0"/>
      <w:marBottom w:val="0"/>
      <w:divBdr>
        <w:top w:val="none" w:sz="0" w:space="0" w:color="auto"/>
        <w:left w:val="none" w:sz="0" w:space="0" w:color="auto"/>
        <w:bottom w:val="none" w:sz="0" w:space="0" w:color="auto"/>
        <w:right w:val="none" w:sz="0" w:space="0" w:color="auto"/>
      </w:divBdr>
    </w:div>
    <w:div w:id="1595480443">
      <w:bodyDiv w:val="1"/>
      <w:marLeft w:val="0"/>
      <w:marRight w:val="0"/>
      <w:marTop w:val="0"/>
      <w:marBottom w:val="0"/>
      <w:divBdr>
        <w:top w:val="none" w:sz="0" w:space="0" w:color="auto"/>
        <w:left w:val="none" w:sz="0" w:space="0" w:color="auto"/>
        <w:bottom w:val="none" w:sz="0" w:space="0" w:color="auto"/>
        <w:right w:val="none" w:sz="0" w:space="0" w:color="auto"/>
      </w:divBdr>
    </w:div>
    <w:div w:id="1644115412">
      <w:bodyDiv w:val="1"/>
      <w:marLeft w:val="0"/>
      <w:marRight w:val="0"/>
      <w:marTop w:val="0"/>
      <w:marBottom w:val="0"/>
      <w:divBdr>
        <w:top w:val="none" w:sz="0" w:space="0" w:color="auto"/>
        <w:left w:val="none" w:sz="0" w:space="0" w:color="auto"/>
        <w:bottom w:val="none" w:sz="0" w:space="0" w:color="auto"/>
        <w:right w:val="none" w:sz="0" w:space="0" w:color="auto"/>
      </w:divBdr>
    </w:div>
    <w:div w:id="1669287752">
      <w:bodyDiv w:val="1"/>
      <w:marLeft w:val="0"/>
      <w:marRight w:val="0"/>
      <w:marTop w:val="0"/>
      <w:marBottom w:val="0"/>
      <w:divBdr>
        <w:top w:val="none" w:sz="0" w:space="0" w:color="auto"/>
        <w:left w:val="none" w:sz="0" w:space="0" w:color="auto"/>
        <w:bottom w:val="none" w:sz="0" w:space="0" w:color="auto"/>
        <w:right w:val="none" w:sz="0" w:space="0" w:color="auto"/>
      </w:divBdr>
    </w:div>
    <w:div w:id="1672684618">
      <w:bodyDiv w:val="1"/>
      <w:marLeft w:val="0"/>
      <w:marRight w:val="0"/>
      <w:marTop w:val="0"/>
      <w:marBottom w:val="0"/>
      <w:divBdr>
        <w:top w:val="none" w:sz="0" w:space="0" w:color="auto"/>
        <w:left w:val="none" w:sz="0" w:space="0" w:color="auto"/>
        <w:bottom w:val="none" w:sz="0" w:space="0" w:color="auto"/>
        <w:right w:val="none" w:sz="0" w:space="0" w:color="auto"/>
      </w:divBdr>
    </w:div>
    <w:div w:id="1680961029">
      <w:bodyDiv w:val="1"/>
      <w:marLeft w:val="0"/>
      <w:marRight w:val="0"/>
      <w:marTop w:val="0"/>
      <w:marBottom w:val="0"/>
      <w:divBdr>
        <w:top w:val="none" w:sz="0" w:space="0" w:color="auto"/>
        <w:left w:val="none" w:sz="0" w:space="0" w:color="auto"/>
        <w:bottom w:val="none" w:sz="0" w:space="0" w:color="auto"/>
        <w:right w:val="none" w:sz="0" w:space="0" w:color="auto"/>
      </w:divBdr>
    </w:div>
    <w:div w:id="1692338338">
      <w:bodyDiv w:val="1"/>
      <w:marLeft w:val="0"/>
      <w:marRight w:val="0"/>
      <w:marTop w:val="0"/>
      <w:marBottom w:val="0"/>
      <w:divBdr>
        <w:top w:val="none" w:sz="0" w:space="0" w:color="auto"/>
        <w:left w:val="none" w:sz="0" w:space="0" w:color="auto"/>
        <w:bottom w:val="none" w:sz="0" w:space="0" w:color="auto"/>
        <w:right w:val="none" w:sz="0" w:space="0" w:color="auto"/>
      </w:divBdr>
    </w:div>
    <w:div w:id="1721592672">
      <w:bodyDiv w:val="1"/>
      <w:marLeft w:val="0"/>
      <w:marRight w:val="0"/>
      <w:marTop w:val="0"/>
      <w:marBottom w:val="0"/>
      <w:divBdr>
        <w:top w:val="none" w:sz="0" w:space="0" w:color="auto"/>
        <w:left w:val="none" w:sz="0" w:space="0" w:color="auto"/>
        <w:bottom w:val="none" w:sz="0" w:space="0" w:color="auto"/>
        <w:right w:val="none" w:sz="0" w:space="0" w:color="auto"/>
      </w:divBdr>
    </w:div>
    <w:div w:id="1736472962">
      <w:bodyDiv w:val="1"/>
      <w:marLeft w:val="0"/>
      <w:marRight w:val="0"/>
      <w:marTop w:val="0"/>
      <w:marBottom w:val="0"/>
      <w:divBdr>
        <w:top w:val="none" w:sz="0" w:space="0" w:color="auto"/>
        <w:left w:val="none" w:sz="0" w:space="0" w:color="auto"/>
        <w:bottom w:val="none" w:sz="0" w:space="0" w:color="auto"/>
        <w:right w:val="none" w:sz="0" w:space="0" w:color="auto"/>
      </w:divBdr>
    </w:div>
    <w:div w:id="1757172257">
      <w:bodyDiv w:val="1"/>
      <w:marLeft w:val="0"/>
      <w:marRight w:val="0"/>
      <w:marTop w:val="0"/>
      <w:marBottom w:val="0"/>
      <w:divBdr>
        <w:top w:val="none" w:sz="0" w:space="0" w:color="auto"/>
        <w:left w:val="none" w:sz="0" w:space="0" w:color="auto"/>
        <w:bottom w:val="none" w:sz="0" w:space="0" w:color="auto"/>
        <w:right w:val="none" w:sz="0" w:space="0" w:color="auto"/>
      </w:divBdr>
    </w:div>
    <w:div w:id="1849128015">
      <w:bodyDiv w:val="1"/>
      <w:marLeft w:val="0"/>
      <w:marRight w:val="0"/>
      <w:marTop w:val="0"/>
      <w:marBottom w:val="0"/>
      <w:divBdr>
        <w:top w:val="none" w:sz="0" w:space="0" w:color="auto"/>
        <w:left w:val="none" w:sz="0" w:space="0" w:color="auto"/>
        <w:bottom w:val="none" w:sz="0" w:space="0" w:color="auto"/>
        <w:right w:val="none" w:sz="0" w:space="0" w:color="auto"/>
      </w:divBdr>
    </w:div>
    <w:div w:id="1857842466">
      <w:bodyDiv w:val="1"/>
      <w:marLeft w:val="0"/>
      <w:marRight w:val="0"/>
      <w:marTop w:val="0"/>
      <w:marBottom w:val="0"/>
      <w:divBdr>
        <w:top w:val="none" w:sz="0" w:space="0" w:color="auto"/>
        <w:left w:val="none" w:sz="0" w:space="0" w:color="auto"/>
        <w:bottom w:val="none" w:sz="0" w:space="0" w:color="auto"/>
        <w:right w:val="none" w:sz="0" w:space="0" w:color="auto"/>
      </w:divBdr>
    </w:div>
    <w:div w:id="1904246019">
      <w:bodyDiv w:val="1"/>
      <w:marLeft w:val="0"/>
      <w:marRight w:val="0"/>
      <w:marTop w:val="0"/>
      <w:marBottom w:val="0"/>
      <w:divBdr>
        <w:top w:val="none" w:sz="0" w:space="0" w:color="auto"/>
        <w:left w:val="none" w:sz="0" w:space="0" w:color="auto"/>
        <w:bottom w:val="none" w:sz="0" w:space="0" w:color="auto"/>
        <w:right w:val="none" w:sz="0" w:space="0" w:color="auto"/>
      </w:divBdr>
    </w:div>
    <w:div w:id="1914578958">
      <w:marLeft w:val="0"/>
      <w:marRight w:val="0"/>
      <w:marTop w:val="0"/>
      <w:marBottom w:val="0"/>
      <w:divBdr>
        <w:top w:val="none" w:sz="0" w:space="0" w:color="auto"/>
        <w:left w:val="none" w:sz="0" w:space="0" w:color="auto"/>
        <w:bottom w:val="none" w:sz="0" w:space="0" w:color="auto"/>
        <w:right w:val="none" w:sz="0" w:space="0" w:color="auto"/>
      </w:divBdr>
    </w:div>
    <w:div w:id="1914578959">
      <w:marLeft w:val="0"/>
      <w:marRight w:val="0"/>
      <w:marTop w:val="0"/>
      <w:marBottom w:val="0"/>
      <w:divBdr>
        <w:top w:val="none" w:sz="0" w:space="0" w:color="auto"/>
        <w:left w:val="none" w:sz="0" w:space="0" w:color="auto"/>
        <w:bottom w:val="none" w:sz="0" w:space="0" w:color="auto"/>
        <w:right w:val="none" w:sz="0" w:space="0" w:color="auto"/>
      </w:divBdr>
      <w:divsChild>
        <w:div w:id="1914578983">
          <w:marLeft w:val="0"/>
          <w:marRight w:val="0"/>
          <w:marTop w:val="0"/>
          <w:marBottom w:val="0"/>
          <w:divBdr>
            <w:top w:val="none" w:sz="0" w:space="0" w:color="auto"/>
            <w:left w:val="none" w:sz="0" w:space="0" w:color="auto"/>
            <w:bottom w:val="none" w:sz="0" w:space="0" w:color="auto"/>
            <w:right w:val="none" w:sz="0" w:space="0" w:color="auto"/>
          </w:divBdr>
          <w:divsChild>
            <w:div w:id="1914578974">
              <w:marLeft w:val="0"/>
              <w:marRight w:val="0"/>
              <w:marTop w:val="0"/>
              <w:marBottom w:val="0"/>
              <w:divBdr>
                <w:top w:val="none" w:sz="0" w:space="0" w:color="auto"/>
                <w:left w:val="none" w:sz="0" w:space="0" w:color="auto"/>
                <w:bottom w:val="none" w:sz="0" w:space="0" w:color="auto"/>
                <w:right w:val="none" w:sz="0" w:space="0" w:color="auto"/>
              </w:divBdr>
              <w:divsChild>
                <w:div w:id="1914578968">
                  <w:marLeft w:val="0"/>
                  <w:marRight w:val="0"/>
                  <w:marTop w:val="0"/>
                  <w:marBottom w:val="0"/>
                  <w:divBdr>
                    <w:top w:val="none" w:sz="0" w:space="0" w:color="auto"/>
                    <w:left w:val="none" w:sz="0" w:space="0" w:color="auto"/>
                    <w:bottom w:val="none" w:sz="0" w:space="0" w:color="auto"/>
                    <w:right w:val="none" w:sz="0" w:space="0" w:color="auto"/>
                  </w:divBdr>
                  <w:divsChild>
                    <w:div w:id="1914578960">
                      <w:marLeft w:val="0"/>
                      <w:marRight w:val="0"/>
                      <w:marTop w:val="0"/>
                      <w:marBottom w:val="0"/>
                      <w:divBdr>
                        <w:top w:val="none" w:sz="0" w:space="0" w:color="auto"/>
                        <w:left w:val="none" w:sz="0" w:space="0" w:color="auto"/>
                        <w:bottom w:val="none" w:sz="0" w:space="0" w:color="auto"/>
                        <w:right w:val="none" w:sz="0" w:space="0" w:color="auto"/>
                      </w:divBdr>
                      <w:divsChild>
                        <w:div w:id="1914578971">
                          <w:marLeft w:val="16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578963">
      <w:marLeft w:val="0"/>
      <w:marRight w:val="0"/>
      <w:marTop w:val="0"/>
      <w:marBottom w:val="0"/>
      <w:divBdr>
        <w:top w:val="none" w:sz="0" w:space="0" w:color="auto"/>
        <w:left w:val="none" w:sz="0" w:space="0" w:color="auto"/>
        <w:bottom w:val="none" w:sz="0" w:space="0" w:color="auto"/>
        <w:right w:val="none" w:sz="0" w:space="0" w:color="auto"/>
      </w:divBdr>
    </w:div>
    <w:div w:id="1914578975">
      <w:marLeft w:val="0"/>
      <w:marRight w:val="0"/>
      <w:marTop w:val="0"/>
      <w:marBottom w:val="0"/>
      <w:divBdr>
        <w:top w:val="none" w:sz="0" w:space="0" w:color="auto"/>
        <w:left w:val="none" w:sz="0" w:space="0" w:color="auto"/>
        <w:bottom w:val="none" w:sz="0" w:space="0" w:color="auto"/>
        <w:right w:val="none" w:sz="0" w:space="0" w:color="auto"/>
      </w:divBdr>
    </w:div>
    <w:div w:id="1914578980">
      <w:marLeft w:val="0"/>
      <w:marRight w:val="0"/>
      <w:marTop w:val="0"/>
      <w:marBottom w:val="0"/>
      <w:divBdr>
        <w:top w:val="none" w:sz="0" w:space="0" w:color="auto"/>
        <w:left w:val="none" w:sz="0" w:space="0" w:color="auto"/>
        <w:bottom w:val="none" w:sz="0" w:space="0" w:color="auto"/>
        <w:right w:val="none" w:sz="0" w:space="0" w:color="auto"/>
      </w:divBdr>
      <w:divsChild>
        <w:div w:id="1914578969">
          <w:marLeft w:val="0"/>
          <w:marRight w:val="0"/>
          <w:marTop w:val="0"/>
          <w:marBottom w:val="0"/>
          <w:divBdr>
            <w:top w:val="none" w:sz="0" w:space="0" w:color="auto"/>
            <w:left w:val="none" w:sz="0" w:space="0" w:color="auto"/>
            <w:bottom w:val="none" w:sz="0" w:space="0" w:color="auto"/>
            <w:right w:val="none" w:sz="0" w:space="0" w:color="auto"/>
          </w:divBdr>
          <w:divsChild>
            <w:div w:id="1914578976">
              <w:marLeft w:val="0"/>
              <w:marRight w:val="0"/>
              <w:marTop w:val="0"/>
              <w:marBottom w:val="0"/>
              <w:divBdr>
                <w:top w:val="none" w:sz="0" w:space="0" w:color="auto"/>
                <w:left w:val="none" w:sz="0" w:space="0" w:color="auto"/>
                <w:bottom w:val="none" w:sz="0" w:space="0" w:color="auto"/>
                <w:right w:val="none" w:sz="0" w:space="0" w:color="auto"/>
              </w:divBdr>
              <w:divsChild>
                <w:div w:id="1914578987">
                  <w:marLeft w:val="0"/>
                  <w:marRight w:val="0"/>
                  <w:marTop w:val="0"/>
                  <w:marBottom w:val="0"/>
                  <w:divBdr>
                    <w:top w:val="none" w:sz="0" w:space="0" w:color="auto"/>
                    <w:left w:val="none" w:sz="0" w:space="0" w:color="auto"/>
                    <w:bottom w:val="none" w:sz="0" w:space="0" w:color="auto"/>
                    <w:right w:val="none" w:sz="0" w:space="0" w:color="auto"/>
                  </w:divBdr>
                  <w:divsChild>
                    <w:div w:id="1914578982">
                      <w:marLeft w:val="0"/>
                      <w:marRight w:val="0"/>
                      <w:marTop w:val="0"/>
                      <w:marBottom w:val="0"/>
                      <w:divBdr>
                        <w:top w:val="none" w:sz="0" w:space="0" w:color="auto"/>
                        <w:left w:val="none" w:sz="0" w:space="0" w:color="auto"/>
                        <w:bottom w:val="none" w:sz="0" w:space="0" w:color="auto"/>
                        <w:right w:val="none" w:sz="0" w:space="0" w:color="auto"/>
                      </w:divBdr>
                      <w:divsChild>
                        <w:div w:id="1914578981">
                          <w:marLeft w:val="0"/>
                          <w:marRight w:val="0"/>
                          <w:marTop w:val="0"/>
                          <w:marBottom w:val="0"/>
                          <w:divBdr>
                            <w:top w:val="none" w:sz="0" w:space="0" w:color="auto"/>
                            <w:left w:val="none" w:sz="0" w:space="0" w:color="auto"/>
                            <w:bottom w:val="none" w:sz="0" w:space="0" w:color="auto"/>
                            <w:right w:val="none" w:sz="0" w:space="0" w:color="auto"/>
                          </w:divBdr>
                          <w:divsChild>
                            <w:div w:id="1914578967">
                              <w:marLeft w:val="0"/>
                              <w:marRight w:val="0"/>
                              <w:marTop w:val="0"/>
                              <w:marBottom w:val="0"/>
                              <w:divBdr>
                                <w:top w:val="none" w:sz="0" w:space="0" w:color="auto"/>
                                <w:left w:val="none" w:sz="0" w:space="0" w:color="auto"/>
                                <w:bottom w:val="none" w:sz="0" w:space="0" w:color="auto"/>
                                <w:right w:val="none" w:sz="0" w:space="0" w:color="auto"/>
                              </w:divBdr>
                              <w:divsChild>
                                <w:div w:id="1914578973">
                                  <w:marLeft w:val="0"/>
                                  <w:marRight w:val="0"/>
                                  <w:marTop w:val="0"/>
                                  <w:marBottom w:val="0"/>
                                  <w:divBdr>
                                    <w:top w:val="none" w:sz="0" w:space="0" w:color="auto"/>
                                    <w:left w:val="none" w:sz="0" w:space="0" w:color="auto"/>
                                    <w:bottom w:val="none" w:sz="0" w:space="0" w:color="auto"/>
                                    <w:right w:val="none" w:sz="0" w:space="0" w:color="auto"/>
                                  </w:divBdr>
                                  <w:divsChild>
                                    <w:div w:id="1914578985">
                                      <w:marLeft w:val="0"/>
                                      <w:marRight w:val="0"/>
                                      <w:marTop w:val="0"/>
                                      <w:marBottom w:val="0"/>
                                      <w:divBdr>
                                        <w:top w:val="none" w:sz="0" w:space="0" w:color="auto"/>
                                        <w:left w:val="none" w:sz="0" w:space="0" w:color="auto"/>
                                        <w:bottom w:val="none" w:sz="0" w:space="0" w:color="auto"/>
                                        <w:right w:val="none" w:sz="0" w:space="0" w:color="auto"/>
                                      </w:divBdr>
                                      <w:divsChild>
                                        <w:div w:id="1914578961">
                                          <w:marLeft w:val="0"/>
                                          <w:marRight w:val="0"/>
                                          <w:marTop w:val="0"/>
                                          <w:marBottom w:val="0"/>
                                          <w:divBdr>
                                            <w:top w:val="none" w:sz="0" w:space="0" w:color="auto"/>
                                            <w:left w:val="none" w:sz="0" w:space="0" w:color="auto"/>
                                            <w:bottom w:val="none" w:sz="0" w:space="0" w:color="auto"/>
                                            <w:right w:val="none" w:sz="0" w:space="0" w:color="auto"/>
                                          </w:divBdr>
                                          <w:divsChild>
                                            <w:div w:id="1914578965">
                                              <w:marLeft w:val="0"/>
                                              <w:marRight w:val="0"/>
                                              <w:marTop w:val="0"/>
                                              <w:marBottom w:val="0"/>
                                              <w:divBdr>
                                                <w:top w:val="none" w:sz="0" w:space="0" w:color="auto"/>
                                                <w:left w:val="none" w:sz="0" w:space="0" w:color="auto"/>
                                                <w:bottom w:val="none" w:sz="0" w:space="0" w:color="auto"/>
                                                <w:right w:val="none" w:sz="0" w:space="0" w:color="auto"/>
                                              </w:divBdr>
                                              <w:divsChild>
                                                <w:div w:id="1914578962">
                                                  <w:marLeft w:val="0"/>
                                                  <w:marRight w:val="0"/>
                                                  <w:marTop w:val="0"/>
                                                  <w:marBottom w:val="0"/>
                                                  <w:divBdr>
                                                    <w:top w:val="none" w:sz="0" w:space="0" w:color="auto"/>
                                                    <w:left w:val="none" w:sz="0" w:space="0" w:color="auto"/>
                                                    <w:bottom w:val="none" w:sz="0" w:space="0" w:color="auto"/>
                                                    <w:right w:val="none" w:sz="0" w:space="0" w:color="auto"/>
                                                  </w:divBdr>
                                                  <w:divsChild>
                                                    <w:div w:id="1914578978">
                                                      <w:marLeft w:val="0"/>
                                                      <w:marRight w:val="0"/>
                                                      <w:marTop w:val="0"/>
                                                      <w:marBottom w:val="0"/>
                                                      <w:divBdr>
                                                        <w:top w:val="none" w:sz="0" w:space="0" w:color="auto"/>
                                                        <w:left w:val="none" w:sz="0" w:space="0" w:color="auto"/>
                                                        <w:bottom w:val="none" w:sz="0" w:space="0" w:color="auto"/>
                                                        <w:right w:val="none" w:sz="0" w:space="0" w:color="auto"/>
                                                      </w:divBdr>
                                                      <w:divsChild>
                                                        <w:div w:id="1914578979">
                                                          <w:marLeft w:val="0"/>
                                                          <w:marRight w:val="0"/>
                                                          <w:marTop w:val="0"/>
                                                          <w:marBottom w:val="0"/>
                                                          <w:divBdr>
                                                            <w:top w:val="none" w:sz="0" w:space="0" w:color="auto"/>
                                                            <w:left w:val="none" w:sz="0" w:space="0" w:color="auto"/>
                                                            <w:bottom w:val="none" w:sz="0" w:space="0" w:color="auto"/>
                                                            <w:right w:val="none" w:sz="0" w:space="0" w:color="auto"/>
                                                          </w:divBdr>
                                                          <w:divsChild>
                                                            <w:div w:id="1914578972">
                                                              <w:marLeft w:val="0"/>
                                                              <w:marRight w:val="0"/>
                                                              <w:marTop w:val="0"/>
                                                              <w:marBottom w:val="0"/>
                                                              <w:divBdr>
                                                                <w:top w:val="none" w:sz="0" w:space="0" w:color="auto"/>
                                                                <w:left w:val="none" w:sz="0" w:space="0" w:color="auto"/>
                                                                <w:bottom w:val="none" w:sz="0" w:space="0" w:color="auto"/>
                                                                <w:right w:val="none" w:sz="0" w:space="0" w:color="auto"/>
                                                              </w:divBdr>
                                                              <w:divsChild>
                                                                <w:div w:id="1914578986">
                                                                  <w:marLeft w:val="0"/>
                                                                  <w:marRight w:val="0"/>
                                                                  <w:marTop w:val="225"/>
                                                                  <w:marBottom w:val="300"/>
                                                                  <w:divBdr>
                                                                    <w:top w:val="none" w:sz="0" w:space="0" w:color="auto"/>
                                                                    <w:left w:val="none" w:sz="0" w:space="0" w:color="auto"/>
                                                                    <w:bottom w:val="none" w:sz="0" w:space="0" w:color="auto"/>
                                                                    <w:right w:val="none" w:sz="0" w:space="0" w:color="auto"/>
                                                                  </w:divBdr>
                                                                  <w:divsChild>
                                                                    <w:div w:id="1914578977">
                                                                      <w:marLeft w:val="0"/>
                                                                      <w:marRight w:val="0"/>
                                                                      <w:marTop w:val="0"/>
                                                                      <w:marBottom w:val="0"/>
                                                                      <w:divBdr>
                                                                        <w:top w:val="none" w:sz="0" w:space="0" w:color="auto"/>
                                                                        <w:left w:val="none" w:sz="0" w:space="0" w:color="auto"/>
                                                                        <w:bottom w:val="none" w:sz="0" w:space="0" w:color="auto"/>
                                                                        <w:right w:val="none" w:sz="0" w:space="0" w:color="auto"/>
                                                                      </w:divBdr>
                                                                      <w:divsChild>
                                                                        <w:div w:id="1914578964">
                                                                          <w:marLeft w:val="0"/>
                                                                          <w:marRight w:val="0"/>
                                                                          <w:marTop w:val="0"/>
                                                                          <w:marBottom w:val="0"/>
                                                                          <w:divBdr>
                                                                            <w:top w:val="none" w:sz="0" w:space="0" w:color="auto"/>
                                                                            <w:left w:val="none" w:sz="0" w:space="0" w:color="auto"/>
                                                                            <w:bottom w:val="single" w:sz="6" w:space="23" w:color="DBDBDB"/>
                                                                            <w:right w:val="none" w:sz="0" w:space="0" w:color="auto"/>
                                                                          </w:divBdr>
                                                                          <w:divsChild>
                                                                            <w:div w:id="1914578966">
                                                                              <w:marLeft w:val="0"/>
                                                                              <w:marRight w:val="0"/>
                                                                              <w:marTop w:val="0"/>
                                                                              <w:marBottom w:val="0"/>
                                                                              <w:divBdr>
                                                                                <w:top w:val="none" w:sz="0" w:space="0" w:color="auto"/>
                                                                                <w:left w:val="none" w:sz="0" w:space="0" w:color="auto"/>
                                                                                <w:bottom w:val="none" w:sz="0" w:space="0" w:color="auto"/>
                                                                                <w:right w:val="none" w:sz="0" w:space="0" w:color="auto"/>
                                                                              </w:divBdr>
                                                                              <w:divsChild>
                                                                                <w:div w:id="191457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14578984">
      <w:marLeft w:val="0"/>
      <w:marRight w:val="0"/>
      <w:marTop w:val="0"/>
      <w:marBottom w:val="0"/>
      <w:divBdr>
        <w:top w:val="none" w:sz="0" w:space="0" w:color="auto"/>
        <w:left w:val="none" w:sz="0" w:space="0" w:color="auto"/>
        <w:bottom w:val="none" w:sz="0" w:space="0" w:color="auto"/>
        <w:right w:val="none" w:sz="0" w:space="0" w:color="auto"/>
      </w:divBdr>
    </w:div>
    <w:div w:id="1914578989">
      <w:marLeft w:val="0"/>
      <w:marRight w:val="0"/>
      <w:marTop w:val="0"/>
      <w:marBottom w:val="0"/>
      <w:divBdr>
        <w:top w:val="none" w:sz="0" w:space="0" w:color="auto"/>
        <w:left w:val="none" w:sz="0" w:space="0" w:color="auto"/>
        <w:bottom w:val="none" w:sz="0" w:space="0" w:color="auto"/>
        <w:right w:val="none" w:sz="0" w:space="0" w:color="auto"/>
      </w:divBdr>
    </w:div>
    <w:div w:id="1914578990">
      <w:marLeft w:val="0"/>
      <w:marRight w:val="0"/>
      <w:marTop w:val="0"/>
      <w:marBottom w:val="0"/>
      <w:divBdr>
        <w:top w:val="none" w:sz="0" w:space="0" w:color="auto"/>
        <w:left w:val="none" w:sz="0" w:space="0" w:color="auto"/>
        <w:bottom w:val="none" w:sz="0" w:space="0" w:color="auto"/>
        <w:right w:val="none" w:sz="0" w:space="0" w:color="auto"/>
      </w:divBdr>
    </w:div>
    <w:div w:id="1914578991">
      <w:marLeft w:val="0"/>
      <w:marRight w:val="0"/>
      <w:marTop w:val="0"/>
      <w:marBottom w:val="0"/>
      <w:divBdr>
        <w:top w:val="none" w:sz="0" w:space="0" w:color="auto"/>
        <w:left w:val="none" w:sz="0" w:space="0" w:color="auto"/>
        <w:bottom w:val="none" w:sz="0" w:space="0" w:color="auto"/>
        <w:right w:val="none" w:sz="0" w:space="0" w:color="auto"/>
      </w:divBdr>
    </w:div>
    <w:div w:id="1914578992">
      <w:marLeft w:val="0"/>
      <w:marRight w:val="0"/>
      <w:marTop w:val="0"/>
      <w:marBottom w:val="0"/>
      <w:divBdr>
        <w:top w:val="none" w:sz="0" w:space="0" w:color="auto"/>
        <w:left w:val="none" w:sz="0" w:space="0" w:color="auto"/>
        <w:bottom w:val="none" w:sz="0" w:space="0" w:color="auto"/>
        <w:right w:val="none" w:sz="0" w:space="0" w:color="auto"/>
      </w:divBdr>
    </w:div>
    <w:div w:id="1914578993">
      <w:marLeft w:val="0"/>
      <w:marRight w:val="0"/>
      <w:marTop w:val="0"/>
      <w:marBottom w:val="0"/>
      <w:divBdr>
        <w:top w:val="none" w:sz="0" w:space="0" w:color="auto"/>
        <w:left w:val="none" w:sz="0" w:space="0" w:color="auto"/>
        <w:bottom w:val="none" w:sz="0" w:space="0" w:color="auto"/>
        <w:right w:val="none" w:sz="0" w:space="0" w:color="auto"/>
      </w:divBdr>
      <w:divsChild>
        <w:div w:id="1914578988">
          <w:marLeft w:val="0"/>
          <w:marRight w:val="0"/>
          <w:marTop w:val="0"/>
          <w:marBottom w:val="0"/>
          <w:divBdr>
            <w:top w:val="none" w:sz="0" w:space="0" w:color="auto"/>
            <w:left w:val="none" w:sz="0" w:space="0" w:color="auto"/>
            <w:bottom w:val="none" w:sz="0" w:space="0" w:color="auto"/>
            <w:right w:val="none" w:sz="0" w:space="0" w:color="auto"/>
          </w:divBdr>
        </w:div>
      </w:divsChild>
    </w:div>
    <w:div w:id="1914578994">
      <w:marLeft w:val="0"/>
      <w:marRight w:val="0"/>
      <w:marTop w:val="0"/>
      <w:marBottom w:val="0"/>
      <w:divBdr>
        <w:top w:val="none" w:sz="0" w:space="0" w:color="auto"/>
        <w:left w:val="none" w:sz="0" w:space="0" w:color="auto"/>
        <w:bottom w:val="none" w:sz="0" w:space="0" w:color="auto"/>
        <w:right w:val="none" w:sz="0" w:space="0" w:color="auto"/>
      </w:divBdr>
    </w:div>
    <w:div w:id="1914578995">
      <w:marLeft w:val="0"/>
      <w:marRight w:val="0"/>
      <w:marTop w:val="0"/>
      <w:marBottom w:val="0"/>
      <w:divBdr>
        <w:top w:val="none" w:sz="0" w:space="0" w:color="auto"/>
        <w:left w:val="none" w:sz="0" w:space="0" w:color="auto"/>
        <w:bottom w:val="none" w:sz="0" w:space="0" w:color="auto"/>
        <w:right w:val="none" w:sz="0" w:space="0" w:color="auto"/>
      </w:divBdr>
    </w:div>
    <w:div w:id="1914578996">
      <w:marLeft w:val="0"/>
      <w:marRight w:val="0"/>
      <w:marTop w:val="0"/>
      <w:marBottom w:val="0"/>
      <w:divBdr>
        <w:top w:val="none" w:sz="0" w:space="0" w:color="auto"/>
        <w:left w:val="none" w:sz="0" w:space="0" w:color="auto"/>
        <w:bottom w:val="none" w:sz="0" w:space="0" w:color="auto"/>
        <w:right w:val="none" w:sz="0" w:space="0" w:color="auto"/>
      </w:divBdr>
    </w:div>
    <w:div w:id="1914578997">
      <w:marLeft w:val="0"/>
      <w:marRight w:val="0"/>
      <w:marTop w:val="0"/>
      <w:marBottom w:val="0"/>
      <w:divBdr>
        <w:top w:val="none" w:sz="0" w:space="0" w:color="auto"/>
        <w:left w:val="none" w:sz="0" w:space="0" w:color="auto"/>
        <w:bottom w:val="none" w:sz="0" w:space="0" w:color="auto"/>
        <w:right w:val="none" w:sz="0" w:space="0" w:color="auto"/>
      </w:divBdr>
    </w:div>
    <w:div w:id="1963727126">
      <w:bodyDiv w:val="1"/>
      <w:marLeft w:val="0"/>
      <w:marRight w:val="0"/>
      <w:marTop w:val="0"/>
      <w:marBottom w:val="0"/>
      <w:divBdr>
        <w:top w:val="none" w:sz="0" w:space="0" w:color="auto"/>
        <w:left w:val="none" w:sz="0" w:space="0" w:color="auto"/>
        <w:bottom w:val="none" w:sz="0" w:space="0" w:color="auto"/>
        <w:right w:val="none" w:sz="0" w:space="0" w:color="auto"/>
      </w:divBdr>
    </w:div>
    <w:div w:id="1970546888">
      <w:bodyDiv w:val="1"/>
      <w:marLeft w:val="0"/>
      <w:marRight w:val="0"/>
      <w:marTop w:val="0"/>
      <w:marBottom w:val="0"/>
      <w:divBdr>
        <w:top w:val="none" w:sz="0" w:space="0" w:color="auto"/>
        <w:left w:val="none" w:sz="0" w:space="0" w:color="auto"/>
        <w:bottom w:val="none" w:sz="0" w:space="0" w:color="auto"/>
        <w:right w:val="none" w:sz="0" w:space="0" w:color="auto"/>
      </w:divBdr>
    </w:div>
    <w:div w:id="1976905323">
      <w:bodyDiv w:val="1"/>
      <w:marLeft w:val="0"/>
      <w:marRight w:val="0"/>
      <w:marTop w:val="0"/>
      <w:marBottom w:val="0"/>
      <w:divBdr>
        <w:top w:val="none" w:sz="0" w:space="0" w:color="auto"/>
        <w:left w:val="none" w:sz="0" w:space="0" w:color="auto"/>
        <w:bottom w:val="none" w:sz="0" w:space="0" w:color="auto"/>
        <w:right w:val="none" w:sz="0" w:space="0" w:color="auto"/>
      </w:divBdr>
    </w:div>
    <w:div w:id="1977486312">
      <w:bodyDiv w:val="1"/>
      <w:marLeft w:val="0"/>
      <w:marRight w:val="0"/>
      <w:marTop w:val="0"/>
      <w:marBottom w:val="0"/>
      <w:divBdr>
        <w:top w:val="none" w:sz="0" w:space="0" w:color="auto"/>
        <w:left w:val="none" w:sz="0" w:space="0" w:color="auto"/>
        <w:bottom w:val="none" w:sz="0" w:space="0" w:color="auto"/>
        <w:right w:val="none" w:sz="0" w:space="0" w:color="auto"/>
      </w:divBdr>
    </w:div>
    <w:div w:id="1987003096">
      <w:bodyDiv w:val="1"/>
      <w:marLeft w:val="0"/>
      <w:marRight w:val="0"/>
      <w:marTop w:val="0"/>
      <w:marBottom w:val="0"/>
      <w:divBdr>
        <w:top w:val="none" w:sz="0" w:space="0" w:color="auto"/>
        <w:left w:val="none" w:sz="0" w:space="0" w:color="auto"/>
        <w:bottom w:val="none" w:sz="0" w:space="0" w:color="auto"/>
        <w:right w:val="none" w:sz="0" w:space="0" w:color="auto"/>
      </w:divBdr>
    </w:div>
    <w:div w:id="1993173054">
      <w:bodyDiv w:val="1"/>
      <w:marLeft w:val="0"/>
      <w:marRight w:val="0"/>
      <w:marTop w:val="0"/>
      <w:marBottom w:val="0"/>
      <w:divBdr>
        <w:top w:val="none" w:sz="0" w:space="0" w:color="auto"/>
        <w:left w:val="none" w:sz="0" w:space="0" w:color="auto"/>
        <w:bottom w:val="none" w:sz="0" w:space="0" w:color="auto"/>
        <w:right w:val="none" w:sz="0" w:space="0" w:color="auto"/>
      </w:divBdr>
    </w:div>
    <w:div w:id="2047901626">
      <w:bodyDiv w:val="1"/>
      <w:marLeft w:val="0"/>
      <w:marRight w:val="0"/>
      <w:marTop w:val="0"/>
      <w:marBottom w:val="0"/>
      <w:divBdr>
        <w:top w:val="none" w:sz="0" w:space="0" w:color="auto"/>
        <w:left w:val="none" w:sz="0" w:space="0" w:color="auto"/>
        <w:bottom w:val="none" w:sz="0" w:space="0" w:color="auto"/>
        <w:right w:val="none" w:sz="0" w:space="0" w:color="auto"/>
      </w:divBdr>
    </w:div>
    <w:div w:id="2057267797">
      <w:bodyDiv w:val="1"/>
      <w:marLeft w:val="0"/>
      <w:marRight w:val="0"/>
      <w:marTop w:val="0"/>
      <w:marBottom w:val="0"/>
      <w:divBdr>
        <w:top w:val="none" w:sz="0" w:space="0" w:color="auto"/>
        <w:left w:val="none" w:sz="0" w:space="0" w:color="auto"/>
        <w:bottom w:val="none" w:sz="0" w:space="0" w:color="auto"/>
        <w:right w:val="none" w:sz="0" w:space="0" w:color="auto"/>
      </w:divBdr>
    </w:div>
    <w:div w:id="2065713068">
      <w:bodyDiv w:val="1"/>
      <w:marLeft w:val="0"/>
      <w:marRight w:val="0"/>
      <w:marTop w:val="0"/>
      <w:marBottom w:val="0"/>
      <w:divBdr>
        <w:top w:val="none" w:sz="0" w:space="0" w:color="auto"/>
        <w:left w:val="none" w:sz="0" w:space="0" w:color="auto"/>
        <w:bottom w:val="none" w:sz="0" w:space="0" w:color="auto"/>
        <w:right w:val="none" w:sz="0" w:space="0" w:color="auto"/>
      </w:divBdr>
    </w:div>
    <w:div w:id="2073766650">
      <w:bodyDiv w:val="1"/>
      <w:marLeft w:val="0"/>
      <w:marRight w:val="0"/>
      <w:marTop w:val="0"/>
      <w:marBottom w:val="0"/>
      <w:divBdr>
        <w:top w:val="none" w:sz="0" w:space="0" w:color="auto"/>
        <w:left w:val="none" w:sz="0" w:space="0" w:color="auto"/>
        <w:bottom w:val="none" w:sz="0" w:space="0" w:color="auto"/>
        <w:right w:val="none" w:sz="0" w:space="0" w:color="auto"/>
      </w:divBdr>
    </w:div>
    <w:div w:id="2096320890">
      <w:bodyDiv w:val="1"/>
      <w:marLeft w:val="0"/>
      <w:marRight w:val="0"/>
      <w:marTop w:val="0"/>
      <w:marBottom w:val="0"/>
      <w:divBdr>
        <w:top w:val="none" w:sz="0" w:space="0" w:color="auto"/>
        <w:left w:val="none" w:sz="0" w:space="0" w:color="auto"/>
        <w:bottom w:val="none" w:sz="0" w:space="0" w:color="auto"/>
        <w:right w:val="none" w:sz="0" w:space="0" w:color="auto"/>
      </w:divBdr>
    </w:div>
    <w:div w:id="2102526847">
      <w:bodyDiv w:val="1"/>
      <w:marLeft w:val="0"/>
      <w:marRight w:val="0"/>
      <w:marTop w:val="0"/>
      <w:marBottom w:val="0"/>
      <w:divBdr>
        <w:top w:val="none" w:sz="0" w:space="0" w:color="auto"/>
        <w:left w:val="none" w:sz="0" w:space="0" w:color="auto"/>
        <w:bottom w:val="none" w:sz="0" w:space="0" w:color="auto"/>
        <w:right w:val="none" w:sz="0" w:space="0" w:color="auto"/>
      </w:divBdr>
    </w:div>
    <w:div w:id="2125036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telmex.com/" TargetMode="External"/><Relationship Id="rId21" Type="http://schemas.openxmlformats.org/officeDocument/2006/relationships/image" Target="media/image7.emf"/><Relationship Id="rId42" Type="http://schemas.openxmlformats.org/officeDocument/2006/relationships/image" Target="media/image18.jpeg"/><Relationship Id="rId47" Type="http://schemas.openxmlformats.org/officeDocument/2006/relationships/image" Target="media/image22.emf"/><Relationship Id="rId63" Type="http://schemas.openxmlformats.org/officeDocument/2006/relationships/image" Target="media/image33.emf"/><Relationship Id="rId68" Type="http://schemas.openxmlformats.org/officeDocument/2006/relationships/diagramQuickStyle" Target="diagrams/quickStyle3.xml"/><Relationship Id="rId84" Type="http://schemas.openxmlformats.org/officeDocument/2006/relationships/image" Target="media/image49.emf"/><Relationship Id="rId89" Type="http://schemas.openxmlformats.org/officeDocument/2006/relationships/image" Target="media/image54.png"/><Relationship Id="rId16" Type="http://schemas.openxmlformats.org/officeDocument/2006/relationships/image" Target="media/image2.emf"/><Relationship Id="rId11" Type="http://schemas.openxmlformats.org/officeDocument/2006/relationships/footer" Target="footer1.xml"/><Relationship Id="rId32" Type="http://schemas.openxmlformats.org/officeDocument/2006/relationships/image" Target="media/image15.png"/><Relationship Id="rId37" Type="http://schemas.openxmlformats.org/officeDocument/2006/relationships/diagramQuickStyle" Target="diagrams/quickStyle1.xml"/><Relationship Id="rId53" Type="http://schemas.openxmlformats.org/officeDocument/2006/relationships/image" Target="media/image28.png"/><Relationship Id="rId58" Type="http://schemas.openxmlformats.org/officeDocument/2006/relationships/diagramQuickStyle" Target="diagrams/quickStyle2.xml"/><Relationship Id="rId74" Type="http://schemas.openxmlformats.org/officeDocument/2006/relationships/image" Target="media/image39.emf"/><Relationship Id="rId79" Type="http://schemas.openxmlformats.org/officeDocument/2006/relationships/image" Target="media/image44.emf"/><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emf"/><Relationship Id="rId22" Type="http://schemas.openxmlformats.org/officeDocument/2006/relationships/image" Target="media/image8.png"/><Relationship Id="rId27" Type="http://schemas.openxmlformats.org/officeDocument/2006/relationships/image" Target="media/image10.png"/><Relationship Id="rId43" Type="http://schemas.openxmlformats.org/officeDocument/2006/relationships/image" Target="cid:image003.jpg@01D110CE.9E4F9CA0" TargetMode="External"/><Relationship Id="rId48" Type="http://schemas.openxmlformats.org/officeDocument/2006/relationships/image" Target="media/image23.png"/><Relationship Id="rId64" Type="http://schemas.openxmlformats.org/officeDocument/2006/relationships/image" Target="media/image34.emf"/><Relationship Id="rId69" Type="http://schemas.openxmlformats.org/officeDocument/2006/relationships/diagramColors" Target="diagrams/colors3.xml"/><Relationship Id="rId80" Type="http://schemas.openxmlformats.org/officeDocument/2006/relationships/image" Target="media/image45.png"/><Relationship Id="rId85" Type="http://schemas.openxmlformats.org/officeDocument/2006/relationships/image" Target="media/image50.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yperlink" Target="http://www.telmex.com/" TargetMode="External"/><Relationship Id="rId33" Type="http://schemas.openxmlformats.org/officeDocument/2006/relationships/hyperlink" Target="mailto:OPERDES@telmex.com" TargetMode="External"/><Relationship Id="rId38" Type="http://schemas.openxmlformats.org/officeDocument/2006/relationships/diagramColors" Target="diagrams/colors1.xml"/><Relationship Id="rId46" Type="http://schemas.openxmlformats.org/officeDocument/2006/relationships/image" Target="media/image21.emf"/><Relationship Id="rId59" Type="http://schemas.openxmlformats.org/officeDocument/2006/relationships/diagramColors" Target="diagrams/colors2.xml"/><Relationship Id="rId67" Type="http://schemas.openxmlformats.org/officeDocument/2006/relationships/diagramLayout" Target="diagrams/layout3.xml"/><Relationship Id="rId20" Type="http://schemas.openxmlformats.org/officeDocument/2006/relationships/image" Target="media/image6.emf"/><Relationship Id="rId41" Type="http://schemas.openxmlformats.org/officeDocument/2006/relationships/image" Target="cid:image001.jpg@01D110CE.9E4F9CA0" TargetMode="External"/><Relationship Id="rId54" Type="http://schemas.openxmlformats.org/officeDocument/2006/relationships/image" Target="media/image29.emf"/><Relationship Id="rId62" Type="http://schemas.openxmlformats.org/officeDocument/2006/relationships/image" Target="media/image32.emf"/><Relationship Id="rId70" Type="http://schemas.microsoft.com/office/2007/relationships/diagramDrawing" Target="diagrams/drawing3.xml"/><Relationship Id="rId75" Type="http://schemas.openxmlformats.org/officeDocument/2006/relationships/image" Target="media/image40.png"/><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yperlink" Target="mailto:OPERDES@telmex.com" TargetMode="External"/><Relationship Id="rId28" Type="http://schemas.openxmlformats.org/officeDocument/2006/relationships/image" Target="media/image11.png"/><Relationship Id="rId36" Type="http://schemas.openxmlformats.org/officeDocument/2006/relationships/diagramLayout" Target="diagrams/layout1.xml"/><Relationship Id="rId49" Type="http://schemas.openxmlformats.org/officeDocument/2006/relationships/image" Target="media/image24.emf"/><Relationship Id="rId57" Type="http://schemas.openxmlformats.org/officeDocument/2006/relationships/diagramLayout" Target="diagrams/layout2.xm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19.emf"/><Relationship Id="rId52" Type="http://schemas.openxmlformats.org/officeDocument/2006/relationships/image" Target="media/image27.png"/><Relationship Id="rId60" Type="http://schemas.microsoft.com/office/2007/relationships/diagramDrawing" Target="diagrams/drawing2.xml"/><Relationship Id="rId65" Type="http://schemas.openxmlformats.org/officeDocument/2006/relationships/image" Target="media/image35.png"/><Relationship Id="rId73" Type="http://schemas.openxmlformats.org/officeDocument/2006/relationships/image" Target="media/image38.emf"/><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png"/><Relationship Id="rId94" Type="http://schemas.openxmlformats.org/officeDocument/2006/relationships/image" Target="media/image59.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4.emf"/><Relationship Id="rId39" Type="http://schemas.microsoft.com/office/2007/relationships/diagramDrawing" Target="diagrams/drawing1.xml"/><Relationship Id="rId34" Type="http://schemas.openxmlformats.org/officeDocument/2006/relationships/image" Target="media/image16.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6.emf"/><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emf"/><Relationship Id="rId40" Type="http://schemas.openxmlformats.org/officeDocument/2006/relationships/image" Target="media/image17.jpeg"/><Relationship Id="rId45" Type="http://schemas.openxmlformats.org/officeDocument/2006/relationships/image" Target="media/image20.emf"/><Relationship Id="rId66" Type="http://schemas.openxmlformats.org/officeDocument/2006/relationships/diagramData" Target="diagrams/data3.xml"/><Relationship Id="rId87" Type="http://schemas.openxmlformats.org/officeDocument/2006/relationships/image" Target="media/image52.png"/><Relationship Id="rId61" Type="http://schemas.openxmlformats.org/officeDocument/2006/relationships/image" Target="media/image31.emf"/><Relationship Id="rId82" Type="http://schemas.openxmlformats.org/officeDocument/2006/relationships/image" Target="media/image47.png"/><Relationship Id="rId19" Type="http://schemas.openxmlformats.org/officeDocument/2006/relationships/image" Target="media/image5.emf"/><Relationship Id="rId14"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diagramData" Target="diagrams/data1.xml"/><Relationship Id="rId56" Type="http://schemas.openxmlformats.org/officeDocument/2006/relationships/diagramData" Target="diagrams/data2.xml"/><Relationship Id="rId77" Type="http://schemas.openxmlformats.org/officeDocument/2006/relationships/image" Target="media/image42.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37.emf"/><Relationship Id="rId93" Type="http://schemas.openxmlformats.org/officeDocument/2006/relationships/image" Target="media/image58.em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B42296B-0FB1-4C23-B76F-B92883BA3EAC}" type="doc">
      <dgm:prSet loTypeId="urn:microsoft.com/office/officeart/2005/8/layout/process1" loCatId="process" qsTypeId="urn:microsoft.com/office/officeart/2005/8/quickstyle/simple1" qsCatId="simple" csTypeId="urn:microsoft.com/office/officeart/2005/8/colors/accent1_2" csCatId="accent1" phldr="1"/>
      <dgm:spPr/>
    </dgm:pt>
    <dgm:pt modelId="{2755A89B-5F3C-41BA-B592-0296E5E0727B}">
      <dgm:prSet phldrT="[Texto]"/>
      <dgm:spPr/>
      <dgm:t>
        <a:bodyPr/>
        <a:lstStyle/>
        <a:p>
          <a:r>
            <a:rPr lang="es-MX"/>
            <a:t>Medición y levantamiento de Estadísticas del Desempeño Actual</a:t>
          </a:r>
        </a:p>
      </dgm:t>
    </dgm:pt>
    <dgm:pt modelId="{93BF8BAE-83EF-4887-B9A3-A285C7BB1CB8}" type="parTrans" cxnId="{6BB4F08D-5757-41E9-813E-79BAD42DA844}">
      <dgm:prSet/>
      <dgm:spPr/>
      <dgm:t>
        <a:bodyPr/>
        <a:lstStyle/>
        <a:p>
          <a:endParaRPr lang="es-MX"/>
        </a:p>
      </dgm:t>
    </dgm:pt>
    <dgm:pt modelId="{CD5CD279-E647-4BFF-8556-06F4143FB78A}" type="sibTrans" cxnId="{6BB4F08D-5757-41E9-813E-79BAD42DA844}">
      <dgm:prSet/>
      <dgm:spPr/>
      <dgm:t>
        <a:bodyPr/>
        <a:lstStyle/>
        <a:p>
          <a:endParaRPr lang="es-MX"/>
        </a:p>
      </dgm:t>
    </dgm:pt>
    <dgm:pt modelId="{B5893D73-8BC3-4789-8C39-83E6CE9DF008}">
      <dgm:prSet phldrT="[Texto]"/>
      <dgm:spPr/>
      <dgm:t>
        <a:bodyPr/>
        <a:lstStyle/>
        <a:p>
          <a:r>
            <a:rPr lang="es-MX"/>
            <a:t>Identificación de áreas de oportunidad</a:t>
          </a:r>
        </a:p>
      </dgm:t>
    </dgm:pt>
    <dgm:pt modelId="{03F458E3-C5EA-4779-82AA-175C75EE5BBD}" type="parTrans" cxnId="{2F42BD0C-C408-4B2D-A703-59FD2A080275}">
      <dgm:prSet/>
      <dgm:spPr/>
      <dgm:t>
        <a:bodyPr/>
        <a:lstStyle/>
        <a:p>
          <a:endParaRPr lang="es-MX"/>
        </a:p>
      </dgm:t>
    </dgm:pt>
    <dgm:pt modelId="{AD14A147-D747-4196-9AEC-B97055B200E8}" type="sibTrans" cxnId="{2F42BD0C-C408-4B2D-A703-59FD2A080275}">
      <dgm:prSet/>
      <dgm:spPr/>
      <dgm:t>
        <a:bodyPr/>
        <a:lstStyle/>
        <a:p>
          <a:endParaRPr lang="es-MX"/>
        </a:p>
      </dgm:t>
    </dgm:pt>
    <dgm:pt modelId="{B1A8118C-DEC1-4536-9F22-1EBC93EAED04}">
      <dgm:prSet phldrT="[Texto]"/>
      <dgm:spPr/>
      <dgm:t>
        <a:bodyPr/>
        <a:lstStyle/>
        <a:p>
          <a:r>
            <a:rPr lang="es-MX"/>
            <a:t>Definición de acciones y rutas de mejora</a:t>
          </a:r>
        </a:p>
      </dgm:t>
    </dgm:pt>
    <dgm:pt modelId="{E5198019-4749-4B04-BA5C-2CB5EFE97900}" type="parTrans" cxnId="{28A4E3C3-2D09-4383-AA8F-3B1ECAD4BFF0}">
      <dgm:prSet/>
      <dgm:spPr/>
      <dgm:t>
        <a:bodyPr/>
        <a:lstStyle/>
        <a:p>
          <a:endParaRPr lang="es-MX"/>
        </a:p>
      </dgm:t>
    </dgm:pt>
    <dgm:pt modelId="{7E12DF3A-B533-4CCB-B7A3-A95170732076}" type="sibTrans" cxnId="{28A4E3C3-2D09-4383-AA8F-3B1ECAD4BFF0}">
      <dgm:prSet/>
      <dgm:spPr/>
      <dgm:t>
        <a:bodyPr/>
        <a:lstStyle/>
        <a:p>
          <a:endParaRPr lang="es-MX"/>
        </a:p>
      </dgm:t>
    </dgm:pt>
    <dgm:pt modelId="{9C52F0E2-1E5F-4AA0-992D-854959376FF9}">
      <dgm:prSet phldrT="[Texto]"/>
      <dgm:spPr/>
      <dgm:t>
        <a:bodyPr/>
        <a:lstStyle/>
        <a:p>
          <a:r>
            <a:rPr lang="es-MX"/>
            <a:t>Implementación del Plan</a:t>
          </a:r>
        </a:p>
      </dgm:t>
    </dgm:pt>
    <dgm:pt modelId="{010B7C1E-9A07-4558-91FF-9B39BF8F76DA}" type="sibTrans" cxnId="{F80DFAB3-7EBA-4DB3-A587-AF34287C9AC8}">
      <dgm:prSet/>
      <dgm:spPr/>
      <dgm:t>
        <a:bodyPr/>
        <a:lstStyle/>
        <a:p>
          <a:endParaRPr lang="es-MX"/>
        </a:p>
      </dgm:t>
    </dgm:pt>
    <dgm:pt modelId="{0DAF70A1-8CAA-4BA9-A5F6-7C1E25D605FC}" type="parTrans" cxnId="{F80DFAB3-7EBA-4DB3-A587-AF34287C9AC8}">
      <dgm:prSet/>
      <dgm:spPr/>
      <dgm:t>
        <a:bodyPr/>
        <a:lstStyle/>
        <a:p>
          <a:endParaRPr lang="es-MX"/>
        </a:p>
      </dgm:t>
    </dgm:pt>
    <dgm:pt modelId="{4EC42490-A100-4A7D-BAF5-A2923F6FA48F}">
      <dgm:prSet phldrT="[Texto]"/>
      <dgm:spPr/>
      <dgm:t>
        <a:bodyPr/>
        <a:lstStyle/>
        <a:p>
          <a:r>
            <a:rPr lang="es-MX"/>
            <a:t>Gestón del Cambio</a:t>
          </a:r>
        </a:p>
      </dgm:t>
    </dgm:pt>
    <dgm:pt modelId="{8A918500-3102-4CCE-8945-FF0A9E240343}" type="sibTrans" cxnId="{CA7B3D69-41E6-40A4-9E98-27193728AD85}">
      <dgm:prSet/>
      <dgm:spPr/>
      <dgm:t>
        <a:bodyPr/>
        <a:lstStyle/>
        <a:p>
          <a:endParaRPr lang="es-MX"/>
        </a:p>
      </dgm:t>
    </dgm:pt>
    <dgm:pt modelId="{11E8579F-C189-4E0F-85E4-D5B28299B040}" type="parTrans" cxnId="{CA7B3D69-41E6-40A4-9E98-27193728AD85}">
      <dgm:prSet/>
      <dgm:spPr/>
      <dgm:t>
        <a:bodyPr/>
        <a:lstStyle/>
        <a:p>
          <a:endParaRPr lang="es-MX"/>
        </a:p>
      </dgm:t>
    </dgm:pt>
    <dgm:pt modelId="{04346420-DA9C-4249-BD86-1092F3A574CE}" type="pres">
      <dgm:prSet presAssocID="{5B42296B-0FB1-4C23-B76F-B92883BA3EAC}" presName="Name0" presStyleCnt="0">
        <dgm:presLayoutVars>
          <dgm:dir/>
          <dgm:resizeHandles val="exact"/>
        </dgm:presLayoutVars>
      </dgm:prSet>
      <dgm:spPr/>
    </dgm:pt>
    <dgm:pt modelId="{BA28ED35-E063-40D3-90A7-FA611CEE7C0C}" type="pres">
      <dgm:prSet presAssocID="{2755A89B-5F3C-41BA-B592-0296E5E0727B}" presName="node" presStyleLbl="node1" presStyleIdx="0" presStyleCnt="5">
        <dgm:presLayoutVars>
          <dgm:bulletEnabled val="1"/>
        </dgm:presLayoutVars>
      </dgm:prSet>
      <dgm:spPr/>
      <dgm:t>
        <a:bodyPr/>
        <a:lstStyle/>
        <a:p>
          <a:endParaRPr lang="es-MX"/>
        </a:p>
      </dgm:t>
    </dgm:pt>
    <dgm:pt modelId="{BB1DB2D6-E510-4CF3-9FAE-DC9952E6E4D8}" type="pres">
      <dgm:prSet presAssocID="{CD5CD279-E647-4BFF-8556-06F4143FB78A}" presName="sibTrans" presStyleLbl="sibTrans2D1" presStyleIdx="0" presStyleCnt="4"/>
      <dgm:spPr/>
      <dgm:t>
        <a:bodyPr/>
        <a:lstStyle/>
        <a:p>
          <a:endParaRPr lang="es-MX"/>
        </a:p>
      </dgm:t>
    </dgm:pt>
    <dgm:pt modelId="{0C3D872B-CDA6-4549-B550-CCA23028CD19}" type="pres">
      <dgm:prSet presAssocID="{CD5CD279-E647-4BFF-8556-06F4143FB78A}" presName="connectorText" presStyleLbl="sibTrans2D1" presStyleIdx="0" presStyleCnt="4"/>
      <dgm:spPr/>
      <dgm:t>
        <a:bodyPr/>
        <a:lstStyle/>
        <a:p>
          <a:endParaRPr lang="es-MX"/>
        </a:p>
      </dgm:t>
    </dgm:pt>
    <dgm:pt modelId="{5931EDA1-C1C2-46E6-97F4-2E3329D648D0}" type="pres">
      <dgm:prSet presAssocID="{B5893D73-8BC3-4789-8C39-83E6CE9DF008}" presName="node" presStyleLbl="node1" presStyleIdx="1" presStyleCnt="5">
        <dgm:presLayoutVars>
          <dgm:bulletEnabled val="1"/>
        </dgm:presLayoutVars>
      </dgm:prSet>
      <dgm:spPr/>
      <dgm:t>
        <a:bodyPr/>
        <a:lstStyle/>
        <a:p>
          <a:endParaRPr lang="es-MX"/>
        </a:p>
      </dgm:t>
    </dgm:pt>
    <dgm:pt modelId="{254F0278-C807-4C5D-8E2F-9B4127559F21}" type="pres">
      <dgm:prSet presAssocID="{AD14A147-D747-4196-9AEC-B97055B200E8}" presName="sibTrans" presStyleLbl="sibTrans2D1" presStyleIdx="1" presStyleCnt="4"/>
      <dgm:spPr/>
      <dgm:t>
        <a:bodyPr/>
        <a:lstStyle/>
        <a:p>
          <a:endParaRPr lang="es-MX"/>
        </a:p>
      </dgm:t>
    </dgm:pt>
    <dgm:pt modelId="{4891B7E7-A85A-41E0-9657-16B767A1118F}" type="pres">
      <dgm:prSet presAssocID="{AD14A147-D747-4196-9AEC-B97055B200E8}" presName="connectorText" presStyleLbl="sibTrans2D1" presStyleIdx="1" presStyleCnt="4"/>
      <dgm:spPr/>
      <dgm:t>
        <a:bodyPr/>
        <a:lstStyle/>
        <a:p>
          <a:endParaRPr lang="es-MX"/>
        </a:p>
      </dgm:t>
    </dgm:pt>
    <dgm:pt modelId="{4A052A38-32A9-4746-BA34-6179D715ABBF}" type="pres">
      <dgm:prSet presAssocID="{B1A8118C-DEC1-4536-9F22-1EBC93EAED04}" presName="node" presStyleLbl="node1" presStyleIdx="2" presStyleCnt="5">
        <dgm:presLayoutVars>
          <dgm:bulletEnabled val="1"/>
        </dgm:presLayoutVars>
      </dgm:prSet>
      <dgm:spPr/>
      <dgm:t>
        <a:bodyPr/>
        <a:lstStyle/>
        <a:p>
          <a:endParaRPr lang="es-MX"/>
        </a:p>
      </dgm:t>
    </dgm:pt>
    <dgm:pt modelId="{E8DF1DBD-0251-413F-A4E0-C02FD5D6E120}" type="pres">
      <dgm:prSet presAssocID="{7E12DF3A-B533-4CCB-B7A3-A95170732076}" presName="sibTrans" presStyleLbl="sibTrans2D1" presStyleIdx="2" presStyleCnt="4"/>
      <dgm:spPr/>
      <dgm:t>
        <a:bodyPr/>
        <a:lstStyle/>
        <a:p>
          <a:endParaRPr lang="es-MX"/>
        </a:p>
      </dgm:t>
    </dgm:pt>
    <dgm:pt modelId="{808EA2B6-3D98-4255-A5D2-83B645CF7B91}" type="pres">
      <dgm:prSet presAssocID="{7E12DF3A-B533-4CCB-B7A3-A95170732076}" presName="connectorText" presStyleLbl="sibTrans2D1" presStyleIdx="2" presStyleCnt="4"/>
      <dgm:spPr/>
      <dgm:t>
        <a:bodyPr/>
        <a:lstStyle/>
        <a:p>
          <a:endParaRPr lang="es-MX"/>
        </a:p>
      </dgm:t>
    </dgm:pt>
    <dgm:pt modelId="{D2186B3A-C188-4959-89A7-FEB3C547347B}" type="pres">
      <dgm:prSet presAssocID="{4EC42490-A100-4A7D-BAF5-A2923F6FA48F}" presName="node" presStyleLbl="node1" presStyleIdx="3" presStyleCnt="5">
        <dgm:presLayoutVars>
          <dgm:bulletEnabled val="1"/>
        </dgm:presLayoutVars>
      </dgm:prSet>
      <dgm:spPr/>
      <dgm:t>
        <a:bodyPr/>
        <a:lstStyle/>
        <a:p>
          <a:endParaRPr lang="es-MX"/>
        </a:p>
      </dgm:t>
    </dgm:pt>
    <dgm:pt modelId="{9BA2F97D-2002-4C33-94B5-3BC76AB8727F}" type="pres">
      <dgm:prSet presAssocID="{8A918500-3102-4CCE-8945-FF0A9E240343}" presName="sibTrans" presStyleLbl="sibTrans2D1" presStyleIdx="3" presStyleCnt="4"/>
      <dgm:spPr/>
      <dgm:t>
        <a:bodyPr/>
        <a:lstStyle/>
        <a:p>
          <a:endParaRPr lang="es-MX"/>
        </a:p>
      </dgm:t>
    </dgm:pt>
    <dgm:pt modelId="{43D69817-E7F5-4615-A2C8-68C21E80509A}" type="pres">
      <dgm:prSet presAssocID="{8A918500-3102-4CCE-8945-FF0A9E240343}" presName="connectorText" presStyleLbl="sibTrans2D1" presStyleIdx="3" presStyleCnt="4"/>
      <dgm:spPr/>
      <dgm:t>
        <a:bodyPr/>
        <a:lstStyle/>
        <a:p>
          <a:endParaRPr lang="es-MX"/>
        </a:p>
      </dgm:t>
    </dgm:pt>
    <dgm:pt modelId="{7948DEE7-7930-4F53-AE89-7441550DB5CC}" type="pres">
      <dgm:prSet presAssocID="{9C52F0E2-1E5F-4AA0-992D-854959376FF9}" presName="node" presStyleLbl="node1" presStyleIdx="4" presStyleCnt="5">
        <dgm:presLayoutVars>
          <dgm:bulletEnabled val="1"/>
        </dgm:presLayoutVars>
      </dgm:prSet>
      <dgm:spPr/>
      <dgm:t>
        <a:bodyPr/>
        <a:lstStyle/>
        <a:p>
          <a:endParaRPr lang="es-MX"/>
        </a:p>
      </dgm:t>
    </dgm:pt>
  </dgm:ptLst>
  <dgm:cxnLst>
    <dgm:cxn modelId="{CBC67A4A-E777-4D08-B25E-FA1003431B28}" type="presOf" srcId="{CD5CD279-E647-4BFF-8556-06F4143FB78A}" destId="{0C3D872B-CDA6-4549-B550-CCA23028CD19}" srcOrd="1" destOrd="0" presId="urn:microsoft.com/office/officeart/2005/8/layout/process1"/>
    <dgm:cxn modelId="{001E268E-EE72-4BE6-9B80-F65619872C97}" type="presOf" srcId="{CD5CD279-E647-4BFF-8556-06F4143FB78A}" destId="{BB1DB2D6-E510-4CF3-9FAE-DC9952E6E4D8}" srcOrd="0" destOrd="0" presId="urn:microsoft.com/office/officeart/2005/8/layout/process1"/>
    <dgm:cxn modelId="{647EB37F-F475-4D05-94C1-B962A76381E4}" type="presOf" srcId="{2755A89B-5F3C-41BA-B592-0296E5E0727B}" destId="{BA28ED35-E063-40D3-90A7-FA611CEE7C0C}" srcOrd="0" destOrd="0" presId="urn:microsoft.com/office/officeart/2005/8/layout/process1"/>
    <dgm:cxn modelId="{5F6392E4-4A5E-4A5E-8E83-3444D90132A4}" type="presOf" srcId="{AD14A147-D747-4196-9AEC-B97055B200E8}" destId="{254F0278-C807-4C5D-8E2F-9B4127559F21}" srcOrd="0" destOrd="0" presId="urn:microsoft.com/office/officeart/2005/8/layout/process1"/>
    <dgm:cxn modelId="{CA7B3D69-41E6-40A4-9E98-27193728AD85}" srcId="{5B42296B-0FB1-4C23-B76F-B92883BA3EAC}" destId="{4EC42490-A100-4A7D-BAF5-A2923F6FA48F}" srcOrd="3" destOrd="0" parTransId="{11E8579F-C189-4E0F-85E4-D5B28299B040}" sibTransId="{8A918500-3102-4CCE-8945-FF0A9E240343}"/>
    <dgm:cxn modelId="{80A3903C-4C3E-4278-B40E-3B185A7E9031}" type="presOf" srcId="{9C52F0E2-1E5F-4AA0-992D-854959376FF9}" destId="{7948DEE7-7930-4F53-AE89-7441550DB5CC}" srcOrd="0" destOrd="0" presId="urn:microsoft.com/office/officeart/2005/8/layout/process1"/>
    <dgm:cxn modelId="{6BB4F08D-5757-41E9-813E-79BAD42DA844}" srcId="{5B42296B-0FB1-4C23-B76F-B92883BA3EAC}" destId="{2755A89B-5F3C-41BA-B592-0296E5E0727B}" srcOrd="0" destOrd="0" parTransId="{93BF8BAE-83EF-4887-B9A3-A285C7BB1CB8}" sibTransId="{CD5CD279-E647-4BFF-8556-06F4143FB78A}"/>
    <dgm:cxn modelId="{C73F2D63-69DF-45FE-9D05-5F6A46F2399D}" type="presOf" srcId="{4EC42490-A100-4A7D-BAF5-A2923F6FA48F}" destId="{D2186B3A-C188-4959-89A7-FEB3C547347B}" srcOrd="0" destOrd="0" presId="urn:microsoft.com/office/officeart/2005/8/layout/process1"/>
    <dgm:cxn modelId="{6D3F1881-499B-4F34-B4AF-3C4CDE6DE4A0}" type="presOf" srcId="{5B42296B-0FB1-4C23-B76F-B92883BA3EAC}" destId="{04346420-DA9C-4249-BD86-1092F3A574CE}" srcOrd="0" destOrd="0" presId="urn:microsoft.com/office/officeart/2005/8/layout/process1"/>
    <dgm:cxn modelId="{7CD4D32D-88AD-4047-984F-7DDE75099DBE}" type="presOf" srcId="{8A918500-3102-4CCE-8945-FF0A9E240343}" destId="{9BA2F97D-2002-4C33-94B5-3BC76AB8727F}" srcOrd="0" destOrd="0" presId="urn:microsoft.com/office/officeart/2005/8/layout/process1"/>
    <dgm:cxn modelId="{814E9745-B0CA-40A7-8DF8-43269785595D}" type="presOf" srcId="{B5893D73-8BC3-4789-8C39-83E6CE9DF008}" destId="{5931EDA1-C1C2-46E6-97F4-2E3329D648D0}" srcOrd="0" destOrd="0" presId="urn:microsoft.com/office/officeart/2005/8/layout/process1"/>
    <dgm:cxn modelId="{2F42BD0C-C408-4B2D-A703-59FD2A080275}" srcId="{5B42296B-0FB1-4C23-B76F-B92883BA3EAC}" destId="{B5893D73-8BC3-4789-8C39-83E6CE9DF008}" srcOrd="1" destOrd="0" parTransId="{03F458E3-C5EA-4779-82AA-175C75EE5BBD}" sibTransId="{AD14A147-D747-4196-9AEC-B97055B200E8}"/>
    <dgm:cxn modelId="{28A4E3C3-2D09-4383-AA8F-3B1ECAD4BFF0}" srcId="{5B42296B-0FB1-4C23-B76F-B92883BA3EAC}" destId="{B1A8118C-DEC1-4536-9F22-1EBC93EAED04}" srcOrd="2" destOrd="0" parTransId="{E5198019-4749-4B04-BA5C-2CB5EFE97900}" sibTransId="{7E12DF3A-B533-4CCB-B7A3-A95170732076}"/>
    <dgm:cxn modelId="{F80DFAB3-7EBA-4DB3-A587-AF34287C9AC8}" srcId="{5B42296B-0FB1-4C23-B76F-B92883BA3EAC}" destId="{9C52F0E2-1E5F-4AA0-992D-854959376FF9}" srcOrd="4" destOrd="0" parTransId="{0DAF70A1-8CAA-4BA9-A5F6-7C1E25D605FC}" sibTransId="{010B7C1E-9A07-4558-91FF-9B39BF8F76DA}"/>
    <dgm:cxn modelId="{85672817-C932-4D39-BA3B-613EE9A1B261}" type="presOf" srcId="{7E12DF3A-B533-4CCB-B7A3-A95170732076}" destId="{E8DF1DBD-0251-413F-A4E0-C02FD5D6E120}" srcOrd="0" destOrd="0" presId="urn:microsoft.com/office/officeart/2005/8/layout/process1"/>
    <dgm:cxn modelId="{698A1275-5F26-47B6-97EA-074188168C45}" type="presOf" srcId="{8A918500-3102-4CCE-8945-FF0A9E240343}" destId="{43D69817-E7F5-4615-A2C8-68C21E80509A}" srcOrd="1" destOrd="0" presId="urn:microsoft.com/office/officeart/2005/8/layout/process1"/>
    <dgm:cxn modelId="{C172459D-D303-4C29-AAEE-C4C58FB613AB}" type="presOf" srcId="{B1A8118C-DEC1-4536-9F22-1EBC93EAED04}" destId="{4A052A38-32A9-4746-BA34-6179D715ABBF}" srcOrd="0" destOrd="0" presId="urn:microsoft.com/office/officeart/2005/8/layout/process1"/>
    <dgm:cxn modelId="{AB1013F8-2007-4751-96DA-2BA089250BBC}" type="presOf" srcId="{AD14A147-D747-4196-9AEC-B97055B200E8}" destId="{4891B7E7-A85A-41E0-9657-16B767A1118F}" srcOrd="1" destOrd="0" presId="urn:microsoft.com/office/officeart/2005/8/layout/process1"/>
    <dgm:cxn modelId="{0CEDEB5A-CA5B-46B1-91A8-D41DF58E5EEE}" type="presOf" srcId="{7E12DF3A-B533-4CCB-B7A3-A95170732076}" destId="{808EA2B6-3D98-4255-A5D2-83B645CF7B91}" srcOrd="1" destOrd="0" presId="urn:microsoft.com/office/officeart/2005/8/layout/process1"/>
    <dgm:cxn modelId="{CEBD0B47-C951-4083-AF77-773BB40DF68D}" type="presParOf" srcId="{04346420-DA9C-4249-BD86-1092F3A574CE}" destId="{BA28ED35-E063-40D3-90A7-FA611CEE7C0C}" srcOrd="0" destOrd="0" presId="urn:microsoft.com/office/officeart/2005/8/layout/process1"/>
    <dgm:cxn modelId="{8325D5E3-7DC1-4100-8658-BD5A12F52D21}" type="presParOf" srcId="{04346420-DA9C-4249-BD86-1092F3A574CE}" destId="{BB1DB2D6-E510-4CF3-9FAE-DC9952E6E4D8}" srcOrd="1" destOrd="0" presId="urn:microsoft.com/office/officeart/2005/8/layout/process1"/>
    <dgm:cxn modelId="{A9950B3C-4311-4630-B898-2DCB24D5B4DB}" type="presParOf" srcId="{BB1DB2D6-E510-4CF3-9FAE-DC9952E6E4D8}" destId="{0C3D872B-CDA6-4549-B550-CCA23028CD19}" srcOrd="0" destOrd="0" presId="urn:microsoft.com/office/officeart/2005/8/layout/process1"/>
    <dgm:cxn modelId="{298211D6-9AFB-4E67-BEDF-C9E4B81F18A4}" type="presParOf" srcId="{04346420-DA9C-4249-BD86-1092F3A574CE}" destId="{5931EDA1-C1C2-46E6-97F4-2E3329D648D0}" srcOrd="2" destOrd="0" presId="urn:microsoft.com/office/officeart/2005/8/layout/process1"/>
    <dgm:cxn modelId="{AEA474B3-AC77-4FF4-AE48-3CEA2F2A541E}" type="presParOf" srcId="{04346420-DA9C-4249-BD86-1092F3A574CE}" destId="{254F0278-C807-4C5D-8E2F-9B4127559F21}" srcOrd="3" destOrd="0" presId="urn:microsoft.com/office/officeart/2005/8/layout/process1"/>
    <dgm:cxn modelId="{C8A84FFF-ECA6-4884-80A2-39C27A03B5C0}" type="presParOf" srcId="{254F0278-C807-4C5D-8E2F-9B4127559F21}" destId="{4891B7E7-A85A-41E0-9657-16B767A1118F}" srcOrd="0" destOrd="0" presId="urn:microsoft.com/office/officeart/2005/8/layout/process1"/>
    <dgm:cxn modelId="{1B6A688C-1C50-4505-9626-9E7795DC5297}" type="presParOf" srcId="{04346420-DA9C-4249-BD86-1092F3A574CE}" destId="{4A052A38-32A9-4746-BA34-6179D715ABBF}" srcOrd="4" destOrd="0" presId="urn:microsoft.com/office/officeart/2005/8/layout/process1"/>
    <dgm:cxn modelId="{35DBB163-949F-4ADD-9937-83973E06693A}" type="presParOf" srcId="{04346420-DA9C-4249-BD86-1092F3A574CE}" destId="{E8DF1DBD-0251-413F-A4E0-C02FD5D6E120}" srcOrd="5" destOrd="0" presId="urn:microsoft.com/office/officeart/2005/8/layout/process1"/>
    <dgm:cxn modelId="{297D06BF-8C2C-415D-903E-B526E197FBC6}" type="presParOf" srcId="{E8DF1DBD-0251-413F-A4E0-C02FD5D6E120}" destId="{808EA2B6-3D98-4255-A5D2-83B645CF7B91}" srcOrd="0" destOrd="0" presId="urn:microsoft.com/office/officeart/2005/8/layout/process1"/>
    <dgm:cxn modelId="{837052CE-58AE-434E-8212-759DD4A116E0}" type="presParOf" srcId="{04346420-DA9C-4249-BD86-1092F3A574CE}" destId="{D2186B3A-C188-4959-89A7-FEB3C547347B}" srcOrd="6" destOrd="0" presId="urn:microsoft.com/office/officeart/2005/8/layout/process1"/>
    <dgm:cxn modelId="{F0098A6A-DBBE-410F-A005-0E993FBA1819}" type="presParOf" srcId="{04346420-DA9C-4249-BD86-1092F3A574CE}" destId="{9BA2F97D-2002-4C33-94B5-3BC76AB8727F}" srcOrd="7" destOrd="0" presId="urn:microsoft.com/office/officeart/2005/8/layout/process1"/>
    <dgm:cxn modelId="{E44A6EB1-8972-43DE-A832-014FA9197DDF}" type="presParOf" srcId="{9BA2F97D-2002-4C33-94B5-3BC76AB8727F}" destId="{43D69817-E7F5-4615-A2C8-68C21E80509A}" srcOrd="0" destOrd="0" presId="urn:microsoft.com/office/officeart/2005/8/layout/process1"/>
    <dgm:cxn modelId="{576E56B6-B4E9-452B-A701-F519FD8EA7D8}" type="presParOf" srcId="{04346420-DA9C-4249-BD86-1092F3A574CE}" destId="{7948DEE7-7930-4F53-AE89-7441550DB5CC}" srcOrd="8" destOrd="0" presId="urn:microsoft.com/office/officeart/2005/8/layout/process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B42296B-0FB1-4C23-B76F-B92883BA3EAC}" type="doc">
      <dgm:prSet loTypeId="urn:microsoft.com/office/officeart/2005/8/layout/process1" loCatId="process" qsTypeId="urn:microsoft.com/office/officeart/2005/8/quickstyle/simple1" qsCatId="simple" csTypeId="urn:microsoft.com/office/officeart/2005/8/colors/accent1_2" csCatId="accent1" phldr="1"/>
      <dgm:spPr/>
    </dgm:pt>
    <dgm:pt modelId="{2755A89B-5F3C-41BA-B592-0296E5E0727B}">
      <dgm:prSet phldrT="[Texto]"/>
      <dgm:spPr/>
      <dgm:t>
        <a:bodyPr/>
        <a:lstStyle/>
        <a:p>
          <a:r>
            <a:rPr lang="es-MX"/>
            <a:t>Medición y levantamiento de Estadísticas del Desempeño Actual</a:t>
          </a:r>
        </a:p>
      </dgm:t>
    </dgm:pt>
    <dgm:pt modelId="{93BF8BAE-83EF-4887-B9A3-A285C7BB1CB8}" type="parTrans" cxnId="{6BB4F08D-5757-41E9-813E-79BAD42DA844}">
      <dgm:prSet/>
      <dgm:spPr/>
      <dgm:t>
        <a:bodyPr/>
        <a:lstStyle/>
        <a:p>
          <a:endParaRPr lang="es-MX"/>
        </a:p>
      </dgm:t>
    </dgm:pt>
    <dgm:pt modelId="{CD5CD279-E647-4BFF-8556-06F4143FB78A}" type="sibTrans" cxnId="{6BB4F08D-5757-41E9-813E-79BAD42DA844}">
      <dgm:prSet/>
      <dgm:spPr/>
      <dgm:t>
        <a:bodyPr/>
        <a:lstStyle/>
        <a:p>
          <a:endParaRPr lang="es-MX"/>
        </a:p>
      </dgm:t>
    </dgm:pt>
    <dgm:pt modelId="{B5893D73-8BC3-4789-8C39-83E6CE9DF008}">
      <dgm:prSet phldrT="[Texto]"/>
      <dgm:spPr/>
      <dgm:t>
        <a:bodyPr/>
        <a:lstStyle/>
        <a:p>
          <a:r>
            <a:rPr lang="es-MX"/>
            <a:t>Identificación de áreas de oportunidad</a:t>
          </a:r>
        </a:p>
      </dgm:t>
    </dgm:pt>
    <dgm:pt modelId="{03F458E3-C5EA-4779-82AA-175C75EE5BBD}" type="parTrans" cxnId="{2F42BD0C-C408-4B2D-A703-59FD2A080275}">
      <dgm:prSet/>
      <dgm:spPr/>
      <dgm:t>
        <a:bodyPr/>
        <a:lstStyle/>
        <a:p>
          <a:endParaRPr lang="es-MX"/>
        </a:p>
      </dgm:t>
    </dgm:pt>
    <dgm:pt modelId="{AD14A147-D747-4196-9AEC-B97055B200E8}" type="sibTrans" cxnId="{2F42BD0C-C408-4B2D-A703-59FD2A080275}">
      <dgm:prSet/>
      <dgm:spPr/>
      <dgm:t>
        <a:bodyPr/>
        <a:lstStyle/>
        <a:p>
          <a:endParaRPr lang="es-MX"/>
        </a:p>
      </dgm:t>
    </dgm:pt>
    <dgm:pt modelId="{B1A8118C-DEC1-4536-9F22-1EBC93EAED04}">
      <dgm:prSet phldrT="[Texto]"/>
      <dgm:spPr/>
      <dgm:t>
        <a:bodyPr/>
        <a:lstStyle/>
        <a:p>
          <a:r>
            <a:rPr lang="es-MX"/>
            <a:t>Definición de acciones y rutas de mejora</a:t>
          </a:r>
        </a:p>
      </dgm:t>
    </dgm:pt>
    <dgm:pt modelId="{E5198019-4749-4B04-BA5C-2CB5EFE97900}" type="parTrans" cxnId="{28A4E3C3-2D09-4383-AA8F-3B1ECAD4BFF0}">
      <dgm:prSet/>
      <dgm:spPr/>
      <dgm:t>
        <a:bodyPr/>
        <a:lstStyle/>
        <a:p>
          <a:endParaRPr lang="es-MX"/>
        </a:p>
      </dgm:t>
    </dgm:pt>
    <dgm:pt modelId="{7E12DF3A-B533-4CCB-B7A3-A95170732076}" type="sibTrans" cxnId="{28A4E3C3-2D09-4383-AA8F-3B1ECAD4BFF0}">
      <dgm:prSet/>
      <dgm:spPr/>
      <dgm:t>
        <a:bodyPr/>
        <a:lstStyle/>
        <a:p>
          <a:endParaRPr lang="es-MX"/>
        </a:p>
      </dgm:t>
    </dgm:pt>
    <dgm:pt modelId="{9C52F0E2-1E5F-4AA0-992D-854959376FF9}">
      <dgm:prSet phldrT="[Texto]"/>
      <dgm:spPr/>
      <dgm:t>
        <a:bodyPr/>
        <a:lstStyle/>
        <a:p>
          <a:r>
            <a:rPr lang="es-MX"/>
            <a:t>Implementación del Plan</a:t>
          </a:r>
        </a:p>
      </dgm:t>
    </dgm:pt>
    <dgm:pt modelId="{010B7C1E-9A07-4558-91FF-9B39BF8F76DA}" type="sibTrans" cxnId="{F80DFAB3-7EBA-4DB3-A587-AF34287C9AC8}">
      <dgm:prSet/>
      <dgm:spPr/>
      <dgm:t>
        <a:bodyPr/>
        <a:lstStyle/>
        <a:p>
          <a:endParaRPr lang="es-MX"/>
        </a:p>
      </dgm:t>
    </dgm:pt>
    <dgm:pt modelId="{0DAF70A1-8CAA-4BA9-A5F6-7C1E25D605FC}" type="parTrans" cxnId="{F80DFAB3-7EBA-4DB3-A587-AF34287C9AC8}">
      <dgm:prSet/>
      <dgm:spPr/>
      <dgm:t>
        <a:bodyPr/>
        <a:lstStyle/>
        <a:p>
          <a:endParaRPr lang="es-MX"/>
        </a:p>
      </dgm:t>
    </dgm:pt>
    <dgm:pt modelId="{4EC42490-A100-4A7D-BAF5-A2923F6FA48F}">
      <dgm:prSet phldrT="[Texto]"/>
      <dgm:spPr/>
      <dgm:t>
        <a:bodyPr/>
        <a:lstStyle/>
        <a:p>
          <a:r>
            <a:rPr lang="es-MX"/>
            <a:t>Gestón del Cambio</a:t>
          </a:r>
        </a:p>
      </dgm:t>
    </dgm:pt>
    <dgm:pt modelId="{8A918500-3102-4CCE-8945-FF0A9E240343}" type="sibTrans" cxnId="{CA7B3D69-41E6-40A4-9E98-27193728AD85}">
      <dgm:prSet/>
      <dgm:spPr/>
      <dgm:t>
        <a:bodyPr/>
        <a:lstStyle/>
        <a:p>
          <a:endParaRPr lang="es-MX"/>
        </a:p>
      </dgm:t>
    </dgm:pt>
    <dgm:pt modelId="{11E8579F-C189-4E0F-85E4-D5B28299B040}" type="parTrans" cxnId="{CA7B3D69-41E6-40A4-9E98-27193728AD85}">
      <dgm:prSet/>
      <dgm:spPr/>
      <dgm:t>
        <a:bodyPr/>
        <a:lstStyle/>
        <a:p>
          <a:endParaRPr lang="es-MX"/>
        </a:p>
      </dgm:t>
    </dgm:pt>
    <dgm:pt modelId="{04346420-DA9C-4249-BD86-1092F3A574CE}" type="pres">
      <dgm:prSet presAssocID="{5B42296B-0FB1-4C23-B76F-B92883BA3EAC}" presName="Name0" presStyleCnt="0">
        <dgm:presLayoutVars>
          <dgm:dir/>
          <dgm:resizeHandles val="exact"/>
        </dgm:presLayoutVars>
      </dgm:prSet>
      <dgm:spPr/>
    </dgm:pt>
    <dgm:pt modelId="{BA28ED35-E063-40D3-90A7-FA611CEE7C0C}" type="pres">
      <dgm:prSet presAssocID="{2755A89B-5F3C-41BA-B592-0296E5E0727B}" presName="node" presStyleLbl="node1" presStyleIdx="0" presStyleCnt="5">
        <dgm:presLayoutVars>
          <dgm:bulletEnabled val="1"/>
        </dgm:presLayoutVars>
      </dgm:prSet>
      <dgm:spPr/>
      <dgm:t>
        <a:bodyPr/>
        <a:lstStyle/>
        <a:p>
          <a:endParaRPr lang="es-MX"/>
        </a:p>
      </dgm:t>
    </dgm:pt>
    <dgm:pt modelId="{BB1DB2D6-E510-4CF3-9FAE-DC9952E6E4D8}" type="pres">
      <dgm:prSet presAssocID="{CD5CD279-E647-4BFF-8556-06F4143FB78A}" presName="sibTrans" presStyleLbl="sibTrans2D1" presStyleIdx="0" presStyleCnt="4"/>
      <dgm:spPr/>
      <dgm:t>
        <a:bodyPr/>
        <a:lstStyle/>
        <a:p>
          <a:endParaRPr lang="es-MX"/>
        </a:p>
      </dgm:t>
    </dgm:pt>
    <dgm:pt modelId="{0C3D872B-CDA6-4549-B550-CCA23028CD19}" type="pres">
      <dgm:prSet presAssocID="{CD5CD279-E647-4BFF-8556-06F4143FB78A}" presName="connectorText" presStyleLbl="sibTrans2D1" presStyleIdx="0" presStyleCnt="4"/>
      <dgm:spPr/>
      <dgm:t>
        <a:bodyPr/>
        <a:lstStyle/>
        <a:p>
          <a:endParaRPr lang="es-MX"/>
        </a:p>
      </dgm:t>
    </dgm:pt>
    <dgm:pt modelId="{5931EDA1-C1C2-46E6-97F4-2E3329D648D0}" type="pres">
      <dgm:prSet presAssocID="{B5893D73-8BC3-4789-8C39-83E6CE9DF008}" presName="node" presStyleLbl="node1" presStyleIdx="1" presStyleCnt="5">
        <dgm:presLayoutVars>
          <dgm:bulletEnabled val="1"/>
        </dgm:presLayoutVars>
      </dgm:prSet>
      <dgm:spPr/>
      <dgm:t>
        <a:bodyPr/>
        <a:lstStyle/>
        <a:p>
          <a:endParaRPr lang="es-MX"/>
        </a:p>
      </dgm:t>
    </dgm:pt>
    <dgm:pt modelId="{254F0278-C807-4C5D-8E2F-9B4127559F21}" type="pres">
      <dgm:prSet presAssocID="{AD14A147-D747-4196-9AEC-B97055B200E8}" presName="sibTrans" presStyleLbl="sibTrans2D1" presStyleIdx="1" presStyleCnt="4"/>
      <dgm:spPr/>
      <dgm:t>
        <a:bodyPr/>
        <a:lstStyle/>
        <a:p>
          <a:endParaRPr lang="es-MX"/>
        </a:p>
      </dgm:t>
    </dgm:pt>
    <dgm:pt modelId="{4891B7E7-A85A-41E0-9657-16B767A1118F}" type="pres">
      <dgm:prSet presAssocID="{AD14A147-D747-4196-9AEC-B97055B200E8}" presName="connectorText" presStyleLbl="sibTrans2D1" presStyleIdx="1" presStyleCnt="4"/>
      <dgm:spPr/>
      <dgm:t>
        <a:bodyPr/>
        <a:lstStyle/>
        <a:p>
          <a:endParaRPr lang="es-MX"/>
        </a:p>
      </dgm:t>
    </dgm:pt>
    <dgm:pt modelId="{4A052A38-32A9-4746-BA34-6179D715ABBF}" type="pres">
      <dgm:prSet presAssocID="{B1A8118C-DEC1-4536-9F22-1EBC93EAED04}" presName="node" presStyleLbl="node1" presStyleIdx="2" presStyleCnt="5">
        <dgm:presLayoutVars>
          <dgm:bulletEnabled val="1"/>
        </dgm:presLayoutVars>
      </dgm:prSet>
      <dgm:spPr/>
      <dgm:t>
        <a:bodyPr/>
        <a:lstStyle/>
        <a:p>
          <a:endParaRPr lang="es-MX"/>
        </a:p>
      </dgm:t>
    </dgm:pt>
    <dgm:pt modelId="{E8DF1DBD-0251-413F-A4E0-C02FD5D6E120}" type="pres">
      <dgm:prSet presAssocID="{7E12DF3A-B533-4CCB-B7A3-A95170732076}" presName="sibTrans" presStyleLbl="sibTrans2D1" presStyleIdx="2" presStyleCnt="4"/>
      <dgm:spPr/>
      <dgm:t>
        <a:bodyPr/>
        <a:lstStyle/>
        <a:p>
          <a:endParaRPr lang="es-MX"/>
        </a:p>
      </dgm:t>
    </dgm:pt>
    <dgm:pt modelId="{808EA2B6-3D98-4255-A5D2-83B645CF7B91}" type="pres">
      <dgm:prSet presAssocID="{7E12DF3A-B533-4CCB-B7A3-A95170732076}" presName="connectorText" presStyleLbl="sibTrans2D1" presStyleIdx="2" presStyleCnt="4"/>
      <dgm:spPr/>
      <dgm:t>
        <a:bodyPr/>
        <a:lstStyle/>
        <a:p>
          <a:endParaRPr lang="es-MX"/>
        </a:p>
      </dgm:t>
    </dgm:pt>
    <dgm:pt modelId="{D2186B3A-C188-4959-89A7-FEB3C547347B}" type="pres">
      <dgm:prSet presAssocID="{4EC42490-A100-4A7D-BAF5-A2923F6FA48F}" presName="node" presStyleLbl="node1" presStyleIdx="3" presStyleCnt="5">
        <dgm:presLayoutVars>
          <dgm:bulletEnabled val="1"/>
        </dgm:presLayoutVars>
      </dgm:prSet>
      <dgm:spPr/>
      <dgm:t>
        <a:bodyPr/>
        <a:lstStyle/>
        <a:p>
          <a:endParaRPr lang="es-MX"/>
        </a:p>
      </dgm:t>
    </dgm:pt>
    <dgm:pt modelId="{9BA2F97D-2002-4C33-94B5-3BC76AB8727F}" type="pres">
      <dgm:prSet presAssocID="{8A918500-3102-4CCE-8945-FF0A9E240343}" presName="sibTrans" presStyleLbl="sibTrans2D1" presStyleIdx="3" presStyleCnt="4"/>
      <dgm:spPr/>
      <dgm:t>
        <a:bodyPr/>
        <a:lstStyle/>
        <a:p>
          <a:endParaRPr lang="es-MX"/>
        </a:p>
      </dgm:t>
    </dgm:pt>
    <dgm:pt modelId="{43D69817-E7F5-4615-A2C8-68C21E80509A}" type="pres">
      <dgm:prSet presAssocID="{8A918500-3102-4CCE-8945-FF0A9E240343}" presName="connectorText" presStyleLbl="sibTrans2D1" presStyleIdx="3" presStyleCnt="4"/>
      <dgm:spPr/>
      <dgm:t>
        <a:bodyPr/>
        <a:lstStyle/>
        <a:p>
          <a:endParaRPr lang="es-MX"/>
        </a:p>
      </dgm:t>
    </dgm:pt>
    <dgm:pt modelId="{7948DEE7-7930-4F53-AE89-7441550DB5CC}" type="pres">
      <dgm:prSet presAssocID="{9C52F0E2-1E5F-4AA0-992D-854959376FF9}" presName="node" presStyleLbl="node1" presStyleIdx="4" presStyleCnt="5">
        <dgm:presLayoutVars>
          <dgm:bulletEnabled val="1"/>
        </dgm:presLayoutVars>
      </dgm:prSet>
      <dgm:spPr/>
      <dgm:t>
        <a:bodyPr/>
        <a:lstStyle/>
        <a:p>
          <a:endParaRPr lang="es-MX"/>
        </a:p>
      </dgm:t>
    </dgm:pt>
  </dgm:ptLst>
  <dgm:cxnLst>
    <dgm:cxn modelId="{C30131EC-AB8B-468F-9D1E-A5772C2D2800}" type="presOf" srcId="{AD14A147-D747-4196-9AEC-B97055B200E8}" destId="{4891B7E7-A85A-41E0-9657-16B767A1118F}" srcOrd="1" destOrd="0" presId="urn:microsoft.com/office/officeart/2005/8/layout/process1"/>
    <dgm:cxn modelId="{8B494463-E9ED-4ADC-8759-61019BF36CA3}" type="presOf" srcId="{2755A89B-5F3C-41BA-B592-0296E5E0727B}" destId="{BA28ED35-E063-40D3-90A7-FA611CEE7C0C}" srcOrd="0" destOrd="0" presId="urn:microsoft.com/office/officeart/2005/8/layout/process1"/>
    <dgm:cxn modelId="{7ABF39CD-E3C1-4D2B-A763-2D642146B514}" type="presOf" srcId="{8A918500-3102-4CCE-8945-FF0A9E240343}" destId="{43D69817-E7F5-4615-A2C8-68C21E80509A}" srcOrd="1" destOrd="0" presId="urn:microsoft.com/office/officeart/2005/8/layout/process1"/>
    <dgm:cxn modelId="{D56AD8D8-2411-423B-966D-13131BF3D0F4}" type="presOf" srcId="{AD14A147-D747-4196-9AEC-B97055B200E8}" destId="{254F0278-C807-4C5D-8E2F-9B4127559F21}" srcOrd="0" destOrd="0" presId="urn:microsoft.com/office/officeart/2005/8/layout/process1"/>
    <dgm:cxn modelId="{E53CA759-FCD3-4AB9-A99E-33FCADF59286}" type="presOf" srcId="{8A918500-3102-4CCE-8945-FF0A9E240343}" destId="{9BA2F97D-2002-4C33-94B5-3BC76AB8727F}" srcOrd="0" destOrd="0" presId="urn:microsoft.com/office/officeart/2005/8/layout/process1"/>
    <dgm:cxn modelId="{36209C76-CE14-4128-A907-D4ACE5144A40}" type="presOf" srcId="{CD5CD279-E647-4BFF-8556-06F4143FB78A}" destId="{0C3D872B-CDA6-4549-B550-CCA23028CD19}" srcOrd="1" destOrd="0" presId="urn:microsoft.com/office/officeart/2005/8/layout/process1"/>
    <dgm:cxn modelId="{B88ED2E0-3BB1-4107-B687-F50C0D40A06F}" type="presOf" srcId="{7E12DF3A-B533-4CCB-B7A3-A95170732076}" destId="{808EA2B6-3D98-4255-A5D2-83B645CF7B91}" srcOrd="1" destOrd="0" presId="urn:microsoft.com/office/officeart/2005/8/layout/process1"/>
    <dgm:cxn modelId="{CA7B3D69-41E6-40A4-9E98-27193728AD85}" srcId="{5B42296B-0FB1-4C23-B76F-B92883BA3EAC}" destId="{4EC42490-A100-4A7D-BAF5-A2923F6FA48F}" srcOrd="3" destOrd="0" parTransId="{11E8579F-C189-4E0F-85E4-D5B28299B040}" sibTransId="{8A918500-3102-4CCE-8945-FF0A9E240343}"/>
    <dgm:cxn modelId="{14A2C563-4450-41C5-991C-AE20B1CA11C6}" type="presOf" srcId="{9C52F0E2-1E5F-4AA0-992D-854959376FF9}" destId="{7948DEE7-7930-4F53-AE89-7441550DB5CC}" srcOrd="0" destOrd="0" presId="urn:microsoft.com/office/officeart/2005/8/layout/process1"/>
    <dgm:cxn modelId="{5D46AFC2-B5AE-4AF2-BB98-62954C0F80D4}" type="presOf" srcId="{7E12DF3A-B533-4CCB-B7A3-A95170732076}" destId="{E8DF1DBD-0251-413F-A4E0-C02FD5D6E120}" srcOrd="0" destOrd="0" presId="urn:microsoft.com/office/officeart/2005/8/layout/process1"/>
    <dgm:cxn modelId="{F80DFAB3-7EBA-4DB3-A587-AF34287C9AC8}" srcId="{5B42296B-0FB1-4C23-B76F-B92883BA3EAC}" destId="{9C52F0E2-1E5F-4AA0-992D-854959376FF9}" srcOrd="4" destOrd="0" parTransId="{0DAF70A1-8CAA-4BA9-A5F6-7C1E25D605FC}" sibTransId="{010B7C1E-9A07-4558-91FF-9B39BF8F76DA}"/>
    <dgm:cxn modelId="{F22DA32E-F545-4E2F-9A83-7E85ED69E689}" type="presOf" srcId="{4EC42490-A100-4A7D-BAF5-A2923F6FA48F}" destId="{D2186B3A-C188-4959-89A7-FEB3C547347B}" srcOrd="0" destOrd="0" presId="urn:microsoft.com/office/officeart/2005/8/layout/process1"/>
    <dgm:cxn modelId="{D4394456-9F85-4DA7-B9CB-BC7CE99891B4}" type="presOf" srcId="{CD5CD279-E647-4BFF-8556-06F4143FB78A}" destId="{BB1DB2D6-E510-4CF3-9FAE-DC9952E6E4D8}" srcOrd="0" destOrd="0" presId="urn:microsoft.com/office/officeart/2005/8/layout/process1"/>
    <dgm:cxn modelId="{82E78570-4612-459D-8DEC-6E0C8A089104}" type="presOf" srcId="{B5893D73-8BC3-4789-8C39-83E6CE9DF008}" destId="{5931EDA1-C1C2-46E6-97F4-2E3329D648D0}" srcOrd="0" destOrd="0" presId="urn:microsoft.com/office/officeart/2005/8/layout/process1"/>
    <dgm:cxn modelId="{28A4E3C3-2D09-4383-AA8F-3B1ECAD4BFF0}" srcId="{5B42296B-0FB1-4C23-B76F-B92883BA3EAC}" destId="{B1A8118C-DEC1-4536-9F22-1EBC93EAED04}" srcOrd="2" destOrd="0" parTransId="{E5198019-4749-4B04-BA5C-2CB5EFE97900}" sibTransId="{7E12DF3A-B533-4CCB-B7A3-A95170732076}"/>
    <dgm:cxn modelId="{22219226-7B91-4DD0-AE30-45DA7AF92632}" type="presOf" srcId="{5B42296B-0FB1-4C23-B76F-B92883BA3EAC}" destId="{04346420-DA9C-4249-BD86-1092F3A574CE}" srcOrd="0" destOrd="0" presId="urn:microsoft.com/office/officeart/2005/8/layout/process1"/>
    <dgm:cxn modelId="{2F42BD0C-C408-4B2D-A703-59FD2A080275}" srcId="{5B42296B-0FB1-4C23-B76F-B92883BA3EAC}" destId="{B5893D73-8BC3-4789-8C39-83E6CE9DF008}" srcOrd="1" destOrd="0" parTransId="{03F458E3-C5EA-4779-82AA-175C75EE5BBD}" sibTransId="{AD14A147-D747-4196-9AEC-B97055B200E8}"/>
    <dgm:cxn modelId="{5FD76D9E-EAC5-420A-952B-7B8B81F141C1}" type="presOf" srcId="{B1A8118C-DEC1-4536-9F22-1EBC93EAED04}" destId="{4A052A38-32A9-4746-BA34-6179D715ABBF}" srcOrd="0" destOrd="0" presId="urn:microsoft.com/office/officeart/2005/8/layout/process1"/>
    <dgm:cxn modelId="{6BB4F08D-5757-41E9-813E-79BAD42DA844}" srcId="{5B42296B-0FB1-4C23-B76F-B92883BA3EAC}" destId="{2755A89B-5F3C-41BA-B592-0296E5E0727B}" srcOrd="0" destOrd="0" parTransId="{93BF8BAE-83EF-4887-B9A3-A285C7BB1CB8}" sibTransId="{CD5CD279-E647-4BFF-8556-06F4143FB78A}"/>
    <dgm:cxn modelId="{B8E96B69-9A50-46E3-9C6D-A072C7D27A42}" type="presParOf" srcId="{04346420-DA9C-4249-BD86-1092F3A574CE}" destId="{BA28ED35-E063-40D3-90A7-FA611CEE7C0C}" srcOrd="0" destOrd="0" presId="urn:microsoft.com/office/officeart/2005/8/layout/process1"/>
    <dgm:cxn modelId="{66AC0F19-0DAD-476B-9D63-406C325FAC84}" type="presParOf" srcId="{04346420-DA9C-4249-BD86-1092F3A574CE}" destId="{BB1DB2D6-E510-4CF3-9FAE-DC9952E6E4D8}" srcOrd="1" destOrd="0" presId="urn:microsoft.com/office/officeart/2005/8/layout/process1"/>
    <dgm:cxn modelId="{342BBB76-F556-4DAE-83E4-F313EC6A0688}" type="presParOf" srcId="{BB1DB2D6-E510-4CF3-9FAE-DC9952E6E4D8}" destId="{0C3D872B-CDA6-4549-B550-CCA23028CD19}" srcOrd="0" destOrd="0" presId="urn:microsoft.com/office/officeart/2005/8/layout/process1"/>
    <dgm:cxn modelId="{5CD63FF8-3237-49C9-88D4-B729363A5FFC}" type="presParOf" srcId="{04346420-DA9C-4249-BD86-1092F3A574CE}" destId="{5931EDA1-C1C2-46E6-97F4-2E3329D648D0}" srcOrd="2" destOrd="0" presId="urn:microsoft.com/office/officeart/2005/8/layout/process1"/>
    <dgm:cxn modelId="{84899060-1DD9-4DE4-8AEC-39522D7F48AC}" type="presParOf" srcId="{04346420-DA9C-4249-BD86-1092F3A574CE}" destId="{254F0278-C807-4C5D-8E2F-9B4127559F21}" srcOrd="3" destOrd="0" presId="urn:microsoft.com/office/officeart/2005/8/layout/process1"/>
    <dgm:cxn modelId="{1042422B-49ED-4615-92CD-2DDDDDE2A6DF}" type="presParOf" srcId="{254F0278-C807-4C5D-8E2F-9B4127559F21}" destId="{4891B7E7-A85A-41E0-9657-16B767A1118F}" srcOrd="0" destOrd="0" presId="urn:microsoft.com/office/officeart/2005/8/layout/process1"/>
    <dgm:cxn modelId="{7080367C-E6AF-4B70-8B5D-B01C2847C1A8}" type="presParOf" srcId="{04346420-DA9C-4249-BD86-1092F3A574CE}" destId="{4A052A38-32A9-4746-BA34-6179D715ABBF}" srcOrd="4" destOrd="0" presId="urn:microsoft.com/office/officeart/2005/8/layout/process1"/>
    <dgm:cxn modelId="{77EFDD13-6525-45A0-89A1-A85E176FB37E}" type="presParOf" srcId="{04346420-DA9C-4249-BD86-1092F3A574CE}" destId="{E8DF1DBD-0251-413F-A4E0-C02FD5D6E120}" srcOrd="5" destOrd="0" presId="urn:microsoft.com/office/officeart/2005/8/layout/process1"/>
    <dgm:cxn modelId="{72068DDC-BD0A-48DF-84F3-D12822B529C3}" type="presParOf" srcId="{E8DF1DBD-0251-413F-A4E0-C02FD5D6E120}" destId="{808EA2B6-3D98-4255-A5D2-83B645CF7B91}" srcOrd="0" destOrd="0" presId="urn:microsoft.com/office/officeart/2005/8/layout/process1"/>
    <dgm:cxn modelId="{01BB526B-D603-49FD-8574-9E45FA6D29AB}" type="presParOf" srcId="{04346420-DA9C-4249-BD86-1092F3A574CE}" destId="{D2186B3A-C188-4959-89A7-FEB3C547347B}" srcOrd="6" destOrd="0" presId="urn:microsoft.com/office/officeart/2005/8/layout/process1"/>
    <dgm:cxn modelId="{D033A0D4-3142-4168-B4DA-7C21DA29A315}" type="presParOf" srcId="{04346420-DA9C-4249-BD86-1092F3A574CE}" destId="{9BA2F97D-2002-4C33-94B5-3BC76AB8727F}" srcOrd="7" destOrd="0" presId="urn:microsoft.com/office/officeart/2005/8/layout/process1"/>
    <dgm:cxn modelId="{4CB03C69-F0B0-4772-A72A-A432D5523CF4}" type="presParOf" srcId="{9BA2F97D-2002-4C33-94B5-3BC76AB8727F}" destId="{43D69817-E7F5-4615-A2C8-68C21E80509A}" srcOrd="0" destOrd="0" presId="urn:microsoft.com/office/officeart/2005/8/layout/process1"/>
    <dgm:cxn modelId="{5C2C73F8-09DB-472A-AD49-35B8EEB348B3}" type="presParOf" srcId="{04346420-DA9C-4249-BD86-1092F3A574CE}" destId="{7948DEE7-7930-4F53-AE89-7441550DB5CC}" srcOrd="8" destOrd="0" presId="urn:microsoft.com/office/officeart/2005/8/layout/process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B42296B-0FB1-4C23-B76F-B92883BA3EAC}" type="doc">
      <dgm:prSet loTypeId="urn:microsoft.com/office/officeart/2005/8/layout/process1" loCatId="process" qsTypeId="urn:microsoft.com/office/officeart/2005/8/quickstyle/simple1" qsCatId="simple" csTypeId="urn:microsoft.com/office/officeart/2005/8/colors/accent1_2" csCatId="accent1" phldr="1"/>
      <dgm:spPr/>
    </dgm:pt>
    <dgm:pt modelId="{2755A89B-5F3C-41BA-B592-0296E5E0727B}">
      <dgm:prSet phldrT="[Texto]"/>
      <dgm:spPr/>
      <dgm:t>
        <a:bodyPr/>
        <a:lstStyle/>
        <a:p>
          <a:r>
            <a:rPr lang="es-MX">
              <a:latin typeface="ITC Avant Garde" panose="020B0402020203020304" pitchFamily="34" charset="0"/>
            </a:rPr>
            <a:t>Medición y levantamiento de Estadísticas del Desempeño Actual</a:t>
          </a:r>
        </a:p>
      </dgm:t>
    </dgm:pt>
    <dgm:pt modelId="{93BF8BAE-83EF-4887-B9A3-A285C7BB1CB8}" type="parTrans" cxnId="{6BB4F08D-5757-41E9-813E-79BAD42DA844}">
      <dgm:prSet/>
      <dgm:spPr/>
      <dgm:t>
        <a:bodyPr/>
        <a:lstStyle/>
        <a:p>
          <a:endParaRPr lang="es-MX">
            <a:latin typeface="ITC Avant Garde" panose="020B0402020203020304" pitchFamily="34" charset="0"/>
          </a:endParaRPr>
        </a:p>
      </dgm:t>
    </dgm:pt>
    <dgm:pt modelId="{CD5CD279-E647-4BFF-8556-06F4143FB78A}" type="sibTrans" cxnId="{6BB4F08D-5757-41E9-813E-79BAD42DA844}">
      <dgm:prSet/>
      <dgm:spPr/>
      <dgm:t>
        <a:bodyPr/>
        <a:lstStyle/>
        <a:p>
          <a:endParaRPr lang="es-MX">
            <a:latin typeface="ITC Avant Garde" panose="020B0402020203020304" pitchFamily="34" charset="0"/>
          </a:endParaRPr>
        </a:p>
      </dgm:t>
    </dgm:pt>
    <dgm:pt modelId="{B5893D73-8BC3-4789-8C39-83E6CE9DF008}">
      <dgm:prSet phldrT="[Texto]"/>
      <dgm:spPr/>
      <dgm:t>
        <a:bodyPr/>
        <a:lstStyle/>
        <a:p>
          <a:r>
            <a:rPr lang="es-MX">
              <a:latin typeface="ITC Avant Garde" panose="020B0402020203020304" pitchFamily="34" charset="0"/>
            </a:rPr>
            <a:t>Identificación de áreas de oportunidad</a:t>
          </a:r>
        </a:p>
      </dgm:t>
    </dgm:pt>
    <dgm:pt modelId="{03F458E3-C5EA-4779-82AA-175C75EE5BBD}" type="parTrans" cxnId="{2F42BD0C-C408-4B2D-A703-59FD2A080275}">
      <dgm:prSet/>
      <dgm:spPr/>
      <dgm:t>
        <a:bodyPr/>
        <a:lstStyle/>
        <a:p>
          <a:endParaRPr lang="es-MX">
            <a:latin typeface="ITC Avant Garde" panose="020B0402020203020304" pitchFamily="34" charset="0"/>
          </a:endParaRPr>
        </a:p>
      </dgm:t>
    </dgm:pt>
    <dgm:pt modelId="{AD14A147-D747-4196-9AEC-B97055B200E8}" type="sibTrans" cxnId="{2F42BD0C-C408-4B2D-A703-59FD2A080275}">
      <dgm:prSet/>
      <dgm:spPr/>
      <dgm:t>
        <a:bodyPr/>
        <a:lstStyle/>
        <a:p>
          <a:endParaRPr lang="es-MX">
            <a:latin typeface="ITC Avant Garde" panose="020B0402020203020304" pitchFamily="34" charset="0"/>
          </a:endParaRPr>
        </a:p>
      </dgm:t>
    </dgm:pt>
    <dgm:pt modelId="{B1A8118C-DEC1-4536-9F22-1EBC93EAED04}">
      <dgm:prSet phldrT="[Texto]"/>
      <dgm:spPr/>
      <dgm:t>
        <a:bodyPr/>
        <a:lstStyle/>
        <a:p>
          <a:r>
            <a:rPr lang="es-MX">
              <a:latin typeface="ITC Avant Garde" panose="020B0402020203020304" pitchFamily="34" charset="0"/>
            </a:rPr>
            <a:t>Definición de acciones y rutas de mejora</a:t>
          </a:r>
        </a:p>
      </dgm:t>
    </dgm:pt>
    <dgm:pt modelId="{E5198019-4749-4B04-BA5C-2CB5EFE97900}" type="parTrans" cxnId="{28A4E3C3-2D09-4383-AA8F-3B1ECAD4BFF0}">
      <dgm:prSet/>
      <dgm:spPr/>
      <dgm:t>
        <a:bodyPr/>
        <a:lstStyle/>
        <a:p>
          <a:endParaRPr lang="es-MX">
            <a:latin typeface="ITC Avant Garde" panose="020B0402020203020304" pitchFamily="34" charset="0"/>
          </a:endParaRPr>
        </a:p>
      </dgm:t>
    </dgm:pt>
    <dgm:pt modelId="{7E12DF3A-B533-4CCB-B7A3-A95170732076}" type="sibTrans" cxnId="{28A4E3C3-2D09-4383-AA8F-3B1ECAD4BFF0}">
      <dgm:prSet/>
      <dgm:spPr/>
      <dgm:t>
        <a:bodyPr/>
        <a:lstStyle/>
        <a:p>
          <a:endParaRPr lang="es-MX">
            <a:latin typeface="ITC Avant Garde" panose="020B0402020203020304" pitchFamily="34" charset="0"/>
          </a:endParaRPr>
        </a:p>
      </dgm:t>
    </dgm:pt>
    <dgm:pt modelId="{9C52F0E2-1E5F-4AA0-992D-854959376FF9}">
      <dgm:prSet phldrT="[Texto]"/>
      <dgm:spPr/>
      <dgm:t>
        <a:bodyPr/>
        <a:lstStyle/>
        <a:p>
          <a:r>
            <a:rPr lang="es-MX">
              <a:latin typeface="ITC Avant Garde" panose="020B0402020203020304" pitchFamily="34" charset="0"/>
            </a:rPr>
            <a:t>Implementación del Plan</a:t>
          </a:r>
        </a:p>
      </dgm:t>
    </dgm:pt>
    <dgm:pt modelId="{010B7C1E-9A07-4558-91FF-9B39BF8F76DA}" type="sibTrans" cxnId="{F80DFAB3-7EBA-4DB3-A587-AF34287C9AC8}">
      <dgm:prSet/>
      <dgm:spPr/>
      <dgm:t>
        <a:bodyPr/>
        <a:lstStyle/>
        <a:p>
          <a:endParaRPr lang="es-MX">
            <a:latin typeface="ITC Avant Garde" panose="020B0402020203020304" pitchFamily="34" charset="0"/>
          </a:endParaRPr>
        </a:p>
      </dgm:t>
    </dgm:pt>
    <dgm:pt modelId="{0DAF70A1-8CAA-4BA9-A5F6-7C1E25D605FC}" type="parTrans" cxnId="{F80DFAB3-7EBA-4DB3-A587-AF34287C9AC8}">
      <dgm:prSet/>
      <dgm:spPr/>
      <dgm:t>
        <a:bodyPr/>
        <a:lstStyle/>
        <a:p>
          <a:endParaRPr lang="es-MX">
            <a:latin typeface="ITC Avant Garde" panose="020B0402020203020304" pitchFamily="34" charset="0"/>
          </a:endParaRPr>
        </a:p>
      </dgm:t>
    </dgm:pt>
    <dgm:pt modelId="{4EC42490-A100-4A7D-BAF5-A2923F6FA48F}">
      <dgm:prSet phldrT="[Texto]"/>
      <dgm:spPr/>
      <dgm:t>
        <a:bodyPr/>
        <a:lstStyle/>
        <a:p>
          <a:r>
            <a:rPr lang="es-MX">
              <a:latin typeface="ITC Avant Garde" panose="020B0402020203020304" pitchFamily="34" charset="0"/>
            </a:rPr>
            <a:t>Gestón del Cambio</a:t>
          </a:r>
        </a:p>
      </dgm:t>
    </dgm:pt>
    <dgm:pt modelId="{8A918500-3102-4CCE-8945-FF0A9E240343}" type="sibTrans" cxnId="{CA7B3D69-41E6-40A4-9E98-27193728AD85}">
      <dgm:prSet/>
      <dgm:spPr/>
      <dgm:t>
        <a:bodyPr/>
        <a:lstStyle/>
        <a:p>
          <a:endParaRPr lang="es-MX">
            <a:latin typeface="ITC Avant Garde" panose="020B0402020203020304" pitchFamily="34" charset="0"/>
          </a:endParaRPr>
        </a:p>
      </dgm:t>
    </dgm:pt>
    <dgm:pt modelId="{11E8579F-C189-4E0F-85E4-D5B28299B040}" type="parTrans" cxnId="{CA7B3D69-41E6-40A4-9E98-27193728AD85}">
      <dgm:prSet/>
      <dgm:spPr/>
      <dgm:t>
        <a:bodyPr/>
        <a:lstStyle/>
        <a:p>
          <a:endParaRPr lang="es-MX">
            <a:latin typeface="ITC Avant Garde" panose="020B0402020203020304" pitchFamily="34" charset="0"/>
          </a:endParaRPr>
        </a:p>
      </dgm:t>
    </dgm:pt>
    <dgm:pt modelId="{04346420-DA9C-4249-BD86-1092F3A574CE}" type="pres">
      <dgm:prSet presAssocID="{5B42296B-0FB1-4C23-B76F-B92883BA3EAC}" presName="Name0" presStyleCnt="0">
        <dgm:presLayoutVars>
          <dgm:dir/>
          <dgm:resizeHandles val="exact"/>
        </dgm:presLayoutVars>
      </dgm:prSet>
      <dgm:spPr/>
    </dgm:pt>
    <dgm:pt modelId="{BA28ED35-E063-40D3-90A7-FA611CEE7C0C}" type="pres">
      <dgm:prSet presAssocID="{2755A89B-5F3C-41BA-B592-0296E5E0727B}" presName="node" presStyleLbl="node1" presStyleIdx="0" presStyleCnt="5">
        <dgm:presLayoutVars>
          <dgm:bulletEnabled val="1"/>
        </dgm:presLayoutVars>
      </dgm:prSet>
      <dgm:spPr/>
      <dgm:t>
        <a:bodyPr/>
        <a:lstStyle/>
        <a:p>
          <a:endParaRPr lang="es-MX"/>
        </a:p>
      </dgm:t>
    </dgm:pt>
    <dgm:pt modelId="{BB1DB2D6-E510-4CF3-9FAE-DC9952E6E4D8}" type="pres">
      <dgm:prSet presAssocID="{CD5CD279-E647-4BFF-8556-06F4143FB78A}" presName="sibTrans" presStyleLbl="sibTrans2D1" presStyleIdx="0" presStyleCnt="4"/>
      <dgm:spPr/>
      <dgm:t>
        <a:bodyPr/>
        <a:lstStyle/>
        <a:p>
          <a:endParaRPr lang="es-MX"/>
        </a:p>
      </dgm:t>
    </dgm:pt>
    <dgm:pt modelId="{0C3D872B-CDA6-4549-B550-CCA23028CD19}" type="pres">
      <dgm:prSet presAssocID="{CD5CD279-E647-4BFF-8556-06F4143FB78A}" presName="connectorText" presStyleLbl="sibTrans2D1" presStyleIdx="0" presStyleCnt="4"/>
      <dgm:spPr/>
      <dgm:t>
        <a:bodyPr/>
        <a:lstStyle/>
        <a:p>
          <a:endParaRPr lang="es-MX"/>
        </a:p>
      </dgm:t>
    </dgm:pt>
    <dgm:pt modelId="{5931EDA1-C1C2-46E6-97F4-2E3329D648D0}" type="pres">
      <dgm:prSet presAssocID="{B5893D73-8BC3-4789-8C39-83E6CE9DF008}" presName="node" presStyleLbl="node1" presStyleIdx="1" presStyleCnt="5">
        <dgm:presLayoutVars>
          <dgm:bulletEnabled val="1"/>
        </dgm:presLayoutVars>
      </dgm:prSet>
      <dgm:spPr/>
      <dgm:t>
        <a:bodyPr/>
        <a:lstStyle/>
        <a:p>
          <a:endParaRPr lang="es-MX"/>
        </a:p>
      </dgm:t>
    </dgm:pt>
    <dgm:pt modelId="{254F0278-C807-4C5D-8E2F-9B4127559F21}" type="pres">
      <dgm:prSet presAssocID="{AD14A147-D747-4196-9AEC-B97055B200E8}" presName="sibTrans" presStyleLbl="sibTrans2D1" presStyleIdx="1" presStyleCnt="4"/>
      <dgm:spPr/>
      <dgm:t>
        <a:bodyPr/>
        <a:lstStyle/>
        <a:p>
          <a:endParaRPr lang="es-MX"/>
        </a:p>
      </dgm:t>
    </dgm:pt>
    <dgm:pt modelId="{4891B7E7-A85A-41E0-9657-16B767A1118F}" type="pres">
      <dgm:prSet presAssocID="{AD14A147-D747-4196-9AEC-B97055B200E8}" presName="connectorText" presStyleLbl="sibTrans2D1" presStyleIdx="1" presStyleCnt="4"/>
      <dgm:spPr/>
      <dgm:t>
        <a:bodyPr/>
        <a:lstStyle/>
        <a:p>
          <a:endParaRPr lang="es-MX"/>
        </a:p>
      </dgm:t>
    </dgm:pt>
    <dgm:pt modelId="{4A052A38-32A9-4746-BA34-6179D715ABBF}" type="pres">
      <dgm:prSet presAssocID="{B1A8118C-DEC1-4536-9F22-1EBC93EAED04}" presName="node" presStyleLbl="node1" presStyleIdx="2" presStyleCnt="5">
        <dgm:presLayoutVars>
          <dgm:bulletEnabled val="1"/>
        </dgm:presLayoutVars>
      </dgm:prSet>
      <dgm:spPr/>
      <dgm:t>
        <a:bodyPr/>
        <a:lstStyle/>
        <a:p>
          <a:endParaRPr lang="es-MX"/>
        </a:p>
      </dgm:t>
    </dgm:pt>
    <dgm:pt modelId="{E8DF1DBD-0251-413F-A4E0-C02FD5D6E120}" type="pres">
      <dgm:prSet presAssocID="{7E12DF3A-B533-4CCB-B7A3-A95170732076}" presName="sibTrans" presStyleLbl="sibTrans2D1" presStyleIdx="2" presStyleCnt="4"/>
      <dgm:spPr/>
      <dgm:t>
        <a:bodyPr/>
        <a:lstStyle/>
        <a:p>
          <a:endParaRPr lang="es-MX"/>
        </a:p>
      </dgm:t>
    </dgm:pt>
    <dgm:pt modelId="{808EA2B6-3D98-4255-A5D2-83B645CF7B91}" type="pres">
      <dgm:prSet presAssocID="{7E12DF3A-B533-4CCB-B7A3-A95170732076}" presName="connectorText" presStyleLbl="sibTrans2D1" presStyleIdx="2" presStyleCnt="4"/>
      <dgm:spPr/>
      <dgm:t>
        <a:bodyPr/>
        <a:lstStyle/>
        <a:p>
          <a:endParaRPr lang="es-MX"/>
        </a:p>
      </dgm:t>
    </dgm:pt>
    <dgm:pt modelId="{D2186B3A-C188-4959-89A7-FEB3C547347B}" type="pres">
      <dgm:prSet presAssocID="{4EC42490-A100-4A7D-BAF5-A2923F6FA48F}" presName="node" presStyleLbl="node1" presStyleIdx="3" presStyleCnt="5">
        <dgm:presLayoutVars>
          <dgm:bulletEnabled val="1"/>
        </dgm:presLayoutVars>
      </dgm:prSet>
      <dgm:spPr/>
      <dgm:t>
        <a:bodyPr/>
        <a:lstStyle/>
        <a:p>
          <a:endParaRPr lang="es-MX"/>
        </a:p>
      </dgm:t>
    </dgm:pt>
    <dgm:pt modelId="{9BA2F97D-2002-4C33-94B5-3BC76AB8727F}" type="pres">
      <dgm:prSet presAssocID="{8A918500-3102-4CCE-8945-FF0A9E240343}" presName="sibTrans" presStyleLbl="sibTrans2D1" presStyleIdx="3" presStyleCnt="4"/>
      <dgm:spPr/>
      <dgm:t>
        <a:bodyPr/>
        <a:lstStyle/>
        <a:p>
          <a:endParaRPr lang="es-MX"/>
        </a:p>
      </dgm:t>
    </dgm:pt>
    <dgm:pt modelId="{43D69817-E7F5-4615-A2C8-68C21E80509A}" type="pres">
      <dgm:prSet presAssocID="{8A918500-3102-4CCE-8945-FF0A9E240343}" presName="connectorText" presStyleLbl="sibTrans2D1" presStyleIdx="3" presStyleCnt="4"/>
      <dgm:spPr/>
      <dgm:t>
        <a:bodyPr/>
        <a:lstStyle/>
        <a:p>
          <a:endParaRPr lang="es-MX"/>
        </a:p>
      </dgm:t>
    </dgm:pt>
    <dgm:pt modelId="{7948DEE7-7930-4F53-AE89-7441550DB5CC}" type="pres">
      <dgm:prSet presAssocID="{9C52F0E2-1E5F-4AA0-992D-854959376FF9}" presName="node" presStyleLbl="node1" presStyleIdx="4" presStyleCnt="5">
        <dgm:presLayoutVars>
          <dgm:bulletEnabled val="1"/>
        </dgm:presLayoutVars>
      </dgm:prSet>
      <dgm:spPr/>
      <dgm:t>
        <a:bodyPr/>
        <a:lstStyle/>
        <a:p>
          <a:endParaRPr lang="es-MX"/>
        </a:p>
      </dgm:t>
    </dgm:pt>
  </dgm:ptLst>
  <dgm:cxnLst>
    <dgm:cxn modelId="{DC1ED281-CF3B-4BFC-99C4-BF214CD7D1B5}" type="presOf" srcId="{7E12DF3A-B533-4CCB-B7A3-A95170732076}" destId="{E8DF1DBD-0251-413F-A4E0-C02FD5D6E120}" srcOrd="0" destOrd="0" presId="urn:microsoft.com/office/officeart/2005/8/layout/process1"/>
    <dgm:cxn modelId="{7955EDA1-D157-46EF-9AEF-05831A2A1E11}" type="presOf" srcId="{5B42296B-0FB1-4C23-B76F-B92883BA3EAC}" destId="{04346420-DA9C-4249-BD86-1092F3A574CE}" srcOrd="0" destOrd="0" presId="urn:microsoft.com/office/officeart/2005/8/layout/process1"/>
    <dgm:cxn modelId="{F7F87038-67CB-4FB4-9CBF-BE8CCC3F9149}" type="presOf" srcId="{9C52F0E2-1E5F-4AA0-992D-854959376FF9}" destId="{7948DEE7-7930-4F53-AE89-7441550DB5CC}" srcOrd="0" destOrd="0" presId="urn:microsoft.com/office/officeart/2005/8/layout/process1"/>
    <dgm:cxn modelId="{8FAE7153-31CE-4E78-BE8A-78CC39F0117D}" type="presOf" srcId="{4EC42490-A100-4A7D-BAF5-A2923F6FA48F}" destId="{D2186B3A-C188-4959-89A7-FEB3C547347B}" srcOrd="0" destOrd="0" presId="urn:microsoft.com/office/officeart/2005/8/layout/process1"/>
    <dgm:cxn modelId="{CD6FAC06-4BEB-4498-8026-EEAEBA0A752D}" type="presOf" srcId="{2755A89B-5F3C-41BA-B592-0296E5E0727B}" destId="{BA28ED35-E063-40D3-90A7-FA611CEE7C0C}" srcOrd="0" destOrd="0" presId="urn:microsoft.com/office/officeart/2005/8/layout/process1"/>
    <dgm:cxn modelId="{B8903673-2D36-4CC7-9295-98E17333872E}" type="presOf" srcId="{CD5CD279-E647-4BFF-8556-06F4143FB78A}" destId="{0C3D872B-CDA6-4549-B550-CCA23028CD19}" srcOrd="1" destOrd="0" presId="urn:microsoft.com/office/officeart/2005/8/layout/process1"/>
    <dgm:cxn modelId="{3FB2EB69-6969-40A6-A660-DDF194F11212}" type="presOf" srcId="{AD14A147-D747-4196-9AEC-B97055B200E8}" destId="{254F0278-C807-4C5D-8E2F-9B4127559F21}" srcOrd="0" destOrd="0" presId="urn:microsoft.com/office/officeart/2005/8/layout/process1"/>
    <dgm:cxn modelId="{CA7B3D69-41E6-40A4-9E98-27193728AD85}" srcId="{5B42296B-0FB1-4C23-B76F-B92883BA3EAC}" destId="{4EC42490-A100-4A7D-BAF5-A2923F6FA48F}" srcOrd="3" destOrd="0" parTransId="{11E8579F-C189-4E0F-85E4-D5B28299B040}" sibTransId="{8A918500-3102-4CCE-8945-FF0A9E240343}"/>
    <dgm:cxn modelId="{67742E85-DFC9-4EBB-B947-55DDBCF0E670}" type="presOf" srcId="{B5893D73-8BC3-4789-8C39-83E6CE9DF008}" destId="{5931EDA1-C1C2-46E6-97F4-2E3329D648D0}" srcOrd="0" destOrd="0" presId="urn:microsoft.com/office/officeart/2005/8/layout/process1"/>
    <dgm:cxn modelId="{F80DFAB3-7EBA-4DB3-A587-AF34287C9AC8}" srcId="{5B42296B-0FB1-4C23-B76F-B92883BA3EAC}" destId="{9C52F0E2-1E5F-4AA0-992D-854959376FF9}" srcOrd="4" destOrd="0" parTransId="{0DAF70A1-8CAA-4BA9-A5F6-7C1E25D605FC}" sibTransId="{010B7C1E-9A07-4558-91FF-9B39BF8F76DA}"/>
    <dgm:cxn modelId="{C5F857B7-06A5-4D2B-A269-F9D59142CC40}" type="presOf" srcId="{8A918500-3102-4CCE-8945-FF0A9E240343}" destId="{43D69817-E7F5-4615-A2C8-68C21E80509A}" srcOrd="1" destOrd="0" presId="urn:microsoft.com/office/officeart/2005/8/layout/process1"/>
    <dgm:cxn modelId="{30B2CABF-DF1F-4567-81E1-3C07C78D3FAA}" type="presOf" srcId="{B1A8118C-DEC1-4536-9F22-1EBC93EAED04}" destId="{4A052A38-32A9-4746-BA34-6179D715ABBF}" srcOrd="0" destOrd="0" presId="urn:microsoft.com/office/officeart/2005/8/layout/process1"/>
    <dgm:cxn modelId="{B375FE00-7EBB-4FAA-AD53-741216E1EC47}" type="presOf" srcId="{CD5CD279-E647-4BFF-8556-06F4143FB78A}" destId="{BB1DB2D6-E510-4CF3-9FAE-DC9952E6E4D8}" srcOrd="0" destOrd="0" presId="urn:microsoft.com/office/officeart/2005/8/layout/process1"/>
    <dgm:cxn modelId="{28A4E3C3-2D09-4383-AA8F-3B1ECAD4BFF0}" srcId="{5B42296B-0FB1-4C23-B76F-B92883BA3EAC}" destId="{B1A8118C-DEC1-4536-9F22-1EBC93EAED04}" srcOrd="2" destOrd="0" parTransId="{E5198019-4749-4B04-BA5C-2CB5EFE97900}" sibTransId="{7E12DF3A-B533-4CCB-B7A3-A95170732076}"/>
    <dgm:cxn modelId="{7E9A16FF-51EE-4F77-BAA4-1301CF643030}" type="presOf" srcId="{7E12DF3A-B533-4CCB-B7A3-A95170732076}" destId="{808EA2B6-3D98-4255-A5D2-83B645CF7B91}" srcOrd="1" destOrd="0" presId="urn:microsoft.com/office/officeart/2005/8/layout/process1"/>
    <dgm:cxn modelId="{2F42BD0C-C408-4B2D-A703-59FD2A080275}" srcId="{5B42296B-0FB1-4C23-B76F-B92883BA3EAC}" destId="{B5893D73-8BC3-4789-8C39-83E6CE9DF008}" srcOrd="1" destOrd="0" parTransId="{03F458E3-C5EA-4779-82AA-175C75EE5BBD}" sibTransId="{AD14A147-D747-4196-9AEC-B97055B200E8}"/>
    <dgm:cxn modelId="{793280CB-A701-4DA0-AA64-F94FFF22FC2D}" type="presOf" srcId="{AD14A147-D747-4196-9AEC-B97055B200E8}" destId="{4891B7E7-A85A-41E0-9657-16B767A1118F}" srcOrd="1" destOrd="0" presId="urn:microsoft.com/office/officeart/2005/8/layout/process1"/>
    <dgm:cxn modelId="{0EBFE0DF-1D1C-4047-AE18-B18B6DF8203F}" type="presOf" srcId="{8A918500-3102-4CCE-8945-FF0A9E240343}" destId="{9BA2F97D-2002-4C33-94B5-3BC76AB8727F}" srcOrd="0" destOrd="0" presId="urn:microsoft.com/office/officeart/2005/8/layout/process1"/>
    <dgm:cxn modelId="{6BB4F08D-5757-41E9-813E-79BAD42DA844}" srcId="{5B42296B-0FB1-4C23-B76F-B92883BA3EAC}" destId="{2755A89B-5F3C-41BA-B592-0296E5E0727B}" srcOrd="0" destOrd="0" parTransId="{93BF8BAE-83EF-4887-B9A3-A285C7BB1CB8}" sibTransId="{CD5CD279-E647-4BFF-8556-06F4143FB78A}"/>
    <dgm:cxn modelId="{A701605E-FBCC-4805-BE05-257720F0A1DA}" type="presParOf" srcId="{04346420-DA9C-4249-BD86-1092F3A574CE}" destId="{BA28ED35-E063-40D3-90A7-FA611CEE7C0C}" srcOrd="0" destOrd="0" presId="urn:microsoft.com/office/officeart/2005/8/layout/process1"/>
    <dgm:cxn modelId="{323086C9-9A92-47A2-91BA-F50520056BAA}" type="presParOf" srcId="{04346420-DA9C-4249-BD86-1092F3A574CE}" destId="{BB1DB2D6-E510-4CF3-9FAE-DC9952E6E4D8}" srcOrd="1" destOrd="0" presId="urn:microsoft.com/office/officeart/2005/8/layout/process1"/>
    <dgm:cxn modelId="{347E4254-9055-4A34-9288-95EB65C1BAAC}" type="presParOf" srcId="{BB1DB2D6-E510-4CF3-9FAE-DC9952E6E4D8}" destId="{0C3D872B-CDA6-4549-B550-CCA23028CD19}" srcOrd="0" destOrd="0" presId="urn:microsoft.com/office/officeart/2005/8/layout/process1"/>
    <dgm:cxn modelId="{B8CFAB20-C0C1-438C-BAD8-A21BB87CA447}" type="presParOf" srcId="{04346420-DA9C-4249-BD86-1092F3A574CE}" destId="{5931EDA1-C1C2-46E6-97F4-2E3329D648D0}" srcOrd="2" destOrd="0" presId="urn:microsoft.com/office/officeart/2005/8/layout/process1"/>
    <dgm:cxn modelId="{CDD6CAC0-B76B-4688-92FE-4B34DF268C6B}" type="presParOf" srcId="{04346420-DA9C-4249-BD86-1092F3A574CE}" destId="{254F0278-C807-4C5D-8E2F-9B4127559F21}" srcOrd="3" destOrd="0" presId="urn:microsoft.com/office/officeart/2005/8/layout/process1"/>
    <dgm:cxn modelId="{BE5A237F-467E-4572-8C41-185C27B132EB}" type="presParOf" srcId="{254F0278-C807-4C5D-8E2F-9B4127559F21}" destId="{4891B7E7-A85A-41E0-9657-16B767A1118F}" srcOrd="0" destOrd="0" presId="urn:microsoft.com/office/officeart/2005/8/layout/process1"/>
    <dgm:cxn modelId="{0D434B20-B8A9-4C13-9038-01F244327E93}" type="presParOf" srcId="{04346420-DA9C-4249-BD86-1092F3A574CE}" destId="{4A052A38-32A9-4746-BA34-6179D715ABBF}" srcOrd="4" destOrd="0" presId="urn:microsoft.com/office/officeart/2005/8/layout/process1"/>
    <dgm:cxn modelId="{1F49EDF4-84E1-4E8A-B6B7-5176616846E1}" type="presParOf" srcId="{04346420-DA9C-4249-BD86-1092F3A574CE}" destId="{E8DF1DBD-0251-413F-A4E0-C02FD5D6E120}" srcOrd="5" destOrd="0" presId="urn:microsoft.com/office/officeart/2005/8/layout/process1"/>
    <dgm:cxn modelId="{BB5AA5CC-F7FA-4369-ABFC-92F90D470051}" type="presParOf" srcId="{E8DF1DBD-0251-413F-A4E0-C02FD5D6E120}" destId="{808EA2B6-3D98-4255-A5D2-83B645CF7B91}" srcOrd="0" destOrd="0" presId="urn:microsoft.com/office/officeart/2005/8/layout/process1"/>
    <dgm:cxn modelId="{DAAFE3C8-3C79-48E2-8903-A66718BECD2E}" type="presParOf" srcId="{04346420-DA9C-4249-BD86-1092F3A574CE}" destId="{D2186B3A-C188-4959-89A7-FEB3C547347B}" srcOrd="6" destOrd="0" presId="urn:microsoft.com/office/officeart/2005/8/layout/process1"/>
    <dgm:cxn modelId="{4E22E0C5-B0FD-48E2-ACB3-12FF0B7EEEF9}" type="presParOf" srcId="{04346420-DA9C-4249-BD86-1092F3A574CE}" destId="{9BA2F97D-2002-4C33-94B5-3BC76AB8727F}" srcOrd="7" destOrd="0" presId="urn:microsoft.com/office/officeart/2005/8/layout/process1"/>
    <dgm:cxn modelId="{EB210416-E562-42A8-8ACC-4DDA85DD30D0}" type="presParOf" srcId="{9BA2F97D-2002-4C33-94B5-3BC76AB8727F}" destId="{43D69817-E7F5-4615-A2C8-68C21E80509A}" srcOrd="0" destOrd="0" presId="urn:microsoft.com/office/officeart/2005/8/layout/process1"/>
    <dgm:cxn modelId="{E52C76A0-934C-4C91-9B94-B27E63A613D5}" type="presParOf" srcId="{04346420-DA9C-4249-BD86-1092F3A574CE}" destId="{7948DEE7-7930-4F53-AE89-7441550DB5CC}" srcOrd="8" destOrd="0" presId="urn:microsoft.com/office/officeart/2005/8/layout/process1"/>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A28ED35-E063-40D3-90A7-FA611CEE7C0C}">
      <dsp:nvSpPr>
        <dsp:cNvPr id="0" name=""/>
        <dsp:cNvSpPr/>
      </dsp:nvSpPr>
      <dsp:spPr>
        <a:xfrm>
          <a:off x="2677" y="517844"/>
          <a:ext cx="830038" cy="66143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Medición y levantamiento de Estadísticas del Desempeño Actual</a:t>
          </a:r>
        </a:p>
      </dsp:txBody>
      <dsp:txXfrm>
        <a:off x="22050" y="537217"/>
        <a:ext cx="791292" cy="622690"/>
      </dsp:txXfrm>
    </dsp:sp>
    <dsp:sp modelId="{BB1DB2D6-E510-4CF3-9FAE-DC9952E6E4D8}">
      <dsp:nvSpPr>
        <dsp:cNvPr id="0" name=""/>
        <dsp:cNvSpPr/>
      </dsp:nvSpPr>
      <dsp:spPr>
        <a:xfrm>
          <a:off x="915719" y="745638"/>
          <a:ext cx="175968" cy="20584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915719" y="786808"/>
        <a:ext cx="123178" cy="123509"/>
      </dsp:txXfrm>
    </dsp:sp>
    <dsp:sp modelId="{5931EDA1-C1C2-46E6-97F4-2E3329D648D0}">
      <dsp:nvSpPr>
        <dsp:cNvPr id="0" name=""/>
        <dsp:cNvSpPr/>
      </dsp:nvSpPr>
      <dsp:spPr>
        <a:xfrm>
          <a:off x="1164730" y="517844"/>
          <a:ext cx="830038" cy="66143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Identificación de áreas de oportunidad</a:t>
          </a:r>
        </a:p>
      </dsp:txBody>
      <dsp:txXfrm>
        <a:off x="1184103" y="537217"/>
        <a:ext cx="791292" cy="622690"/>
      </dsp:txXfrm>
    </dsp:sp>
    <dsp:sp modelId="{254F0278-C807-4C5D-8E2F-9B4127559F21}">
      <dsp:nvSpPr>
        <dsp:cNvPr id="0" name=""/>
        <dsp:cNvSpPr/>
      </dsp:nvSpPr>
      <dsp:spPr>
        <a:xfrm>
          <a:off x="2077772" y="745638"/>
          <a:ext cx="175968" cy="20584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2077772" y="786808"/>
        <a:ext cx="123178" cy="123509"/>
      </dsp:txXfrm>
    </dsp:sp>
    <dsp:sp modelId="{4A052A38-32A9-4746-BA34-6179D715ABBF}">
      <dsp:nvSpPr>
        <dsp:cNvPr id="0" name=""/>
        <dsp:cNvSpPr/>
      </dsp:nvSpPr>
      <dsp:spPr>
        <a:xfrm>
          <a:off x="2326783" y="517844"/>
          <a:ext cx="830038" cy="66143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Definición de acciones y rutas de mejora</a:t>
          </a:r>
        </a:p>
      </dsp:txBody>
      <dsp:txXfrm>
        <a:off x="2346156" y="537217"/>
        <a:ext cx="791292" cy="622690"/>
      </dsp:txXfrm>
    </dsp:sp>
    <dsp:sp modelId="{E8DF1DBD-0251-413F-A4E0-C02FD5D6E120}">
      <dsp:nvSpPr>
        <dsp:cNvPr id="0" name=""/>
        <dsp:cNvSpPr/>
      </dsp:nvSpPr>
      <dsp:spPr>
        <a:xfrm>
          <a:off x="3239825" y="745638"/>
          <a:ext cx="175968" cy="20584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3239825" y="786808"/>
        <a:ext cx="123178" cy="123509"/>
      </dsp:txXfrm>
    </dsp:sp>
    <dsp:sp modelId="{D2186B3A-C188-4959-89A7-FEB3C547347B}">
      <dsp:nvSpPr>
        <dsp:cNvPr id="0" name=""/>
        <dsp:cNvSpPr/>
      </dsp:nvSpPr>
      <dsp:spPr>
        <a:xfrm>
          <a:off x="3488837" y="517844"/>
          <a:ext cx="830038" cy="66143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Gestón del Cambio</a:t>
          </a:r>
        </a:p>
      </dsp:txBody>
      <dsp:txXfrm>
        <a:off x="3508210" y="537217"/>
        <a:ext cx="791292" cy="622690"/>
      </dsp:txXfrm>
    </dsp:sp>
    <dsp:sp modelId="{9BA2F97D-2002-4C33-94B5-3BC76AB8727F}">
      <dsp:nvSpPr>
        <dsp:cNvPr id="0" name=""/>
        <dsp:cNvSpPr/>
      </dsp:nvSpPr>
      <dsp:spPr>
        <a:xfrm>
          <a:off x="4401879" y="745638"/>
          <a:ext cx="175968" cy="20584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4401879" y="786808"/>
        <a:ext cx="123178" cy="123509"/>
      </dsp:txXfrm>
    </dsp:sp>
    <dsp:sp modelId="{7948DEE7-7930-4F53-AE89-7441550DB5CC}">
      <dsp:nvSpPr>
        <dsp:cNvPr id="0" name=""/>
        <dsp:cNvSpPr/>
      </dsp:nvSpPr>
      <dsp:spPr>
        <a:xfrm>
          <a:off x="4650890" y="517844"/>
          <a:ext cx="830038" cy="66143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Implementación del Plan</a:t>
          </a:r>
        </a:p>
      </dsp:txBody>
      <dsp:txXfrm>
        <a:off x="4670263" y="537217"/>
        <a:ext cx="791292" cy="62269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A28ED35-E063-40D3-90A7-FA611CEE7C0C}">
      <dsp:nvSpPr>
        <dsp:cNvPr id="0" name=""/>
        <dsp:cNvSpPr/>
      </dsp:nvSpPr>
      <dsp:spPr>
        <a:xfrm>
          <a:off x="2677" y="245922"/>
          <a:ext cx="829980" cy="6613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Medición y levantamiento de Estadísticas del Desempeño Actual</a:t>
          </a:r>
        </a:p>
      </dsp:txBody>
      <dsp:txXfrm>
        <a:off x="22048" y="265293"/>
        <a:ext cx="791238" cy="622648"/>
      </dsp:txXfrm>
    </dsp:sp>
    <dsp:sp modelId="{BB1DB2D6-E510-4CF3-9FAE-DC9952E6E4D8}">
      <dsp:nvSpPr>
        <dsp:cNvPr id="0" name=""/>
        <dsp:cNvSpPr/>
      </dsp:nvSpPr>
      <dsp:spPr>
        <a:xfrm>
          <a:off x="915655" y="473700"/>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915655" y="514867"/>
        <a:ext cx="123169" cy="123501"/>
      </dsp:txXfrm>
    </dsp:sp>
    <dsp:sp modelId="{5931EDA1-C1C2-46E6-97F4-2E3329D648D0}">
      <dsp:nvSpPr>
        <dsp:cNvPr id="0" name=""/>
        <dsp:cNvSpPr/>
      </dsp:nvSpPr>
      <dsp:spPr>
        <a:xfrm>
          <a:off x="1164649" y="245922"/>
          <a:ext cx="829980" cy="6613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Identificación de áreas de oportunidad</a:t>
          </a:r>
        </a:p>
      </dsp:txBody>
      <dsp:txXfrm>
        <a:off x="1184020" y="265293"/>
        <a:ext cx="791238" cy="622648"/>
      </dsp:txXfrm>
    </dsp:sp>
    <dsp:sp modelId="{254F0278-C807-4C5D-8E2F-9B4127559F21}">
      <dsp:nvSpPr>
        <dsp:cNvPr id="0" name=""/>
        <dsp:cNvSpPr/>
      </dsp:nvSpPr>
      <dsp:spPr>
        <a:xfrm>
          <a:off x="2077628" y="473700"/>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2077628" y="514867"/>
        <a:ext cx="123169" cy="123501"/>
      </dsp:txXfrm>
    </dsp:sp>
    <dsp:sp modelId="{4A052A38-32A9-4746-BA34-6179D715ABBF}">
      <dsp:nvSpPr>
        <dsp:cNvPr id="0" name=""/>
        <dsp:cNvSpPr/>
      </dsp:nvSpPr>
      <dsp:spPr>
        <a:xfrm>
          <a:off x="2326622" y="245922"/>
          <a:ext cx="829980" cy="6613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Definición de acciones y rutas de mejora</a:t>
          </a:r>
        </a:p>
      </dsp:txBody>
      <dsp:txXfrm>
        <a:off x="2345993" y="265293"/>
        <a:ext cx="791238" cy="622648"/>
      </dsp:txXfrm>
    </dsp:sp>
    <dsp:sp modelId="{E8DF1DBD-0251-413F-A4E0-C02FD5D6E120}">
      <dsp:nvSpPr>
        <dsp:cNvPr id="0" name=""/>
        <dsp:cNvSpPr/>
      </dsp:nvSpPr>
      <dsp:spPr>
        <a:xfrm>
          <a:off x="3239600" y="473700"/>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3239600" y="514867"/>
        <a:ext cx="123169" cy="123501"/>
      </dsp:txXfrm>
    </dsp:sp>
    <dsp:sp modelId="{D2186B3A-C188-4959-89A7-FEB3C547347B}">
      <dsp:nvSpPr>
        <dsp:cNvPr id="0" name=""/>
        <dsp:cNvSpPr/>
      </dsp:nvSpPr>
      <dsp:spPr>
        <a:xfrm>
          <a:off x="3488594" y="245922"/>
          <a:ext cx="829980" cy="6613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Gestón del Cambio</a:t>
          </a:r>
        </a:p>
      </dsp:txBody>
      <dsp:txXfrm>
        <a:off x="3507965" y="265293"/>
        <a:ext cx="791238" cy="622648"/>
      </dsp:txXfrm>
    </dsp:sp>
    <dsp:sp modelId="{9BA2F97D-2002-4C33-94B5-3BC76AB8727F}">
      <dsp:nvSpPr>
        <dsp:cNvPr id="0" name=""/>
        <dsp:cNvSpPr/>
      </dsp:nvSpPr>
      <dsp:spPr>
        <a:xfrm>
          <a:off x="4401573" y="473700"/>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p>
      </dsp:txBody>
      <dsp:txXfrm>
        <a:off x="4401573" y="514867"/>
        <a:ext cx="123169" cy="123501"/>
      </dsp:txXfrm>
    </dsp:sp>
    <dsp:sp modelId="{7948DEE7-7930-4F53-AE89-7441550DB5CC}">
      <dsp:nvSpPr>
        <dsp:cNvPr id="0" name=""/>
        <dsp:cNvSpPr/>
      </dsp:nvSpPr>
      <dsp:spPr>
        <a:xfrm>
          <a:off x="4650567" y="245922"/>
          <a:ext cx="829980" cy="6613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MX" sz="800" kern="1200"/>
            <a:t>Implementación del Plan</a:t>
          </a:r>
        </a:p>
      </dsp:txBody>
      <dsp:txXfrm>
        <a:off x="4669938" y="265293"/>
        <a:ext cx="791238" cy="62264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A28ED35-E063-40D3-90A7-FA611CEE7C0C}">
      <dsp:nvSpPr>
        <dsp:cNvPr id="0" name=""/>
        <dsp:cNvSpPr/>
      </dsp:nvSpPr>
      <dsp:spPr>
        <a:xfrm>
          <a:off x="2677" y="176442"/>
          <a:ext cx="829980" cy="59136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s-MX" sz="700" kern="1200">
              <a:latin typeface="ITC Avant Garde" panose="020B0402020203020304" pitchFamily="34" charset="0"/>
            </a:rPr>
            <a:t>Medición y levantamiento de Estadísticas del Desempeño Actual</a:t>
          </a:r>
        </a:p>
      </dsp:txBody>
      <dsp:txXfrm>
        <a:off x="19997" y="193762"/>
        <a:ext cx="795340" cy="556720"/>
      </dsp:txXfrm>
    </dsp:sp>
    <dsp:sp modelId="{BB1DB2D6-E510-4CF3-9FAE-DC9952E6E4D8}">
      <dsp:nvSpPr>
        <dsp:cNvPr id="0" name=""/>
        <dsp:cNvSpPr/>
      </dsp:nvSpPr>
      <dsp:spPr>
        <a:xfrm>
          <a:off x="915655" y="369204"/>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latin typeface="ITC Avant Garde" panose="020B0402020203020304" pitchFamily="34" charset="0"/>
          </a:endParaRPr>
        </a:p>
      </dsp:txBody>
      <dsp:txXfrm>
        <a:off x="915655" y="410371"/>
        <a:ext cx="123169" cy="123501"/>
      </dsp:txXfrm>
    </dsp:sp>
    <dsp:sp modelId="{5931EDA1-C1C2-46E6-97F4-2E3329D648D0}">
      <dsp:nvSpPr>
        <dsp:cNvPr id="0" name=""/>
        <dsp:cNvSpPr/>
      </dsp:nvSpPr>
      <dsp:spPr>
        <a:xfrm>
          <a:off x="1164649" y="176442"/>
          <a:ext cx="829980" cy="59136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s-MX" sz="700" kern="1200">
              <a:latin typeface="ITC Avant Garde" panose="020B0402020203020304" pitchFamily="34" charset="0"/>
            </a:rPr>
            <a:t>Identificación de áreas de oportunidad</a:t>
          </a:r>
        </a:p>
      </dsp:txBody>
      <dsp:txXfrm>
        <a:off x="1181969" y="193762"/>
        <a:ext cx="795340" cy="556720"/>
      </dsp:txXfrm>
    </dsp:sp>
    <dsp:sp modelId="{254F0278-C807-4C5D-8E2F-9B4127559F21}">
      <dsp:nvSpPr>
        <dsp:cNvPr id="0" name=""/>
        <dsp:cNvSpPr/>
      </dsp:nvSpPr>
      <dsp:spPr>
        <a:xfrm>
          <a:off x="2077628" y="369204"/>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latin typeface="ITC Avant Garde" panose="020B0402020203020304" pitchFamily="34" charset="0"/>
          </a:endParaRPr>
        </a:p>
      </dsp:txBody>
      <dsp:txXfrm>
        <a:off x="2077628" y="410371"/>
        <a:ext cx="123169" cy="123501"/>
      </dsp:txXfrm>
    </dsp:sp>
    <dsp:sp modelId="{4A052A38-32A9-4746-BA34-6179D715ABBF}">
      <dsp:nvSpPr>
        <dsp:cNvPr id="0" name=""/>
        <dsp:cNvSpPr/>
      </dsp:nvSpPr>
      <dsp:spPr>
        <a:xfrm>
          <a:off x="2326622" y="176442"/>
          <a:ext cx="829980" cy="59136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s-MX" sz="700" kern="1200">
              <a:latin typeface="ITC Avant Garde" panose="020B0402020203020304" pitchFamily="34" charset="0"/>
            </a:rPr>
            <a:t>Definición de acciones y rutas de mejora</a:t>
          </a:r>
        </a:p>
      </dsp:txBody>
      <dsp:txXfrm>
        <a:off x="2343942" y="193762"/>
        <a:ext cx="795340" cy="556720"/>
      </dsp:txXfrm>
    </dsp:sp>
    <dsp:sp modelId="{E8DF1DBD-0251-413F-A4E0-C02FD5D6E120}">
      <dsp:nvSpPr>
        <dsp:cNvPr id="0" name=""/>
        <dsp:cNvSpPr/>
      </dsp:nvSpPr>
      <dsp:spPr>
        <a:xfrm>
          <a:off x="3239600" y="369204"/>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latin typeface="ITC Avant Garde" panose="020B0402020203020304" pitchFamily="34" charset="0"/>
          </a:endParaRPr>
        </a:p>
      </dsp:txBody>
      <dsp:txXfrm>
        <a:off x="3239600" y="410371"/>
        <a:ext cx="123169" cy="123501"/>
      </dsp:txXfrm>
    </dsp:sp>
    <dsp:sp modelId="{D2186B3A-C188-4959-89A7-FEB3C547347B}">
      <dsp:nvSpPr>
        <dsp:cNvPr id="0" name=""/>
        <dsp:cNvSpPr/>
      </dsp:nvSpPr>
      <dsp:spPr>
        <a:xfrm>
          <a:off x="3488594" y="176442"/>
          <a:ext cx="829980" cy="59136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s-MX" sz="700" kern="1200">
              <a:latin typeface="ITC Avant Garde" panose="020B0402020203020304" pitchFamily="34" charset="0"/>
            </a:rPr>
            <a:t>Gestón del Cambio</a:t>
          </a:r>
        </a:p>
      </dsp:txBody>
      <dsp:txXfrm>
        <a:off x="3505914" y="193762"/>
        <a:ext cx="795340" cy="556720"/>
      </dsp:txXfrm>
    </dsp:sp>
    <dsp:sp modelId="{9BA2F97D-2002-4C33-94B5-3BC76AB8727F}">
      <dsp:nvSpPr>
        <dsp:cNvPr id="0" name=""/>
        <dsp:cNvSpPr/>
      </dsp:nvSpPr>
      <dsp:spPr>
        <a:xfrm>
          <a:off x="4401573" y="369204"/>
          <a:ext cx="175955" cy="20583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MX" sz="600" kern="1200">
            <a:latin typeface="ITC Avant Garde" panose="020B0402020203020304" pitchFamily="34" charset="0"/>
          </a:endParaRPr>
        </a:p>
      </dsp:txBody>
      <dsp:txXfrm>
        <a:off x="4401573" y="410371"/>
        <a:ext cx="123169" cy="123501"/>
      </dsp:txXfrm>
    </dsp:sp>
    <dsp:sp modelId="{7948DEE7-7930-4F53-AE89-7441550DB5CC}">
      <dsp:nvSpPr>
        <dsp:cNvPr id="0" name=""/>
        <dsp:cNvSpPr/>
      </dsp:nvSpPr>
      <dsp:spPr>
        <a:xfrm>
          <a:off x="4650567" y="176442"/>
          <a:ext cx="829980" cy="59136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s-MX" sz="700" kern="1200">
              <a:latin typeface="ITC Avant Garde" panose="020B0402020203020304" pitchFamily="34" charset="0"/>
            </a:rPr>
            <a:t>Implementación del Plan</a:t>
          </a:r>
        </a:p>
      </dsp:txBody>
      <dsp:txXfrm>
        <a:off x="4667887" y="193762"/>
        <a:ext cx="795340" cy="55672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CEEB889474DA94B9F68B747786921B0" ma:contentTypeVersion="0" ma:contentTypeDescription="Crear nuevo documento." ma:contentTypeScope="" ma:versionID="6aa9e511fcafbab5f2ef084e2d0bfd3a">
  <xsd:schema xmlns:xsd="http://www.w3.org/2001/XMLSchema" xmlns:xs="http://www.w3.org/2001/XMLSchema" xmlns:p="http://schemas.microsoft.com/office/2006/metadata/properties" targetNamespace="http://schemas.microsoft.com/office/2006/metadata/properties" ma:root="true" ma:fieldsID="3f6edc329ff236629c56e3b879b320d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3FE14D-E5E4-4A5E-BA94-A4B1876A25DC}">
  <ds:schemaRefs>
    <ds:schemaRef ds:uri="http://schemas.microsoft.com/office/2006/metadata/properties"/>
    <ds:schemaRef ds:uri="http://schemas.microsoft.com/office/infopath/2007/PartnerControls"/>
    <ds:schemaRef ds:uri="http://purl.org/dc/elements/1.1/"/>
    <ds:schemaRef ds:uri="http://purl.org/dc/terms/"/>
    <ds:schemaRef ds:uri="http://schemas.microsoft.com/office/2006/documentManagement/types"/>
    <ds:schemaRef ds:uri="http://www.w3.org/XML/1998/namespace"/>
    <ds:schemaRef ds:uri="http://purl.org/dc/dcmitype/"/>
    <ds:schemaRef ds:uri="http://schemas.openxmlformats.org/package/2006/metadata/core-properties"/>
  </ds:schemaRefs>
</ds:datastoreItem>
</file>

<file path=customXml/itemProps2.xml><?xml version="1.0" encoding="utf-8"?>
<ds:datastoreItem xmlns:ds="http://schemas.openxmlformats.org/officeDocument/2006/customXml" ds:itemID="{5058D7A2-60A6-4D52-B52F-4CBF78AD9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17FF2BB-8BFA-4503-B516-AE09B1D2177C}">
  <ds:schemaRefs>
    <ds:schemaRef ds:uri="http://schemas.microsoft.com/sharepoint/v3/contenttype/forms"/>
  </ds:schemaRefs>
</ds:datastoreItem>
</file>

<file path=customXml/itemProps4.xml><?xml version="1.0" encoding="utf-8"?>
<ds:datastoreItem xmlns:ds="http://schemas.openxmlformats.org/officeDocument/2006/customXml" ds:itemID="{BD2393C0-CA9E-4B54-A1DF-191015EFF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232</Pages>
  <Words>59135</Words>
  <Characters>308302</Characters>
  <Application>Microsoft Office Word</Application>
  <DocSecurity>0</DocSecurity>
  <Lines>2569</Lines>
  <Paragraphs>733</Paragraphs>
  <ScaleCrop>false</ScaleCrop>
  <HeadingPairs>
    <vt:vector size="2" baseType="variant">
      <vt:variant>
        <vt:lpstr>Título</vt:lpstr>
      </vt:variant>
      <vt:variant>
        <vt:i4>1</vt:i4>
      </vt:variant>
    </vt:vector>
  </HeadingPairs>
  <TitlesOfParts>
    <vt:vector size="1" baseType="lpstr">
      <vt:lpstr>Equipo de Acceso Residencial Multimedia con Soporte de IPv6 (RG - M)</vt:lpstr>
    </vt:vector>
  </TitlesOfParts>
  <Company>IFT</Company>
  <LinksUpToDate>false</LinksUpToDate>
  <CharactersWithSpaces>366704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Equipo de Acceso Residencial Multimedia con Soporte de IPv6 (RG - M)</dc:title>
  <dc:subject/>
  <dc:creator>jose.cazares@ift.org.mx</dc:creator>
  <cp:keywords/>
  <dc:description/>
  <cp:lastModifiedBy>Fernando Rojas Castaneda</cp:lastModifiedBy>
  <cp:revision>8</cp:revision>
  <cp:lastPrinted>2015-11-10T22:02:00Z</cp:lastPrinted>
  <dcterms:created xsi:type="dcterms:W3CDTF">2015-12-10T23:31:00Z</dcterms:created>
  <dcterms:modified xsi:type="dcterms:W3CDTF">2016-07-11T22:15:00Z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0x010100ECEEB889474DA94B9F68B747786921B0</vt:lpwstr>
  </property>
</Properties>
</file>